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rPr>
          <w:rFonts w:hint="eastAsia"/>
        </w:rPr>
      </w:pPr>
      <w:bookmarkStart w:id="0" w:name="_Toc296528402"/>
      <w:r>
        <w:rPr>
          <w:rFonts w:hint="eastAsia"/>
        </w:rPr>
        <w:t>附件</w:t>
      </w:r>
      <w:r>
        <w:rPr>
          <w:rFonts w:hint="eastAsia"/>
          <w:lang w:eastAsia="zh-CN"/>
        </w:rPr>
        <w:t>三</w:t>
      </w:r>
      <w:r>
        <w:rPr>
          <w:rFonts w:hint="eastAsia"/>
        </w:rPr>
        <w:t>：</w:t>
      </w:r>
    </w:p>
    <w:p>
      <w:pPr>
        <w:rPr>
          <w:rFonts w:hint="eastAsia" w:ascii="宋体" w:hAnsi="宋体" w:cs="宋体"/>
          <w:b/>
          <w:sz w:val="36"/>
          <w:szCs w:val="36"/>
        </w:rPr>
      </w:pPr>
    </w:p>
    <w:p>
      <w:pPr>
        <w:rPr>
          <w:rFonts w:hint="eastAsia" w:ascii="宋体" w:hAnsi="宋体" w:cs="宋体"/>
          <w:b/>
          <w:sz w:val="36"/>
          <w:szCs w:val="36"/>
        </w:rPr>
      </w:pPr>
    </w:p>
    <w:p>
      <w:pPr>
        <w:rPr>
          <w:rFonts w:hint="eastAsia" w:ascii="宋体" w:hAnsi="宋体" w:cs="宋体"/>
          <w:b/>
          <w:sz w:val="36"/>
          <w:szCs w:val="36"/>
        </w:rPr>
      </w:pPr>
    </w:p>
    <w:p>
      <w:pPr>
        <w:rPr>
          <w:rFonts w:hint="eastAsia" w:ascii="宋体" w:hAnsi="宋体" w:cs="宋体"/>
          <w:b/>
          <w:sz w:val="36"/>
          <w:szCs w:val="36"/>
        </w:rPr>
      </w:pPr>
    </w:p>
    <w:p>
      <w:pPr>
        <w:jc w:val="center"/>
        <w:rPr>
          <w:rFonts w:hint="eastAsia" w:ascii="宋体" w:hAnsi="宋体" w:cs="宋体"/>
          <w:b/>
          <w:kern w:val="0"/>
          <w:sz w:val="52"/>
          <w:szCs w:val="52"/>
        </w:rPr>
      </w:pPr>
      <w:r>
        <w:rPr>
          <w:rFonts w:hint="eastAsia" w:ascii="宋体" w:hAnsi="宋体" w:cs="宋体"/>
          <w:b/>
          <w:kern w:val="0"/>
          <w:sz w:val="52"/>
          <w:szCs w:val="52"/>
        </w:rPr>
        <w:t>××××项目绿色建筑</w:t>
      </w:r>
    </w:p>
    <w:p>
      <w:pPr>
        <w:jc w:val="center"/>
        <w:rPr>
          <w:rFonts w:hint="eastAsia" w:ascii="宋体" w:hAnsi="宋体" w:cs="宋体"/>
          <w:b/>
          <w:kern w:val="0"/>
          <w:sz w:val="44"/>
          <w:szCs w:val="44"/>
        </w:rPr>
      </w:pPr>
      <w:r>
        <w:rPr>
          <w:rFonts w:hint="eastAsia" w:ascii="宋体" w:hAnsi="宋体" w:cs="宋体"/>
          <w:b/>
          <w:kern w:val="0"/>
          <w:sz w:val="52"/>
          <w:szCs w:val="52"/>
        </w:rPr>
        <w:t>×星级设计标识</w:t>
      </w:r>
      <w:r>
        <w:rPr>
          <w:rFonts w:hint="eastAsia" w:ascii="宋体" w:hAnsi="宋体" w:cs="宋体"/>
          <w:b/>
          <w:kern w:val="0"/>
          <w:sz w:val="52"/>
          <w:szCs w:val="52"/>
          <w:lang w:val="en-US" w:eastAsia="zh-CN"/>
        </w:rPr>
        <w:t>自</w:t>
      </w:r>
      <w:r>
        <w:rPr>
          <w:rFonts w:hint="eastAsia" w:ascii="宋体" w:hAnsi="宋体" w:cs="宋体"/>
          <w:b/>
          <w:kern w:val="0"/>
          <w:sz w:val="52"/>
          <w:szCs w:val="52"/>
        </w:rPr>
        <w:t>评</w:t>
      </w:r>
      <w:r>
        <w:rPr>
          <w:rFonts w:hint="eastAsia" w:ascii="宋体" w:hAnsi="宋体" w:cs="宋体"/>
          <w:b/>
          <w:kern w:val="0"/>
          <w:sz w:val="52"/>
          <w:szCs w:val="52"/>
          <w:lang w:val="en-US" w:eastAsia="zh-CN"/>
        </w:rPr>
        <w:t>分</w:t>
      </w:r>
      <w:r>
        <w:rPr>
          <w:rFonts w:hint="eastAsia" w:ascii="宋体" w:hAnsi="宋体" w:cs="宋体"/>
          <w:b/>
          <w:kern w:val="0"/>
          <w:sz w:val="52"/>
          <w:szCs w:val="52"/>
        </w:rPr>
        <w:t>报告</w:t>
      </w:r>
    </w:p>
    <w:p>
      <w:pPr>
        <w:spacing w:line="360" w:lineRule="auto"/>
        <w:jc w:val="left"/>
        <w:rPr>
          <w:rFonts w:hint="eastAsia" w:ascii="宋体" w:hAnsi="宋体" w:cs="宋体"/>
          <w:spacing w:val="20"/>
          <w:sz w:val="28"/>
          <w:szCs w:val="28"/>
        </w:rPr>
      </w:pPr>
    </w:p>
    <w:p>
      <w:pPr>
        <w:spacing w:line="360" w:lineRule="auto"/>
        <w:jc w:val="left"/>
        <w:rPr>
          <w:rFonts w:hint="eastAsia" w:ascii="宋体" w:hAnsi="宋体" w:cs="宋体"/>
          <w:spacing w:val="20"/>
          <w:sz w:val="28"/>
          <w:szCs w:val="28"/>
        </w:rPr>
      </w:pPr>
    </w:p>
    <w:p>
      <w:pPr>
        <w:spacing w:line="360" w:lineRule="auto"/>
        <w:jc w:val="left"/>
        <w:rPr>
          <w:rFonts w:hint="eastAsia" w:ascii="宋体" w:hAnsi="宋体" w:cs="宋体"/>
          <w:spacing w:val="20"/>
          <w:sz w:val="28"/>
          <w:szCs w:val="28"/>
        </w:rPr>
      </w:pPr>
    </w:p>
    <w:p>
      <w:pPr>
        <w:spacing w:line="360" w:lineRule="auto"/>
        <w:jc w:val="left"/>
        <w:rPr>
          <w:rFonts w:hint="eastAsia" w:ascii="宋体" w:hAnsi="宋体" w:cs="宋体"/>
          <w:spacing w:val="20"/>
          <w:sz w:val="28"/>
          <w:szCs w:val="28"/>
        </w:rPr>
      </w:pPr>
    </w:p>
    <w:p>
      <w:pPr>
        <w:spacing w:line="360" w:lineRule="auto"/>
        <w:jc w:val="left"/>
        <w:rPr>
          <w:rFonts w:hint="eastAsia" w:ascii="宋体" w:hAnsi="宋体" w:cs="宋体"/>
          <w:spacing w:val="20"/>
          <w:sz w:val="28"/>
          <w:szCs w:val="28"/>
        </w:rPr>
      </w:pPr>
    </w:p>
    <w:p>
      <w:pPr>
        <w:spacing w:line="360" w:lineRule="auto"/>
        <w:jc w:val="left"/>
        <w:rPr>
          <w:rFonts w:hint="eastAsia" w:ascii="宋体" w:hAnsi="宋体" w:cs="宋体"/>
          <w:spacing w:val="20"/>
          <w:sz w:val="28"/>
          <w:szCs w:val="28"/>
        </w:rPr>
      </w:pPr>
    </w:p>
    <w:p>
      <w:pPr>
        <w:spacing w:line="360" w:lineRule="auto"/>
        <w:jc w:val="left"/>
        <w:rPr>
          <w:rFonts w:hint="eastAsia" w:ascii="宋体" w:hAnsi="宋体" w:cs="宋体"/>
          <w:spacing w:val="20"/>
          <w:sz w:val="28"/>
          <w:szCs w:val="28"/>
        </w:rPr>
      </w:pPr>
    </w:p>
    <w:p>
      <w:pPr>
        <w:widowControl/>
        <w:ind w:left="1418" w:leftChars="675"/>
        <w:rPr>
          <w:rFonts w:hint="eastAsia" w:ascii="宋体" w:hAnsi="宋体" w:cs="宋体"/>
          <w:spacing w:val="20"/>
          <w:sz w:val="28"/>
          <w:szCs w:val="28"/>
        </w:rPr>
      </w:pPr>
      <w:r>
        <w:rPr>
          <w:rFonts w:hint="eastAsia" w:ascii="宋体" w:hAnsi="宋体" w:cs="宋体"/>
          <w:spacing w:val="20"/>
          <w:sz w:val="28"/>
          <w:szCs w:val="28"/>
        </w:rPr>
        <w:t>建设单位：</w:t>
      </w:r>
      <w:r>
        <w:rPr>
          <w:rFonts w:hint="eastAsia" w:ascii="宋体" w:hAnsi="宋体" w:cs="宋体"/>
          <w:spacing w:val="20"/>
          <w:sz w:val="28"/>
          <w:szCs w:val="28"/>
          <w:u w:val="single"/>
        </w:rPr>
        <w:t xml:space="preserve">                   </w:t>
      </w:r>
      <w:r>
        <w:rPr>
          <w:rFonts w:hint="eastAsia" w:ascii="宋体" w:hAnsi="宋体" w:cs="宋体"/>
          <w:spacing w:val="20"/>
          <w:sz w:val="28"/>
          <w:szCs w:val="28"/>
        </w:rPr>
        <w:t xml:space="preserve">（盖章） </w:t>
      </w:r>
    </w:p>
    <w:p>
      <w:pPr>
        <w:widowControl/>
        <w:ind w:left="1418" w:leftChars="675"/>
        <w:rPr>
          <w:rFonts w:hint="eastAsia" w:ascii="宋体" w:hAnsi="宋体" w:cs="宋体"/>
          <w:spacing w:val="20"/>
          <w:sz w:val="28"/>
          <w:szCs w:val="28"/>
        </w:rPr>
      </w:pPr>
      <w:r>
        <w:rPr>
          <w:rFonts w:hint="eastAsia" w:ascii="宋体" w:hAnsi="宋体" w:cs="宋体"/>
          <w:spacing w:val="20"/>
          <w:sz w:val="28"/>
          <w:szCs w:val="28"/>
        </w:rPr>
        <w:t>设计单位：</w:t>
      </w:r>
      <w:r>
        <w:rPr>
          <w:rFonts w:hint="eastAsia" w:ascii="宋体" w:hAnsi="宋体" w:cs="宋体"/>
          <w:spacing w:val="20"/>
          <w:sz w:val="28"/>
          <w:szCs w:val="28"/>
          <w:u w:val="single"/>
        </w:rPr>
        <w:t xml:space="preserve">                   </w:t>
      </w:r>
      <w:r>
        <w:rPr>
          <w:rFonts w:hint="eastAsia" w:ascii="宋体" w:hAnsi="宋体" w:cs="宋体"/>
          <w:spacing w:val="20"/>
          <w:sz w:val="28"/>
          <w:szCs w:val="28"/>
        </w:rPr>
        <w:t xml:space="preserve">（盖章） </w:t>
      </w:r>
    </w:p>
    <w:p>
      <w:pPr>
        <w:widowControl/>
        <w:ind w:left="1418" w:leftChars="675"/>
        <w:rPr>
          <w:rFonts w:hint="eastAsia" w:ascii="宋体" w:hAnsi="宋体" w:cs="宋体"/>
          <w:spacing w:val="20"/>
          <w:sz w:val="28"/>
          <w:szCs w:val="28"/>
        </w:rPr>
      </w:pPr>
      <w:r>
        <w:rPr>
          <w:rFonts w:hint="eastAsia" w:ascii="宋体" w:hAnsi="宋体" w:cs="宋体"/>
          <w:spacing w:val="20"/>
          <w:sz w:val="28"/>
          <w:szCs w:val="28"/>
        </w:rPr>
        <w:t>绿建咨询单位：</w:t>
      </w:r>
      <w:r>
        <w:rPr>
          <w:rFonts w:hint="eastAsia" w:ascii="宋体" w:hAnsi="宋体" w:cs="宋体"/>
          <w:spacing w:val="20"/>
          <w:sz w:val="28"/>
          <w:szCs w:val="28"/>
          <w:u w:val="single"/>
        </w:rPr>
        <w:t xml:space="preserve">                </w:t>
      </w:r>
      <w:r>
        <w:rPr>
          <w:rFonts w:hint="eastAsia" w:ascii="宋体" w:hAnsi="宋体" w:cs="宋体"/>
          <w:spacing w:val="20"/>
          <w:sz w:val="28"/>
          <w:szCs w:val="28"/>
        </w:rPr>
        <w:t xml:space="preserve">（盖章） </w:t>
      </w:r>
    </w:p>
    <w:p>
      <w:pPr>
        <w:widowControl/>
        <w:ind w:left="1418" w:leftChars="675"/>
        <w:rPr>
          <w:rFonts w:hint="eastAsia" w:ascii="宋体" w:hAnsi="宋体" w:cs="宋体"/>
          <w:sz w:val="28"/>
          <w:szCs w:val="28"/>
          <w:u w:val="single"/>
        </w:rPr>
      </w:pPr>
      <w:r>
        <w:rPr>
          <w:rFonts w:hint="eastAsia" w:ascii="宋体" w:hAnsi="宋体" w:cs="宋体"/>
          <w:spacing w:val="20"/>
          <w:sz w:val="28"/>
          <w:szCs w:val="28"/>
        </w:rPr>
        <w:t>编制日期：</w:t>
      </w:r>
      <w:r>
        <w:rPr>
          <w:rFonts w:hint="eastAsia" w:ascii="宋体" w:hAnsi="宋体" w:cs="宋体"/>
          <w:spacing w:val="20"/>
          <w:sz w:val="28"/>
          <w:szCs w:val="28"/>
          <w:u w:val="single"/>
        </w:rPr>
        <w:t xml:space="preserve">                    </w:t>
      </w:r>
    </w:p>
    <w:p>
      <w:pPr>
        <w:pStyle w:val="2"/>
        <w:numPr>
          <w:ilvl w:val="0"/>
          <w:numId w:val="0"/>
        </w:numPr>
        <w:spacing w:before="100" w:beforeAutospacing="1" w:after="100" w:afterAutospacing="1"/>
        <w:rPr>
          <w:rFonts w:hint="eastAsia" w:ascii="宋体" w:hAnsi="宋体" w:eastAsia="宋体" w:cs="宋体"/>
        </w:rPr>
      </w:pPr>
      <w:bookmarkStart w:id="6" w:name="_GoBack"/>
      <w:bookmarkEnd w:id="6"/>
      <w:r>
        <w:rPr>
          <w:rFonts w:hint="eastAsia" w:ascii="宋体" w:hAnsi="宋体" w:eastAsia="宋体" w:cs="宋体"/>
        </w:rPr>
        <w:br w:type="page"/>
      </w:r>
      <w:r>
        <w:rPr>
          <w:rFonts w:hint="eastAsia" w:ascii="宋体" w:hAnsi="宋体" w:eastAsia="宋体" w:cs="宋体"/>
        </w:rPr>
        <w:t>一、</w:t>
      </w:r>
      <w:r>
        <w:rPr>
          <w:rFonts w:hint="eastAsia" w:ascii="宋体" w:hAnsi="宋体" w:eastAsia="宋体" w:cs="宋体"/>
          <w:b w:val="0"/>
        </w:rPr>
        <w:t>项目简介</w:t>
      </w:r>
      <w:bookmarkEnd w:id="0"/>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b/>
        </w:rPr>
      </w:pPr>
      <w:bookmarkStart w:id="1" w:name="_Toc296528403"/>
      <w:r>
        <w:rPr>
          <w:rFonts w:hint="eastAsia" w:ascii="宋体" w:hAnsi="宋体" w:cs="宋体"/>
        </w:rPr>
        <w:t>项目效果图</w:t>
      </w:r>
    </w:p>
    <w:p>
      <w:pPr>
        <w:pStyle w:val="2"/>
        <w:numPr>
          <w:ilvl w:val="0"/>
          <w:numId w:val="0"/>
        </w:numPr>
        <w:spacing w:before="100" w:beforeAutospacing="1" w:after="100" w:afterAutospacing="1"/>
        <w:rPr>
          <w:rFonts w:hint="eastAsia" w:ascii="宋体" w:hAnsi="宋体" w:eastAsia="宋体" w:cs="宋体"/>
          <w:b w:val="0"/>
        </w:rPr>
      </w:pPr>
      <w:r>
        <w:rPr>
          <w:rFonts w:hint="eastAsia" w:ascii="宋体" w:hAnsi="宋体" w:eastAsia="宋体" w:cs="宋体"/>
          <w:b w:val="0"/>
        </w:rPr>
        <w:t>二、基本信息</w:t>
      </w:r>
    </w:p>
    <w:p>
      <w:pPr>
        <w:spacing w:line="460" w:lineRule="exact"/>
        <w:rPr>
          <w:rFonts w:hint="eastAsia" w:ascii="宋体" w:hAnsi="宋体" w:cs="宋体"/>
          <w:b/>
          <w:kern w:val="0"/>
          <w:sz w:val="36"/>
          <w:szCs w:val="36"/>
        </w:rPr>
      </w:pPr>
      <w:r>
        <w:rPr>
          <w:rFonts w:hint="eastAsia" w:ascii="宋体" w:hAnsi="宋体" w:cs="宋体"/>
          <w:spacing w:val="20"/>
          <w:sz w:val="24"/>
        </w:rPr>
        <w:t>项目名称：</w:t>
      </w:r>
      <w:r>
        <w:rPr>
          <w:rFonts w:hint="eastAsia" w:ascii="宋体" w:hAnsi="宋体" w:cs="宋体"/>
          <w:sz w:val="24"/>
          <w:u w:val="single"/>
        </w:rPr>
        <w:t xml:space="preserve">                             </w:t>
      </w:r>
    </w:p>
    <w:p>
      <w:pPr>
        <w:spacing w:line="360" w:lineRule="auto"/>
        <w:outlineLvl w:val="0"/>
        <w:rPr>
          <w:rFonts w:hint="eastAsia" w:ascii="宋体" w:hAnsi="宋体" w:cs="宋体"/>
          <w:spacing w:val="20"/>
          <w:sz w:val="24"/>
        </w:rPr>
      </w:pPr>
      <w:r>
        <w:rPr>
          <w:rFonts w:hint="eastAsia" w:ascii="宋体" w:hAnsi="宋体" w:cs="宋体"/>
          <w:spacing w:val="20"/>
          <w:sz w:val="24"/>
        </w:rPr>
        <w:t>项目地址：</w:t>
      </w:r>
      <w:r>
        <w:rPr>
          <w:rFonts w:hint="eastAsia" w:ascii="宋体" w:hAnsi="宋体" w:cs="宋体"/>
          <w:spacing w:val="20"/>
          <w:sz w:val="24"/>
          <w:u w:val="single"/>
        </w:rPr>
        <w:t xml:space="preserve">                      </w:t>
      </w:r>
    </w:p>
    <w:p>
      <w:pPr>
        <w:spacing w:line="360" w:lineRule="auto"/>
        <w:rPr>
          <w:rFonts w:hint="eastAsia" w:ascii="宋体" w:hAnsi="宋体" w:cs="宋体"/>
          <w:b/>
          <w:spacing w:val="20"/>
          <w:sz w:val="24"/>
        </w:rPr>
      </w:pPr>
      <w:r>
        <w:rPr>
          <w:rFonts w:hint="eastAsia" w:ascii="宋体" w:hAnsi="宋体" w:cs="宋体"/>
          <w:b/>
          <w:spacing w:val="20"/>
          <w:sz w:val="24"/>
        </w:rPr>
        <w:t>规范标准参考依据：</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1、《绿色建筑评价标准》（GB/T 50378-2014）</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2、《绿色建筑评价技术细则》</w:t>
      </w:r>
    </w:p>
    <w:p>
      <w:pPr>
        <w:spacing w:after="156" w:afterLines="50"/>
        <w:rPr>
          <w:rFonts w:hint="eastAsia" w:ascii="宋体" w:hAnsi="宋体" w:cs="宋体"/>
          <w:b/>
          <w:spacing w:val="20"/>
          <w:sz w:val="30"/>
        </w:rPr>
      </w:pPr>
      <w:r>
        <w:rPr>
          <w:rFonts w:hint="eastAsia" w:ascii="宋体" w:hAnsi="宋体" w:cs="宋体"/>
          <w:b/>
          <w:spacing w:val="20"/>
          <w:sz w:val="24"/>
        </w:rPr>
        <w:t>建筑概况</w:t>
      </w:r>
    </w:p>
    <w:p>
      <w:pPr>
        <w:spacing w:line="360" w:lineRule="auto"/>
        <w:rPr>
          <w:rFonts w:hint="eastAsia" w:ascii="宋体" w:hAnsi="宋体" w:cs="宋体"/>
          <w:sz w:val="20"/>
        </w:rPr>
      </w:pPr>
      <w:r>
        <w:rPr>
          <w:rFonts w:hint="eastAsia" w:ascii="宋体" w:hAnsi="宋体" w:cs="宋体"/>
          <w:sz w:val="20"/>
        </w:rPr>
        <w:t>建筑名称：</w:t>
      </w:r>
      <w:r>
        <w:rPr>
          <w:rFonts w:hint="eastAsia" w:ascii="宋体" w:hAnsi="宋体" w:cs="宋体"/>
          <w:sz w:val="20"/>
          <w:u w:val="single"/>
        </w:rPr>
        <w:t xml:space="preserve">                                               </w:t>
      </w:r>
      <w:r>
        <w:rPr>
          <w:rFonts w:hint="eastAsia" w:ascii="宋体" w:hAnsi="宋体" w:cs="宋体"/>
          <w:bCs/>
          <w:kern w:val="0"/>
          <w:sz w:val="24"/>
          <w:u w:val="single"/>
        </w:rPr>
        <w:t xml:space="preserve">   </w:t>
      </w:r>
      <w:r>
        <w:rPr>
          <w:rFonts w:hint="eastAsia" w:ascii="宋体" w:hAnsi="宋体" w:cs="宋体"/>
          <w:sz w:val="20"/>
          <w:u w:val="single"/>
        </w:rPr>
        <w:t xml:space="preserve"> </w:t>
      </w:r>
      <w:r>
        <w:rPr>
          <w:rFonts w:hint="eastAsia" w:ascii="宋体" w:hAnsi="宋体" w:cs="宋体"/>
          <w:sz w:val="20"/>
        </w:rPr>
        <w:t xml:space="preserve"> </w:t>
      </w:r>
    </w:p>
    <w:p>
      <w:pPr>
        <w:spacing w:line="360" w:lineRule="auto"/>
        <w:rPr>
          <w:rFonts w:hint="eastAsia" w:ascii="宋体" w:hAnsi="宋体" w:cs="宋体"/>
          <w:sz w:val="20"/>
        </w:rPr>
      </w:pPr>
      <w:r>
        <w:rPr>
          <w:rFonts w:hint="eastAsia" w:ascii="宋体" w:hAnsi="宋体" w:cs="宋体"/>
          <w:sz w:val="20"/>
        </w:rPr>
        <w:t>建筑类型：</w:t>
      </w:r>
      <w:r>
        <w:rPr>
          <w:rFonts w:hint="eastAsia" w:ascii="宋体" w:hAnsi="宋体" w:cs="宋体"/>
          <w:sz w:val="20"/>
          <w:u w:val="single"/>
        </w:rPr>
        <w:t xml:space="preserve">                       </w:t>
      </w:r>
      <w:r>
        <w:rPr>
          <w:rFonts w:hint="eastAsia" w:ascii="宋体" w:hAnsi="宋体" w:cs="宋体"/>
          <w:sz w:val="20"/>
        </w:rPr>
        <w:t xml:space="preserve"> </w:t>
      </w:r>
      <w:r>
        <w:rPr>
          <w:rFonts w:hint="eastAsia" w:ascii="宋体" w:hAnsi="宋体" w:cs="宋体"/>
          <w:sz w:val="20"/>
        </w:rPr>
        <w:tab/>
      </w:r>
      <w:r>
        <w:rPr>
          <w:rFonts w:hint="eastAsia" w:ascii="宋体" w:hAnsi="宋体" w:cs="宋体"/>
          <w:sz w:val="20"/>
        </w:rPr>
        <w:tab/>
      </w:r>
      <w:r>
        <w:rPr>
          <w:rFonts w:hint="eastAsia" w:ascii="宋体" w:hAnsi="宋体" w:cs="宋体"/>
          <w:sz w:val="20"/>
        </w:rPr>
        <w:t>建筑形式：</w:t>
      </w:r>
      <w:r>
        <w:rPr>
          <w:rFonts w:hint="eastAsia" w:ascii="宋体" w:hAnsi="宋体" w:cs="宋体"/>
          <w:sz w:val="20"/>
          <w:u w:val="single"/>
        </w:rPr>
        <w:t xml:space="preserve">                  </w:t>
      </w:r>
      <w:r>
        <w:rPr>
          <w:rFonts w:hint="eastAsia" w:ascii="宋体" w:hAnsi="宋体" w:cs="宋体"/>
          <w:sz w:val="20"/>
        </w:rPr>
        <w:t xml:space="preserve">     </w:t>
      </w:r>
    </w:p>
    <w:p>
      <w:pPr>
        <w:spacing w:line="360" w:lineRule="auto"/>
        <w:rPr>
          <w:rFonts w:hint="eastAsia" w:ascii="宋体" w:hAnsi="宋体" w:cs="宋体"/>
          <w:sz w:val="20"/>
        </w:rPr>
      </w:pPr>
      <w:r>
        <w:rPr>
          <w:rFonts w:hint="eastAsia" w:ascii="宋体" w:hAnsi="宋体" w:cs="宋体"/>
          <w:sz w:val="20"/>
        </w:rPr>
        <w:t>建筑目标星级：</w:t>
      </w:r>
      <w:r>
        <w:rPr>
          <w:rFonts w:hint="eastAsia" w:ascii="宋体" w:hAnsi="宋体" w:cs="宋体"/>
          <w:sz w:val="20"/>
          <w:u w:val="single"/>
        </w:rPr>
        <w:t xml:space="preserve">                   </w:t>
      </w:r>
      <w:r>
        <w:rPr>
          <w:rFonts w:hint="eastAsia" w:ascii="宋体" w:hAnsi="宋体" w:cs="宋体"/>
          <w:sz w:val="20"/>
        </w:rPr>
        <w:t xml:space="preserve"> </w:t>
      </w:r>
      <w:r>
        <w:rPr>
          <w:rFonts w:hint="eastAsia" w:ascii="宋体" w:hAnsi="宋体" w:cs="宋体"/>
          <w:sz w:val="20"/>
        </w:rPr>
        <w:tab/>
      </w:r>
      <w:r>
        <w:rPr>
          <w:rFonts w:hint="eastAsia" w:ascii="宋体" w:hAnsi="宋体" w:cs="宋体"/>
          <w:sz w:val="20"/>
        </w:rPr>
        <w:tab/>
      </w:r>
      <w:r>
        <w:rPr>
          <w:rFonts w:hint="eastAsia" w:ascii="宋体" w:hAnsi="宋体" w:cs="宋体"/>
          <w:sz w:val="20"/>
        </w:rPr>
        <w:t>建筑单体栋数：</w:t>
      </w:r>
      <w:r>
        <w:rPr>
          <w:rFonts w:hint="eastAsia" w:ascii="宋体" w:hAnsi="宋体" w:cs="宋体"/>
          <w:sz w:val="20"/>
          <w:u w:val="single"/>
        </w:rPr>
        <w:tab/>
      </w:r>
      <w:r>
        <w:rPr>
          <w:rFonts w:hint="eastAsia" w:ascii="宋体" w:hAnsi="宋体" w:cs="宋体"/>
          <w:sz w:val="20"/>
          <w:u w:val="single"/>
        </w:rPr>
        <w:t xml:space="preserve">         </w:t>
      </w:r>
      <w:r>
        <w:rPr>
          <w:rFonts w:hint="eastAsia" w:ascii="宋体" w:hAnsi="宋体" w:cs="宋体"/>
          <w:sz w:val="20"/>
        </w:rPr>
        <w:t xml:space="preserve"> 栋</w:t>
      </w:r>
    </w:p>
    <w:p>
      <w:pPr>
        <w:spacing w:line="360" w:lineRule="auto"/>
        <w:rPr>
          <w:rFonts w:hint="eastAsia" w:ascii="宋体" w:hAnsi="宋体" w:cs="宋体"/>
          <w:sz w:val="20"/>
        </w:rPr>
      </w:pPr>
      <w:r>
        <w:rPr>
          <w:rFonts w:hint="eastAsia" w:ascii="宋体" w:hAnsi="宋体" w:cs="宋体"/>
          <w:sz w:val="20"/>
        </w:rPr>
        <w:t>规划用地面积：</w:t>
      </w:r>
      <w:r>
        <w:rPr>
          <w:rFonts w:hint="eastAsia" w:ascii="宋体" w:hAnsi="宋体" w:cs="宋体"/>
          <w:sz w:val="20"/>
          <w:u w:val="single"/>
        </w:rPr>
        <w:t xml:space="preserve">                 </w:t>
      </w:r>
      <w:r>
        <w:rPr>
          <w:rFonts w:hint="eastAsia" w:ascii="宋体" w:hAnsi="宋体" w:cs="宋体"/>
          <w:sz w:val="20"/>
        </w:rPr>
        <w:t>m</w:t>
      </w:r>
      <w:r>
        <w:rPr>
          <w:rFonts w:hint="eastAsia" w:ascii="宋体" w:hAnsi="宋体" w:cs="宋体"/>
          <w:sz w:val="20"/>
          <w:vertAlign w:val="superscript"/>
        </w:rPr>
        <w:t xml:space="preserve">2  </w:t>
      </w:r>
      <w:r>
        <w:rPr>
          <w:rFonts w:hint="eastAsia" w:ascii="宋体" w:hAnsi="宋体" w:cs="宋体"/>
          <w:sz w:val="20"/>
        </w:rPr>
        <w:t xml:space="preserve">        总建筑面积：</w:t>
      </w:r>
      <w:r>
        <w:rPr>
          <w:rFonts w:hint="eastAsia" w:ascii="宋体" w:hAnsi="宋体" w:cs="宋体"/>
          <w:sz w:val="20"/>
          <w:u w:val="single"/>
        </w:rPr>
        <w:t xml:space="preserve">              </w:t>
      </w:r>
      <w:r>
        <w:rPr>
          <w:rFonts w:hint="eastAsia" w:ascii="宋体" w:hAnsi="宋体" w:cs="宋体"/>
          <w:sz w:val="20"/>
        </w:rPr>
        <w:t xml:space="preserve"> m</w:t>
      </w:r>
      <w:r>
        <w:rPr>
          <w:rFonts w:hint="eastAsia" w:ascii="宋体" w:hAnsi="宋体" w:cs="宋体"/>
          <w:sz w:val="20"/>
          <w:vertAlign w:val="superscript"/>
        </w:rPr>
        <w:t>2</w:t>
      </w:r>
      <w:r>
        <w:rPr>
          <w:rFonts w:hint="eastAsia" w:ascii="宋体" w:hAnsi="宋体" w:cs="宋体"/>
          <w:sz w:val="20"/>
        </w:rPr>
        <w:t xml:space="preserve">  </w:t>
      </w:r>
    </w:p>
    <w:p>
      <w:pPr>
        <w:spacing w:line="360" w:lineRule="auto"/>
        <w:rPr>
          <w:rFonts w:hint="eastAsia" w:ascii="宋体" w:hAnsi="宋体" w:cs="宋体"/>
          <w:sz w:val="20"/>
        </w:rPr>
      </w:pPr>
      <w:r>
        <w:rPr>
          <w:rFonts w:hint="eastAsia" w:ascii="宋体" w:hAnsi="宋体" w:cs="宋体"/>
          <w:sz w:val="20"/>
        </w:rPr>
        <w:t>建筑面积（地上）：</w:t>
      </w:r>
      <w:r>
        <w:rPr>
          <w:rFonts w:hint="eastAsia" w:ascii="宋体" w:hAnsi="宋体" w:cs="宋体"/>
          <w:sz w:val="20"/>
          <w:u w:val="single"/>
        </w:rPr>
        <w:t xml:space="preserve">             </w:t>
      </w:r>
      <w:r>
        <w:rPr>
          <w:rFonts w:hint="eastAsia" w:ascii="宋体" w:hAnsi="宋体" w:cs="宋体"/>
          <w:sz w:val="20"/>
        </w:rPr>
        <w:t xml:space="preserve"> m</w:t>
      </w:r>
      <w:r>
        <w:rPr>
          <w:rFonts w:hint="eastAsia" w:ascii="宋体" w:hAnsi="宋体" w:cs="宋体"/>
          <w:sz w:val="20"/>
          <w:vertAlign w:val="superscript"/>
        </w:rPr>
        <w:t xml:space="preserve">2  </w:t>
      </w:r>
      <w:r>
        <w:rPr>
          <w:rFonts w:hint="eastAsia" w:ascii="宋体" w:hAnsi="宋体" w:cs="宋体"/>
          <w:sz w:val="20"/>
        </w:rPr>
        <w:t xml:space="preserve">        建筑面积（地下）：</w:t>
      </w:r>
      <w:r>
        <w:rPr>
          <w:rFonts w:hint="eastAsia" w:ascii="宋体" w:hAnsi="宋体" w:cs="宋体"/>
          <w:sz w:val="20"/>
          <w:u w:val="single"/>
        </w:rPr>
        <w:t xml:space="preserve">         </w:t>
      </w:r>
      <w:r>
        <w:rPr>
          <w:rFonts w:hint="eastAsia" w:ascii="宋体" w:hAnsi="宋体" w:cs="宋体"/>
          <w:sz w:val="20"/>
        </w:rPr>
        <w:t xml:space="preserve"> m</w:t>
      </w:r>
      <w:r>
        <w:rPr>
          <w:rFonts w:hint="eastAsia" w:ascii="宋体" w:hAnsi="宋体" w:cs="宋体"/>
          <w:sz w:val="20"/>
          <w:vertAlign w:val="superscript"/>
        </w:rPr>
        <w:t>2</w:t>
      </w:r>
      <w:r>
        <w:rPr>
          <w:rFonts w:hint="eastAsia" w:ascii="宋体" w:hAnsi="宋体" w:cs="宋体"/>
          <w:sz w:val="20"/>
        </w:rPr>
        <w:t xml:space="preserve"> </w:t>
      </w:r>
    </w:p>
    <w:p>
      <w:pPr>
        <w:spacing w:line="360" w:lineRule="auto"/>
        <w:rPr>
          <w:rFonts w:hint="eastAsia" w:ascii="宋体" w:hAnsi="宋体" w:cs="宋体"/>
          <w:sz w:val="20"/>
        </w:rPr>
      </w:pPr>
      <w:r>
        <w:rPr>
          <w:rFonts w:hint="eastAsia" w:ascii="宋体" w:hAnsi="宋体" w:cs="宋体"/>
          <w:sz w:val="20"/>
        </w:rPr>
        <w:t>建筑密度：</w:t>
      </w:r>
      <w:r>
        <w:rPr>
          <w:rFonts w:hint="eastAsia" w:ascii="宋体" w:hAnsi="宋体" w:cs="宋体"/>
          <w:sz w:val="20"/>
          <w:u w:val="single"/>
        </w:rPr>
        <w:t xml:space="preserve">                       </w:t>
      </w:r>
      <w:r>
        <w:rPr>
          <w:rFonts w:hint="eastAsia" w:ascii="宋体" w:hAnsi="宋体" w:cs="宋体"/>
          <w:sz w:val="20"/>
        </w:rPr>
        <w:t xml:space="preserve"> </w:t>
      </w:r>
      <w:r>
        <w:rPr>
          <w:rFonts w:hint="eastAsia" w:ascii="宋体" w:hAnsi="宋体" w:cs="宋体"/>
          <w:sz w:val="20"/>
        </w:rPr>
        <w:tab/>
      </w:r>
      <w:r>
        <w:rPr>
          <w:rFonts w:hint="eastAsia" w:ascii="宋体" w:hAnsi="宋体" w:cs="宋体"/>
          <w:sz w:val="20"/>
        </w:rPr>
        <w:t xml:space="preserve"> </w:t>
      </w:r>
      <w:r>
        <w:rPr>
          <w:rFonts w:hint="eastAsia" w:ascii="宋体" w:hAnsi="宋体" w:cs="宋体"/>
          <w:sz w:val="20"/>
        </w:rPr>
        <w:tab/>
      </w:r>
      <w:r>
        <w:rPr>
          <w:rFonts w:hint="eastAsia" w:ascii="宋体" w:hAnsi="宋体" w:cs="宋体"/>
          <w:sz w:val="20"/>
        </w:rPr>
        <w:t>容积率：</w:t>
      </w:r>
      <w:r>
        <w:rPr>
          <w:rFonts w:hint="eastAsia" w:ascii="宋体" w:hAnsi="宋体" w:cs="宋体"/>
          <w:sz w:val="20"/>
          <w:u w:val="single"/>
        </w:rPr>
        <w:t xml:space="preserve">                  </w:t>
      </w:r>
    </w:p>
    <w:p>
      <w:pPr>
        <w:spacing w:line="360" w:lineRule="auto"/>
        <w:rPr>
          <w:rFonts w:hint="eastAsia" w:ascii="宋体" w:hAnsi="宋体" w:cs="宋体"/>
          <w:sz w:val="20"/>
        </w:rPr>
      </w:pPr>
      <w:r>
        <w:rPr>
          <w:rFonts w:hint="eastAsia" w:ascii="宋体" w:hAnsi="宋体" w:cs="宋体"/>
          <w:sz w:val="20"/>
        </w:rPr>
        <w:t>绿地率：</w:t>
      </w:r>
      <w:r>
        <w:rPr>
          <w:rFonts w:hint="eastAsia" w:ascii="宋体" w:hAnsi="宋体" w:cs="宋体"/>
          <w:sz w:val="20"/>
          <w:u w:val="single"/>
        </w:rPr>
        <w:t xml:space="preserve">                          </w:t>
      </w:r>
      <w:r>
        <w:rPr>
          <w:rFonts w:hint="eastAsia" w:ascii="宋体" w:hAnsi="宋体" w:cs="宋体"/>
          <w:sz w:val="20"/>
        </w:rPr>
        <w:t xml:space="preserve"> </w:t>
      </w:r>
      <w:r>
        <w:rPr>
          <w:rFonts w:hint="eastAsia" w:ascii="宋体" w:hAnsi="宋体" w:cs="宋体"/>
          <w:sz w:val="20"/>
        </w:rPr>
        <w:tab/>
      </w:r>
      <w:r>
        <w:rPr>
          <w:rFonts w:hint="eastAsia" w:ascii="宋体" w:hAnsi="宋体" w:cs="宋体"/>
          <w:sz w:val="20"/>
        </w:rPr>
        <w:t xml:space="preserve">    机动车停车位：</w:t>
      </w:r>
      <w:r>
        <w:rPr>
          <w:rFonts w:hint="eastAsia" w:ascii="宋体" w:hAnsi="宋体" w:cs="宋体"/>
          <w:sz w:val="20"/>
          <w:u w:val="single"/>
        </w:rPr>
        <w:t xml:space="preserve">           </w:t>
      </w:r>
      <w:r>
        <w:rPr>
          <w:rFonts w:hint="eastAsia" w:ascii="宋体" w:hAnsi="宋体" w:cs="宋体"/>
          <w:sz w:val="20"/>
        </w:rPr>
        <w:t xml:space="preserve"> 个</w:t>
      </w:r>
    </w:p>
    <w:p>
      <w:pPr>
        <w:spacing w:line="360" w:lineRule="auto"/>
        <w:rPr>
          <w:rFonts w:hint="eastAsia" w:ascii="宋体" w:hAnsi="宋体" w:cs="宋体"/>
          <w:sz w:val="20"/>
          <w:vertAlign w:val="superscript"/>
        </w:rPr>
      </w:pPr>
      <w:r>
        <w:rPr>
          <w:rFonts w:hint="eastAsia" w:ascii="宋体" w:hAnsi="宋体" w:cs="宋体"/>
          <w:sz w:val="20"/>
          <w:vertAlign w:val="superscript"/>
        </w:rPr>
        <w:t xml:space="preserve">      </w:t>
      </w:r>
    </w:p>
    <w:p>
      <w:pPr>
        <w:pStyle w:val="2"/>
        <w:numPr>
          <w:ilvl w:val="0"/>
          <w:numId w:val="0"/>
        </w:numPr>
        <w:spacing w:before="100" w:beforeAutospacing="1" w:after="100" w:afterAutospacing="1"/>
        <w:rPr>
          <w:rFonts w:hint="eastAsia" w:ascii="宋体" w:hAnsi="宋体" w:eastAsia="宋体" w:cs="宋体"/>
          <w:b w:val="0"/>
        </w:rPr>
      </w:pPr>
      <w:r>
        <w:rPr>
          <w:rFonts w:ascii="宋体" w:hAnsi="宋体" w:eastAsia="宋体" w:cs="宋体"/>
          <w:b w:val="0"/>
        </w:rPr>
        <w:br w:type="page"/>
      </w:r>
      <w:r>
        <w:rPr>
          <w:rFonts w:hint="eastAsia" w:ascii="宋体" w:hAnsi="宋体" w:eastAsia="宋体" w:cs="宋体"/>
          <w:b w:val="0"/>
        </w:rPr>
        <w:t>三、</w:t>
      </w:r>
      <w:bookmarkEnd w:id="1"/>
      <w:r>
        <w:rPr>
          <w:rFonts w:hint="eastAsia" w:ascii="宋体" w:hAnsi="宋体" w:eastAsia="宋体" w:cs="宋体"/>
          <w:b w:val="0"/>
        </w:rPr>
        <w:t>评</w:t>
      </w:r>
      <w:r>
        <w:rPr>
          <w:rFonts w:hint="eastAsia" w:ascii="宋体" w:hAnsi="宋体" w:eastAsia="宋体" w:cs="宋体"/>
          <w:b w:val="0"/>
          <w:lang w:val="en-US" w:eastAsia="zh-CN"/>
        </w:rPr>
        <w:t>分</w:t>
      </w:r>
      <w:r>
        <w:rPr>
          <w:rFonts w:hint="eastAsia" w:ascii="宋体" w:hAnsi="宋体" w:eastAsia="宋体" w:cs="宋体"/>
          <w:b w:val="0"/>
        </w:rPr>
        <w:t>表</w:t>
      </w:r>
    </w:p>
    <w:p>
      <w:pPr>
        <w:spacing w:line="360" w:lineRule="auto"/>
        <w:ind w:firstLine="420" w:firstLineChars="200"/>
        <w:rPr>
          <w:rFonts w:hint="eastAsia" w:ascii="宋体" w:hAnsi="宋体" w:cs="宋体"/>
          <w:sz w:val="18"/>
          <w:szCs w:val="18"/>
        </w:rPr>
      </w:pPr>
      <w:bookmarkStart w:id="2" w:name="_Toc349432395"/>
      <w:bookmarkStart w:id="3" w:name="_Toc354618763"/>
      <w:bookmarkStart w:id="4" w:name="_Toc349201933"/>
      <w:bookmarkStart w:id="5" w:name="_Toc316464712"/>
      <w:r>
        <w:rPr>
          <w:rFonts w:hint="eastAsia" w:ascii="宋体" w:hAnsi="宋体" w:cs="宋体"/>
          <w:szCs w:val="21"/>
        </w:rPr>
        <w:t>针对本项目基础条件，核对《绿色建筑评价标准》（GB/T 50378-2014）的条款要求，具体条文满足情况</w:t>
      </w:r>
      <w:r>
        <w:rPr>
          <w:rFonts w:hint="eastAsia" w:ascii="宋体" w:hAnsi="宋体" w:cs="宋体"/>
          <w:szCs w:val="21"/>
          <w:lang w:val="en-US" w:eastAsia="zh-CN"/>
        </w:rPr>
        <w:t>自</w:t>
      </w:r>
      <w:r>
        <w:rPr>
          <w:rFonts w:hint="eastAsia" w:ascii="宋体" w:hAnsi="宋体" w:cs="宋体"/>
          <w:szCs w:val="21"/>
        </w:rPr>
        <w:t>评如下表所示：（注：“满足要求 √，不满足要求 ×，不参评为 — ”）</w:t>
      </w:r>
    </w:p>
    <w:bookmarkEnd w:id="2"/>
    <w:bookmarkEnd w:id="3"/>
    <w:bookmarkEnd w:id="4"/>
    <w:bookmarkEnd w:id="5"/>
    <w:p>
      <w:pPr>
        <w:spacing w:line="360" w:lineRule="auto"/>
        <w:ind w:left="-361" w:leftChars="-172" w:right="-506" w:rightChars="-241"/>
        <w:jc w:val="center"/>
        <w:outlineLvl w:val="0"/>
        <w:rPr>
          <w:rFonts w:hint="eastAsia" w:ascii="宋体" w:hAnsi="宋体" w:cs="宋体"/>
        </w:rPr>
      </w:pPr>
    </w:p>
    <w:tbl>
      <w:tblPr>
        <w:tblStyle w:val="2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3408"/>
        <w:gridCol w:w="84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67" w:type="dxa"/>
            <w:vAlign w:val="center"/>
          </w:tcPr>
          <w:p>
            <w:pPr>
              <w:jc w:val="center"/>
              <w:rPr>
                <w:rFonts w:ascii="宋体" w:hAnsi="宋体"/>
                <w:b/>
                <w:bCs/>
                <w:szCs w:val="21"/>
              </w:rPr>
            </w:pPr>
          </w:p>
        </w:tc>
        <w:tc>
          <w:tcPr>
            <w:tcW w:w="993" w:type="dxa"/>
            <w:vAlign w:val="center"/>
          </w:tcPr>
          <w:p>
            <w:pPr>
              <w:jc w:val="center"/>
              <w:rPr>
                <w:rFonts w:ascii="宋体" w:hAnsi="宋体"/>
                <w:b/>
                <w:bCs/>
                <w:szCs w:val="21"/>
              </w:rPr>
            </w:pPr>
            <w:r>
              <w:rPr>
                <w:rFonts w:ascii="宋体" w:hAnsi="宋体"/>
                <w:b/>
                <w:bCs/>
                <w:szCs w:val="21"/>
              </w:rPr>
              <w:t>条目号</w:t>
            </w:r>
          </w:p>
        </w:tc>
        <w:tc>
          <w:tcPr>
            <w:tcW w:w="3408" w:type="dxa"/>
            <w:vAlign w:val="center"/>
          </w:tcPr>
          <w:p>
            <w:pPr>
              <w:ind w:firstLine="723" w:firstLineChars="343"/>
              <w:rPr>
                <w:rFonts w:ascii="宋体" w:hAnsi="宋体"/>
                <w:b/>
                <w:bCs/>
                <w:szCs w:val="21"/>
              </w:rPr>
            </w:pPr>
            <w:r>
              <w:rPr>
                <w:rFonts w:ascii="宋体" w:hAnsi="宋体"/>
                <w:b/>
                <w:bCs/>
                <w:szCs w:val="21"/>
              </w:rPr>
              <w:t>评价标准规定</w:t>
            </w:r>
          </w:p>
        </w:tc>
        <w:tc>
          <w:tcPr>
            <w:tcW w:w="844" w:type="dxa"/>
            <w:vAlign w:val="top"/>
          </w:tcPr>
          <w:p>
            <w:pPr>
              <w:jc w:val="center"/>
              <w:rPr>
                <w:rFonts w:ascii="宋体" w:hAnsi="宋体"/>
                <w:b/>
                <w:bCs/>
                <w:szCs w:val="21"/>
              </w:rPr>
            </w:pPr>
            <w:r>
              <w:rPr>
                <w:rFonts w:ascii="宋体" w:hAnsi="宋体"/>
                <w:b/>
                <w:bCs/>
                <w:szCs w:val="21"/>
              </w:rPr>
              <w:t>项目达标</w:t>
            </w:r>
          </w:p>
        </w:tc>
        <w:tc>
          <w:tcPr>
            <w:tcW w:w="3260" w:type="dxa"/>
            <w:vAlign w:val="center"/>
          </w:tcPr>
          <w:p>
            <w:pPr>
              <w:jc w:val="center"/>
              <w:rPr>
                <w:rFonts w:ascii="宋体" w:hAnsi="宋体"/>
                <w:b/>
                <w:bCs/>
                <w:szCs w:val="21"/>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9072" w:type="dxa"/>
            <w:gridSpan w:val="5"/>
            <w:vAlign w:val="center"/>
          </w:tcPr>
          <w:p>
            <w:pPr>
              <w:jc w:val="center"/>
              <w:rPr>
                <w:rFonts w:ascii="宋体" w:hAnsi="宋体"/>
                <w:b/>
                <w:bCs/>
                <w:szCs w:val="21"/>
              </w:rPr>
            </w:pPr>
            <w:r>
              <w:rPr>
                <w:rFonts w:ascii="宋体" w:hAnsi="宋体"/>
                <w:b/>
                <w:bCs/>
                <w:szCs w:val="21"/>
              </w:rPr>
              <w:t>节</w:t>
            </w:r>
            <w:r>
              <w:rPr>
                <w:rFonts w:hint="eastAsia" w:ascii="宋体" w:hAnsi="宋体"/>
                <w:b/>
                <w:bCs/>
                <w:szCs w:val="21"/>
              </w:rPr>
              <w:t xml:space="preserve"> </w:t>
            </w:r>
            <w:r>
              <w:rPr>
                <w:rFonts w:ascii="宋体" w:hAnsi="宋体"/>
                <w:b/>
                <w:bCs/>
                <w:szCs w:val="21"/>
              </w:rPr>
              <w:t>地</w:t>
            </w:r>
            <w:r>
              <w:rPr>
                <w:rFonts w:hint="eastAsia" w:ascii="宋体" w:hAnsi="宋体"/>
                <w:b/>
                <w:bCs/>
                <w:szCs w:val="21"/>
              </w:rPr>
              <w:t xml:space="preserve"> </w:t>
            </w:r>
            <w:r>
              <w:rPr>
                <w:rFonts w:ascii="宋体" w:hAnsi="宋体"/>
                <w:b/>
                <w:bCs/>
                <w:szCs w:val="21"/>
              </w:rPr>
              <w:t>与</w:t>
            </w:r>
            <w:r>
              <w:rPr>
                <w:rFonts w:hint="eastAsia" w:ascii="宋体" w:hAnsi="宋体"/>
                <w:b/>
                <w:bCs/>
                <w:szCs w:val="21"/>
              </w:rPr>
              <w:t xml:space="preserve"> </w:t>
            </w:r>
            <w:r>
              <w:rPr>
                <w:rFonts w:ascii="宋体" w:hAnsi="宋体"/>
                <w:b/>
                <w:bCs/>
                <w:szCs w:val="21"/>
              </w:rPr>
              <w:t>室</w:t>
            </w:r>
            <w:r>
              <w:rPr>
                <w:rFonts w:hint="eastAsia" w:ascii="宋体" w:hAnsi="宋体"/>
                <w:b/>
                <w:bCs/>
                <w:szCs w:val="21"/>
              </w:rPr>
              <w:t xml:space="preserve"> </w:t>
            </w:r>
            <w:r>
              <w:rPr>
                <w:rFonts w:ascii="宋体" w:hAnsi="宋体"/>
                <w:b/>
                <w:bCs/>
                <w:szCs w:val="21"/>
              </w:rPr>
              <w:t>外</w:t>
            </w:r>
            <w:r>
              <w:rPr>
                <w:rFonts w:hint="eastAsia" w:ascii="宋体" w:hAnsi="宋体"/>
                <w:b/>
                <w:bCs/>
                <w:szCs w:val="21"/>
              </w:rPr>
              <w:t xml:space="preserve"> </w:t>
            </w:r>
            <w:r>
              <w:rPr>
                <w:rFonts w:ascii="宋体" w:hAnsi="宋体"/>
                <w:b/>
                <w:bCs/>
                <w:szCs w:val="21"/>
              </w:rPr>
              <w:t>环</w:t>
            </w:r>
            <w:r>
              <w:rPr>
                <w:rFonts w:hint="eastAsia" w:ascii="宋体" w:hAnsi="宋体"/>
                <w:b/>
                <w:bCs/>
                <w:szCs w:val="21"/>
              </w:rPr>
              <w:t xml:space="preserve"> </w:t>
            </w:r>
            <w:r>
              <w:rPr>
                <w:rFonts w:ascii="宋体" w:hAnsi="宋体"/>
                <w:b/>
                <w:bCs/>
                <w:szCs w:val="21"/>
              </w:rPr>
              <w:t>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jc w:val="center"/>
              <w:rPr>
                <w:rFonts w:ascii="宋体" w:hAnsi="宋体"/>
                <w:b/>
                <w:bCs/>
                <w:szCs w:val="21"/>
              </w:rPr>
            </w:pPr>
            <w:r>
              <w:rPr>
                <w:rFonts w:ascii="宋体" w:hAnsi="宋体"/>
                <w:b/>
                <w:bCs/>
                <w:szCs w:val="21"/>
              </w:rPr>
              <w:t>控</w:t>
            </w:r>
          </w:p>
          <w:p>
            <w:pPr>
              <w:jc w:val="center"/>
              <w:rPr>
                <w:rFonts w:ascii="宋体" w:hAnsi="宋体"/>
                <w:b/>
                <w:bCs/>
                <w:szCs w:val="21"/>
              </w:rPr>
            </w:pPr>
            <w:r>
              <w:rPr>
                <w:rFonts w:ascii="宋体" w:hAnsi="宋体"/>
                <w:b/>
                <w:bCs/>
                <w:szCs w:val="21"/>
              </w:rPr>
              <w:t>制</w:t>
            </w:r>
          </w:p>
          <w:p>
            <w:pPr>
              <w:jc w:val="center"/>
              <w:rPr>
                <w:rFonts w:ascii="宋体" w:hAnsi="宋体"/>
                <w:b/>
                <w:bCs/>
                <w:szCs w:val="21"/>
              </w:rPr>
            </w:pPr>
            <w:r>
              <w:rPr>
                <w:rFonts w:ascii="宋体" w:hAnsi="宋体"/>
                <w:b/>
                <w:bCs/>
                <w:szCs w:val="21"/>
              </w:rPr>
              <w:t>项</w:t>
            </w:r>
          </w:p>
        </w:tc>
        <w:tc>
          <w:tcPr>
            <w:tcW w:w="993" w:type="dxa"/>
            <w:vAlign w:val="center"/>
          </w:tcPr>
          <w:p>
            <w:pPr>
              <w:jc w:val="center"/>
              <w:rPr>
                <w:rFonts w:ascii="宋体" w:hAnsi="宋体"/>
                <w:szCs w:val="21"/>
              </w:rPr>
            </w:pPr>
            <w:r>
              <w:rPr>
                <w:rFonts w:ascii="宋体" w:hAnsi="宋体"/>
                <w:kern w:val="0"/>
                <w:szCs w:val="21"/>
              </w:rPr>
              <w:t>4.1.1</w:t>
            </w:r>
          </w:p>
        </w:tc>
        <w:tc>
          <w:tcPr>
            <w:tcW w:w="3408" w:type="dxa"/>
            <w:vAlign w:val="center"/>
          </w:tcPr>
          <w:p>
            <w:pPr>
              <w:jc w:val="left"/>
              <w:rPr>
                <w:rFonts w:ascii="宋体" w:hAnsi="宋体"/>
                <w:szCs w:val="21"/>
              </w:rPr>
            </w:pPr>
            <w:r>
              <w:rPr>
                <w:rFonts w:ascii="宋体" w:hAnsi="宋体"/>
                <w:kern w:val="0"/>
                <w:szCs w:val="21"/>
              </w:rPr>
              <w:t>项目选址符合所在地城乡规划，且符合各类保护区、文物古迹保护的控制要求。</w:t>
            </w:r>
          </w:p>
        </w:tc>
        <w:tc>
          <w:tcPr>
            <w:tcW w:w="844" w:type="dxa"/>
            <w:vAlign w:val="center"/>
          </w:tcPr>
          <w:p>
            <w:pPr>
              <w:jc w:val="center"/>
              <w:rPr>
                <w:rFonts w:ascii="宋体" w:hAnsi="宋体"/>
                <w:szCs w:val="21"/>
              </w:rPr>
            </w:pPr>
          </w:p>
        </w:tc>
        <w:tc>
          <w:tcPr>
            <w:tcW w:w="32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kern w:val="0"/>
                <w:szCs w:val="21"/>
              </w:rPr>
              <w:t>4.1.2</w:t>
            </w:r>
          </w:p>
        </w:tc>
        <w:tc>
          <w:tcPr>
            <w:tcW w:w="3408" w:type="dxa"/>
            <w:vAlign w:val="top"/>
          </w:tcPr>
          <w:p>
            <w:pPr>
              <w:rPr>
                <w:rFonts w:ascii="宋体" w:hAnsi="宋体"/>
                <w:kern w:val="0"/>
                <w:szCs w:val="21"/>
              </w:rPr>
            </w:pPr>
            <w:r>
              <w:rPr>
                <w:rFonts w:ascii="宋体" w:hAnsi="宋体"/>
                <w:kern w:val="0"/>
                <w:szCs w:val="21"/>
              </w:rPr>
              <w:t>场地安全，无洪涝、滑坡、泥石流等自然灾害的威胁，无危险化学品等污染源、易燃易爆危险源的威胁，无电磁辐射、含氡土壤等有害物质的危害。</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kern w:val="0"/>
                <w:szCs w:val="21"/>
              </w:rPr>
              <w:t>4.1.3</w:t>
            </w:r>
          </w:p>
        </w:tc>
        <w:tc>
          <w:tcPr>
            <w:tcW w:w="3408" w:type="dxa"/>
            <w:vAlign w:val="top"/>
          </w:tcPr>
          <w:p>
            <w:pPr>
              <w:rPr>
                <w:rFonts w:ascii="宋体" w:hAnsi="宋体"/>
                <w:kern w:val="0"/>
                <w:szCs w:val="21"/>
              </w:rPr>
            </w:pPr>
            <w:r>
              <w:rPr>
                <w:rFonts w:ascii="宋体" w:hAnsi="宋体"/>
                <w:kern w:val="0"/>
                <w:szCs w:val="21"/>
              </w:rPr>
              <w:t>场地内无超标污染物排放。</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kern w:val="0"/>
                <w:szCs w:val="21"/>
              </w:rPr>
              <w:t>4.1.4</w:t>
            </w:r>
          </w:p>
        </w:tc>
        <w:tc>
          <w:tcPr>
            <w:tcW w:w="3408" w:type="dxa"/>
            <w:vAlign w:val="top"/>
          </w:tcPr>
          <w:p>
            <w:pPr>
              <w:rPr>
                <w:rFonts w:ascii="宋体" w:hAnsi="宋体"/>
                <w:kern w:val="0"/>
                <w:szCs w:val="21"/>
              </w:rPr>
            </w:pPr>
            <w:r>
              <w:rPr>
                <w:rFonts w:ascii="宋体" w:hAnsi="宋体"/>
                <w:kern w:val="0"/>
                <w:szCs w:val="21"/>
              </w:rPr>
              <w:t>建筑规划布局满足日照标准，且不降低周边建筑的日照标准。</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jc w:val="center"/>
              <w:rPr>
                <w:rFonts w:ascii="宋体" w:hAnsi="宋体"/>
                <w:b/>
                <w:bCs/>
                <w:szCs w:val="21"/>
              </w:rPr>
            </w:pPr>
            <w:r>
              <w:rPr>
                <w:rFonts w:ascii="宋体" w:hAnsi="宋体"/>
                <w:b/>
                <w:bCs/>
                <w:szCs w:val="21"/>
              </w:rPr>
              <w:t>评</w:t>
            </w:r>
          </w:p>
          <w:p>
            <w:pPr>
              <w:jc w:val="center"/>
              <w:rPr>
                <w:rFonts w:ascii="宋体" w:hAnsi="宋体"/>
                <w:b/>
                <w:bCs/>
                <w:szCs w:val="21"/>
              </w:rPr>
            </w:pPr>
            <w:r>
              <w:rPr>
                <w:rFonts w:ascii="宋体" w:hAnsi="宋体"/>
                <w:b/>
                <w:bCs/>
                <w:szCs w:val="21"/>
              </w:rPr>
              <w:t>分</w:t>
            </w:r>
          </w:p>
          <w:p>
            <w:pPr>
              <w:jc w:val="center"/>
              <w:rPr>
                <w:rFonts w:ascii="宋体" w:hAnsi="宋体"/>
                <w:b/>
                <w:bCs/>
                <w:szCs w:val="21"/>
              </w:rPr>
            </w:pPr>
            <w:r>
              <w:rPr>
                <w:rFonts w:ascii="宋体" w:hAnsi="宋体"/>
                <w:b/>
                <w:bCs/>
                <w:szCs w:val="21"/>
              </w:rPr>
              <w:t>项</w:t>
            </w:r>
          </w:p>
        </w:tc>
        <w:tc>
          <w:tcPr>
            <w:tcW w:w="4401" w:type="dxa"/>
            <w:gridSpan w:val="2"/>
            <w:vAlign w:val="center"/>
          </w:tcPr>
          <w:p>
            <w:pPr>
              <w:jc w:val="center"/>
              <w:rPr>
                <w:rFonts w:ascii="宋体" w:hAnsi="宋体"/>
                <w:szCs w:val="21"/>
              </w:rPr>
            </w:pPr>
            <w:r>
              <w:rPr>
                <w:rFonts w:hint="eastAsia" w:ascii="宋体" w:hAnsi="宋体"/>
                <w:b/>
                <w:bCs/>
                <w:szCs w:val="21"/>
              </w:rPr>
              <w:t>评价条文</w:t>
            </w:r>
          </w:p>
        </w:tc>
        <w:tc>
          <w:tcPr>
            <w:tcW w:w="844" w:type="dxa"/>
            <w:vAlign w:val="center"/>
          </w:tcPr>
          <w:p>
            <w:pPr>
              <w:jc w:val="center"/>
              <w:rPr>
                <w:rFonts w:ascii="宋体" w:hAnsi="宋体"/>
                <w:szCs w:val="21"/>
              </w:rPr>
            </w:pPr>
            <w:r>
              <w:rPr>
                <w:rFonts w:ascii="宋体" w:hAnsi="宋体"/>
                <w:b/>
                <w:bCs/>
                <w:szCs w:val="21"/>
              </w:rPr>
              <w:t>得分</w:t>
            </w:r>
          </w:p>
        </w:tc>
        <w:tc>
          <w:tcPr>
            <w:tcW w:w="3260" w:type="dxa"/>
            <w:vAlign w:val="center"/>
          </w:tcPr>
          <w:p>
            <w:pPr>
              <w:jc w:val="center"/>
              <w:rPr>
                <w:rFonts w:ascii="宋体" w:hAnsi="宋体"/>
                <w:szCs w:val="21"/>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kern w:val="0"/>
                <w:szCs w:val="21"/>
              </w:rPr>
              <w:t>4.2.1</w:t>
            </w:r>
          </w:p>
        </w:tc>
        <w:tc>
          <w:tcPr>
            <w:tcW w:w="3408" w:type="dxa"/>
            <w:vAlign w:val="top"/>
          </w:tcPr>
          <w:p>
            <w:pPr>
              <w:rPr>
                <w:rFonts w:hint="eastAsia" w:ascii="宋体" w:hAnsi="宋体"/>
                <w:kern w:val="0"/>
                <w:szCs w:val="21"/>
              </w:rPr>
            </w:pPr>
            <w:r>
              <w:rPr>
                <w:rFonts w:hint="eastAsia" w:ascii="宋体" w:hAnsi="宋体"/>
                <w:kern w:val="0"/>
                <w:szCs w:val="21"/>
              </w:rPr>
              <w:t>节约集约利于土地，总得分：19分。</w:t>
            </w:r>
          </w:p>
          <w:p>
            <w:pPr>
              <w:rPr>
                <w:rFonts w:hint="eastAsia" w:ascii="宋体" w:hAnsi="宋体"/>
                <w:b/>
                <w:kern w:val="0"/>
                <w:szCs w:val="21"/>
              </w:rPr>
            </w:pPr>
            <w:r>
              <w:rPr>
                <w:rFonts w:hint="eastAsia" w:ascii="宋体" w:hAnsi="宋体"/>
                <w:b/>
                <w:kern w:val="0"/>
                <w:szCs w:val="21"/>
              </w:rPr>
              <w:t>居住建筑人均居住用地指标A（㎡）：</w:t>
            </w:r>
          </w:p>
          <w:p>
            <w:pPr>
              <w:rPr>
                <w:rFonts w:hint="eastAsia" w:ascii="宋体" w:hAnsi="宋体"/>
                <w:kern w:val="0"/>
                <w:szCs w:val="21"/>
              </w:rPr>
            </w:pPr>
            <w:r>
              <w:rPr>
                <w:rFonts w:ascii="宋体" w:hAnsi="宋体"/>
                <w:kern w:val="0"/>
                <w:szCs w:val="21"/>
              </w:rPr>
              <w:t>①</w:t>
            </w:r>
            <w:r>
              <w:rPr>
                <w:rFonts w:hint="eastAsia" w:ascii="宋体" w:hAnsi="宋体"/>
                <w:kern w:val="0"/>
                <w:szCs w:val="21"/>
              </w:rPr>
              <w:t>低层（3层及以下）35＜A≤41、多层（4-6层）23＜A≤26、小高层（7-12层）22＜A≤24、中高层（13-18层）20＜A≤22、高层（19及以上）11＜A≤13；</w:t>
            </w:r>
            <w:r>
              <w:rPr>
                <w:rFonts w:ascii="宋体" w:hAnsi="宋体"/>
                <w:kern w:val="0"/>
                <w:szCs w:val="21"/>
              </w:rPr>
              <w:t>得15分；</w:t>
            </w:r>
          </w:p>
          <w:p>
            <w:pPr>
              <w:rPr>
                <w:rFonts w:hint="eastAsia" w:ascii="宋体" w:hAnsi="宋体"/>
                <w:kern w:val="0"/>
                <w:szCs w:val="21"/>
              </w:rPr>
            </w:pPr>
            <w:r>
              <w:rPr>
                <w:rFonts w:ascii="宋体" w:hAnsi="宋体"/>
                <w:kern w:val="0"/>
                <w:szCs w:val="21"/>
              </w:rPr>
              <w:t>①</w:t>
            </w:r>
            <w:r>
              <w:rPr>
                <w:rFonts w:hint="eastAsia" w:ascii="宋体" w:hAnsi="宋体"/>
                <w:kern w:val="0"/>
                <w:szCs w:val="21"/>
              </w:rPr>
              <w:t>低层A≤35、多层A≤23、小高层A≤22、中高层A≤20、高层A≤11；</w:t>
            </w:r>
            <w:r>
              <w:rPr>
                <w:rFonts w:ascii="宋体" w:hAnsi="宋体"/>
                <w:kern w:val="0"/>
                <w:szCs w:val="21"/>
              </w:rPr>
              <w:t>得1</w:t>
            </w:r>
            <w:r>
              <w:rPr>
                <w:rFonts w:hint="eastAsia" w:ascii="宋体" w:hAnsi="宋体"/>
                <w:kern w:val="0"/>
                <w:szCs w:val="21"/>
              </w:rPr>
              <w:t>9</w:t>
            </w:r>
            <w:r>
              <w:rPr>
                <w:rFonts w:ascii="宋体" w:hAnsi="宋体"/>
                <w:kern w:val="0"/>
                <w:szCs w:val="21"/>
              </w:rPr>
              <w:t>分</w:t>
            </w:r>
            <w:r>
              <w:rPr>
                <w:rFonts w:hint="eastAsia" w:ascii="宋体" w:hAnsi="宋体"/>
                <w:kern w:val="0"/>
                <w:szCs w:val="21"/>
              </w:rPr>
              <w:t>。</w:t>
            </w:r>
          </w:p>
          <w:p>
            <w:pPr>
              <w:rPr>
                <w:rFonts w:ascii="宋体" w:hAnsi="宋体"/>
                <w:b/>
                <w:kern w:val="0"/>
                <w:szCs w:val="21"/>
              </w:rPr>
            </w:pPr>
            <w:r>
              <w:rPr>
                <w:rFonts w:hint="eastAsia" w:ascii="宋体" w:hAnsi="宋体"/>
                <w:b/>
                <w:kern w:val="0"/>
                <w:szCs w:val="21"/>
              </w:rPr>
              <w:t>公共建筑</w:t>
            </w:r>
            <w:r>
              <w:rPr>
                <w:rFonts w:ascii="宋体" w:hAnsi="宋体"/>
                <w:b/>
                <w:kern w:val="0"/>
                <w:szCs w:val="21"/>
              </w:rPr>
              <w:t>容积率</w:t>
            </w:r>
            <w:r>
              <w:rPr>
                <w:rFonts w:hint="eastAsia" w:ascii="宋体" w:hAnsi="宋体"/>
                <w:b/>
                <w:kern w:val="0"/>
                <w:szCs w:val="21"/>
              </w:rPr>
              <w:t>R</w:t>
            </w:r>
            <w:r>
              <w:rPr>
                <w:rFonts w:ascii="宋体" w:hAnsi="宋体"/>
                <w:b/>
                <w:kern w:val="0"/>
                <w:szCs w:val="21"/>
              </w:rPr>
              <w:t>：</w:t>
            </w:r>
          </w:p>
          <w:p>
            <w:pPr>
              <w:rPr>
                <w:rFonts w:ascii="宋体" w:hAnsi="宋体"/>
                <w:kern w:val="0"/>
                <w:szCs w:val="21"/>
              </w:rPr>
            </w:pPr>
            <w:r>
              <w:rPr>
                <w:rFonts w:ascii="宋体" w:hAnsi="宋体"/>
                <w:kern w:val="0"/>
                <w:szCs w:val="21"/>
              </w:rPr>
              <w:t>①0.5</w:t>
            </w:r>
            <w:r>
              <w:rPr>
                <w:rFonts w:hint="eastAsia" w:ascii="宋体" w:hAnsi="宋体"/>
                <w:kern w:val="0"/>
                <w:szCs w:val="21"/>
              </w:rPr>
              <w:t>≤R＜</w:t>
            </w:r>
            <w:r>
              <w:rPr>
                <w:rFonts w:ascii="宋体" w:hAnsi="宋体"/>
                <w:kern w:val="0"/>
                <w:szCs w:val="21"/>
              </w:rPr>
              <w:t>0.8，得5分；</w:t>
            </w:r>
          </w:p>
          <w:p>
            <w:pPr>
              <w:rPr>
                <w:rFonts w:ascii="宋体" w:hAnsi="宋体"/>
                <w:kern w:val="0"/>
                <w:szCs w:val="21"/>
              </w:rPr>
            </w:pPr>
            <w:r>
              <w:rPr>
                <w:rFonts w:ascii="宋体" w:hAnsi="宋体"/>
                <w:kern w:val="0"/>
                <w:szCs w:val="21"/>
              </w:rPr>
              <w:t>②0.8</w:t>
            </w:r>
            <w:r>
              <w:rPr>
                <w:rFonts w:hint="eastAsia" w:ascii="宋体" w:hAnsi="宋体"/>
                <w:kern w:val="0"/>
                <w:szCs w:val="21"/>
              </w:rPr>
              <w:t>≤R＜</w:t>
            </w:r>
            <w:r>
              <w:rPr>
                <w:rFonts w:ascii="宋体" w:hAnsi="宋体"/>
                <w:kern w:val="0"/>
                <w:szCs w:val="21"/>
              </w:rPr>
              <w:t>1.5，得10分；</w:t>
            </w:r>
          </w:p>
          <w:p>
            <w:pPr>
              <w:rPr>
                <w:rFonts w:ascii="宋体" w:hAnsi="宋体"/>
                <w:kern w:val="0"/>
                <w:szCs w:val="21"/>
              </w:rPr>
            </w:pPr>
            <w:r>
              <w:rPr>
                <w:rFonts w:ascii="宋体" w:hAnsi="宋体"/>
                <w:kern w:val="0"/>
                <w:szCs w:val="21"/>
              </w:rPr>
              <w:t>③1.5</w:t>
            </w:r>
            <w:r>
              <w:rPr>
                <w:rFonts w:hint="eastAsia" w:ascii="宋体" w:hAnsi="宋体"/>
                <w:kern w:val="0"/>
                <w:szCs w:val="21"/>
              </w:rPr>
              <w:t>≤R＜</w:t>
            </w:r>
            <w:r>
              <w:rPr>
                <w:rFonts w:ascii="宋体" w:hAnsi="宋体"/>
                <w:kern w:val="0"/>
                <w:szCs w:val="21"/>
              </w:rPr>
              <w:t>3.5，得15分；</w:t>
            </w:r>
          </w:p>
          <w:p>
            <w:pPr>
              <w:rPr>
                <w:rFonts w:ascii="宋体" w:hAnsi="宋体"/>
                <w:kern w:val="0"/>
                <w:szCs w:val="21"/>
              </w:rPr>
            </w:pPr>
            <w:r>
              <w:rPr>
                <w:rFonts w:ascii="宋体" w:hAnsi="宋体"/>
                <w:kern w:val="0"/>
                <w:szCs w:val="21"/>
              </w:rPr>
              <w:t>④</w:t>
            </w:r>
            <w:r>
              <w:rPr>
                <w:rFonts w:hint="eastAsia" w:ascii="宋体" w:hAnsi="宋体"/>
                <w:kern w:val="0"/>
                <w:szCs w:val="21"/>
              </w:rPr>
              <w:t>R≥</w:t>
            </w:r>
            <w:r>
              <w:rPr>
                <w:rFonts w:ascii="宋体" w:hAnsi="宋体"/>
                <w:kern w:val="0"/>
                <w:szCs w:val="21"/>
              </w:rPr>
              <w:t>3.5，得19分。</w:t>
            </w:r>
          </w:p>
        </w:tc>
        <w:tc>
          <w:tcPr>
            <w:tcW w:w="844" w:type="dxa"/>
            <w:vAlign w:val="center"/>
          </w:tcPr>
          <w:p>
            <w:pPr>
              <w:jc w:val="center"/>
              <w:rPr>
                <w:rFonts w:hint="eastAsia" w:ascii="宋体" w:hAnsi="宋体"/>
                <w:color w:val="000000"/>
                <w:szCs w:val="21"/>
              </w:rPr>
            </w:pPr>
            <w:r>
              <w:rPr>
                <w:rFonts w:hint="eastAsia" w:ascii="宋体" w:hAnsi="宋体"/>
                <w:color w:val="000000"/>
                <w:szCs w:val="21"/>
              </w:rPr>
              <w:t xml:space="preserve"> </w:t>
            </w:r>
          </w:p>
        </w:tc>
        <w:tc>
          <w:tcPr>
            <w:tcW w:w="3260" w:type="dxa"/>
            <w:vAlign w:val="center"/>
          </w:tcPr>
          <w:p>
            <w:pPr>
              <w:jc w:val="left"/>
              <w:rPr>
                <w:rFonts w:ascii="宋体" w:hAnsi="宋体"/>
                <w:b/>
                <w:color w:val="000000"/>
                <w:szCs w:val="21"/>
              </w:rPr>
            </w:pPr>
            <w:r>
              <w:rPr>
                <w:rFonts w:hint="eastAsia" w:ascii="宋体" w:hAnsi="宋体"/>
                <w:bCs/>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kern w:val="0"/>
                <w:szCs w:val="21"/>
              </w:rPr>
              <w:t>4.2.2</w:t>
            </w:r>
          </w:p>
        </w:tc>
        <w:tc>
          <w:tcPr>
            <w:tcW w:w="3408" w:type="dxa"/>
            <w:vAlign w:val="top"/>
          </w:tcPr>
          <w:p>
            <w:pPr>
              <w:rPr>
                <w:rFonts w:hint="eastAsia" w:ascii="宋体" w:hAnsi="宋体"/>
                <w:kern w:val="0"/>
                <w:szCs w:val="21"/>
              </w:rPr>
            </w:pPr>
            <w:r>
              <w:rPr>
                <w:rFonts w:hint="eastAsia" w:ascii="宋体" w:hAnsi="宋体"/>
                <w:kern w:val="0"/>
                <w:szCs w:val="21"/>
              </w:rPr>
              <w:t>场地内合理设置绿化用地，总得分：9分。</w:t>
            </w:r>
          </w:p>
          <w:p>
            <w:pPr>
              <w:rPr>
                <w:rFonts w:hint="eastAsia" w:ascii="宋体" w:hAnsi="宋体"/>
                <w:b/>
                <w:kern w:val="0"/>
                <w:szCs w:val="21"/>
              </w:rPr>
            </w:pPr>
            <w:r>
              <w:rPr>
                <w:rFonts w:hint="eastAsia" w:ascii="宋体" w:hAnsi="宋体"/>
                <w:b/>
                <w:kern w:val="0"/>
                <w:szCs w:val="21"/>
              </w:rPr>
              <w:t>居住建筑：</w:t>
            </w:r>
          </w:p>
          <w:p>
            <w:pPr>
              <w:rPr>
                <w:rFonts w:hint="eastAsia" w:ascii="宋体" w:hAnsi="宋体"/>
                <w:kern w:val="0"/>
                <w:szCs w:val="21"/>
              </w:rPr>
            </w:pPr>
            <w:r>
              <w:rPr>
                <w:rFonts w:hint="eastAsia" w:ascii="宋体" w:hAnsi="宋体"/>
                <w:kern w:val="0"/>
                <w:szCs w:val="21"/>
              </w:rPr>
              <w:t>1）住区绿地率：新区建设达到30%，旧区改建项目达到25%</w:t>
            </w:r>
            <w:r>
              <w:rPr>
                <w:rFonts w:ascii="宋体" w:hAnsi="宋体"/>
                <w:kern w:val="0"/>
                <w:szCs w:val="21"/>
              </w:rPr>
              <w:t>，得</w:t>
            </w:r>
            <w:r>
              <w:rPr>
                <w:rFonts w:hint="eastAsia" w:ascii="宋体" w:hAnsi="宋体"/>
                <w:kern w:val="0"/>
                <w:szCs w:val="21"/>
              </w:rPr>
              <w:t>2</w:t>
            </w:r>
            <w:r>
              <w:rPr>
                <w:rFonts w:ascii="宋体" w:hAnsi="宋体"/>
                <w:kern w:val="0"/>
                <w:szCs w:val="21"/>
              </w:rPr>
              <w:t>分</w:t>
            </w:r>
            <w:r>
              <w:rPr>
                <w:rFonts w:hint="eastAsia" w:ascii="宋体" w:hAnsi="宋体"/>
                <w:kern w:val="0"/>
                <w:szCs w:val="21"/>
              </w:rPr>
              <w:t>。</w:t>
            </w:r>
          </w:p>
          <w:p>
            <w:pPr>
              <w:rPr>
                <w:rFonts w:hint="eastAsia" w:ascii="宋体" w:hAnsi="宋体"/>
                <w:kern w:val="0"/>
                <w:szCs w:val="21"/>
              </w:rPr>
            </w:pPr>
            <w:r>
              <w:rPr>
                <w:rFonts w:hint="eastAsia" w:ascii="宋体" w:hAnsi="宋体"/>
                <w:kern w:val="0"/>
                <w:szCs w:val="21"/>
              </w:rPr>
              <w:t>2）住区人均公共绿地面积Ag（㎡）：</w:t>
            </w:r>
          </w:p>
          <w:p>
            <w:pPr>
              <w:rPr>
                <w:rFonts w:ascii="宋体" w:hAnsi="宋体"/>
                <w:kern w:val="0"/>
                <w:szCs w:val="21"/>
              </w:rPr>
            </w:pPr>
            <w:r>
              <w:rPr>
                <w:rFonts w:ascii="宋体" w:hAnsi="宋体"/>
                <w:kern w:val="0"/>
                <w:szCs w:val="21"/>
              </w:rPr>
              <w:t>①</w:t>
            </w:r>
            <w:r>
              <w:rPr>
                <w:rFonts w:hint="eastAsia" w:ascii="宋体" w:hAnsi="宋体"/>
                <w:kern w:val="0"/>
                <w:szCs w:val="21"/>
              </w:rPr>
              <w:t>新区1.0≤A</w:t>
            </w:r>
            <w:r>
              <w:rPr>
                <w:rFonts w:ascii="宋体" w:hAnsi="宋体"/>
                <w:kern w:val="0"/>
                <w:szCs w:val="21"/>
              </w:rPr>
              <w:t>g</w:t>
            </w:r>
            <w:r>
              <w:rPr>
                <w:rFonts w:hint="eastAsia" w:ascii="宋体" w:hAnsi="宋体"/>
                <w:kern w:val="0"/>
                <w:szCs w:val="21"/>
              </w:rPr>
              <w:t>＜1.3</w:t>
            </w:r>
            <w:r>
              <w:rPr>
                <w:rFonts w:ascii="宋体" w:hAnsi="宋体"/>
                <w:kern w:val="0"/>
                <w:szCs w:val="21"/>
              </w:rPr>
              <w:t>,</w:t>
            </w:r>
            <w:r>
              <w:rPr>
                <w:rFonts w:hint="eastAsia" w:ascii="宋体" w:hAnsi="宋体"/>
                <w:kern w:val="0"/>
                <w:szCs w:val="21"/>
              </w:rPr>
              <w:t>旧区0.7≤A</w:t>
            </w:r>
            <w:r>
              <w:rPr>
                <w:rFonts w:ascii="宋体" w:hAnsi="宋体"/>
                <w:kern w:val="0"/>
                <w:szCs w:val="21"/>
              </w:rPr>
              <w:t>g</w:t>
            </w:r>
            <w:r>
              <w:rPr>
                <w:rFonts w:hint="eastAsia" w:ascii="宋体" w:hAnsi="宋体"/>
                <w:kern w:val="0"/>
                <w:szCs w:val="21"/>
              </w:rPr>
              <w:t>＜0.9</w:t>
            </w:r>
            <w:r>
              <w:rPr>
                <w:rFonts w:ascii="宋体" w:hAnsi="宋体"/>
                <w:kern w:val="0"/>
                <w:szCs w:val="21"/>
              </w:rPr>
              <w:t>,得</w:t>
            </w:r>
            <w:r>
              <w:rPr>
                <w:rFonts w:hint="eastAsia" w:ascii="宋体" w:hAnsi="宋体"/>
                <w:kern w:val="0"/>
                <w:szCs w:val="21"/>
              </w:rPr>
              <w:t>3</w:t>
            </w:r>
            <w:r>
              <w:rPr>
                <w:rFonts w:ascii="宋体" w:hAnsi="宋体"/>
                <w:kern w:val="0"/>
                <w:szCs w:val="21"/>
              </w:rPr>
              <w:t>分；</w:t>
            </w:r>
          </w:p>
          <w:p>
            <w:pPr>
              <w:rPr>
                <w:rFonts w:hint="eastAsia" w:ascii="宋体" w:hAnsi="宋体"/>
                <w:kern w:val="0"/>
                <w:szCs w:val="21"/>
              </w:rPr>
            </w:pPr>
            <w:r>
              <w:rPr>
                <w:rFonts w:ascii="宋体" w:hAnsi="宋体"/>
                <w:kern w:val="0"/>
                <w:szCs w:val="21"/>
              </w:rPr>
              <w:t>②</w:t>
            </w:r>
            <w:r>
              <w:rPr>
                <w:rFonts w:hint="eastAsia" w:ascii="宋体" w:hAnsi="宋体"/>
                <w:kern w:val="0"/>
                <w:szCs w:val="21"/>
              </w:rPr>
              <w:t>新区1.3≤A</w:t>
            </w:r>
            <w:r>
              <w:rPr>
                <w:rFonts w:ascii="宋体" w:hAnsi="宋体"/>
                <w:kern w:val="0"/>
                <w:szCs w:val="21"/>
              </w:rPr>
              <w:t>g</w:t>
            </w:r>
            <w:r>
              <w:rPr>
                <w:rFonts w:hint="eastAsia" w:ascii="宋体" w:hAnsi="宋体"/>
                <w:kern w:val="0"/>
                <w:szCs w:val="21"/>
              </w:rPr>
              <w:t>＜1.5</w:t>
            </w:r>
            <w:r>
              <w:rPr>
                <w:rFonts w:ascii="宋体" w:hAnsi="宋体"/>
                <w:kern w:val="0"/>
                <w:szCs w:val="21"/>
              </w:rPr>
              <w:t>,</w:t>
            </w:r>
            <w:r>
              <w:rPr>
                <w:rFonts w:hint="eastAsia" w:ascii="宋体" w:hAnsi="宋体"/>
                <w:kern w:val="0"/>
                <w:szCs w:val="21"/>
              </w:rPr>
              <w:t>旧区0.9≤A</w:t>
            </w:r>
            <w:r>
              <w:rPr>
                <w:rFonts w:ascii="宋体" w:hAnsi="宋体"/>
                <w:kern w:val="0"/>
                <w:szCs w:val="21"/>
              </w:rPr>
              <w:t>g</w:t>
            </w:r>
            <w:r>
              <w:rPr>
                <w:rFonts w:hint="eastAsia" w:ascii="宋体" w:hAnsi="宋体"/>
                <w:kern w:val="0"/>
                <w:szCs w:val="21"/>
              </w:rPr>
              <w:t>＜1.0</w:t>
            </w:r>
            <w:r>
              <w:rPr>
                <w:rFonts w:ascii="宋体" w:hAnsi="宋体"/>
                <w:kern w:val="0"/>
                <w:szCs w:val="21"/>
              </w:rPr>
              <w:t>,得</w:t>
            </w:r>
            <w:r>
              <w:rPr>
                <w:rFonts w:hint="eastAsia" w:ascii="宋体" w:hAnsi="宋体"/>
                <w:kern w:val="0"/>
                <w:szCs w:val="21"/>
              </w:rPr>
              <w:t>5</w:t>
            </w:r>
            <w:r>
              <w:rPr>
                <w:rFonts w:ascii="宋体" w:hAnsi="宋体"/>
                <w:kern w:val="0"/>
                <w:szCs w:val="21"/>
              </w:rPr>
              <w:t>分；</w:t>
            </w:r>
          </w:p>
          <w:p>
            <w:pPr>
              <w:rPr>
                <w:rFonts w:hint="eastAsia" w:ascii="宋体" w:hAnsi="宋体"/>
                <w:kern w:val="0"/>
                <w:szCs w:val="21"/>
              </w:rPr>
            </w:pPr>
            <w:r>
              <w:rPr>
                <w:rFonts w:ascii="宋体" w:hAnsi="宋体"/>
                <w:kern w:val="0"/>
                <w:szCs w:val="21"/>
              </w:rPr>
              <w:t>③</w:t>
            </w:r>
            <w:r>
              <w:rPr>
                <w:rFonts w:hint="eastAsia" w:ascii="宋体" w:hAnsi="宋体"/>
                <w:kern w:val="0"/>
                <w:szCs w:val="21"/>
              </w:rPr>
              <w:t>新区A</w:t>
            </w:r>
            <w:r>
              <w:rPr>
                <w:rFonts w:ascii="宋体" w:hAnsi="宋体"/>
                <w:kern w:val="0"/>
                <w:szCs w:val="21"/>
              </w:rPr>
              <w:t>g</w:t>
            </w:r>
            <w:r>
              <w:rPr>
                <w:rFonts w:hint="eastAsia" w:ascii="宋体" w:hAnsi="宋体"/>
                <w:kern w:val="0"/>
                <w:szCs w:val="21"/>
              </w:rPr>
              <w:t>≥1.5，旧区A</w:t>
            </w:r>
            <w:r>
              <w:rPr>
                <w:rFonts w:ascii="宋体" w:hAnsi="宋体"/>
                <w:kern w:val="0"/>
                <w:szCs w:val="21"/>
              </w:rPr>
              <w:t>g</w:t>
            </w:r>
            <w:r>
              <w:rPr>
                <w:rFonts w:hint="eastAsia" w:ascii="宋体" w:hAnsi="宋体"/>
                <w:kern w:val="0"/>
                <w:szCs w:val="21"/>
              </w:rPr>
              <w:t>≥1.0，</w:t>
            </w:r>
            <w:r>
              <w:rPr>
                <w:rFonts w:ascii="宋体" w:hAnsi="宋体"/>
                <w:kern w:val="0"/>
                <w:szCs w:val="21"/>
              </w:rPr>
              <w:t>得</w:t>
            </w:r>
            <w:r>
              <w:rPr>
                <w:rFonts w:hint="eastAsia" w:ascii="宋体" w:hAnsi="宋体"/>
                <w:kern w:val="0"/>
                <w:szCs w:val="21"/>
              </w:rPr>
              <w:t>7</w:t>
            </w:r>
            <w:r>
              <w:rPr>
                <w:rFonts w:ascii="宋体" w:hAnsi="宋体"/>
                <w:kern w:val="0"/>
                <w:szCs w:val="21"/>
              </w:rPr>
              <w:t>分</w:t>
            </w:r>
            <w:r>
              <w:rPr>
                <w:rFonts w:hint="eastAsia" w:ascii="宋体" w:hAnsi="宋体"/>
                <w:kern w:val="0"/>
                <w:szCs w:val="21"/>
              </w:rPr>
              <w:t>。</w:t>
            </w:r>
          </w:p>
          <w:p>
            <w:pPr>
              <w:rPr>
                <w:rFonts w:hint="eastAsia" w:ascii="宋体" w:hAnsi="宋体"/>
                <w:b/>
                <w:kern w:val="0"/>
                <w:szCs w:val="21"/>
              </w:rPr>
            </w:pPr>
            <w:r>
              <w:rPr>
                <w:rFonts w:ascii="宋体" w:hAnsi="宋体"/>
                <w:b/>
                <w:kern w:val="0"/>
                <w:szCs w:val="21"/>
              </w:rPr>
              <w:t>公共建筑</w:t>
            </w:r>
            <w:r>
              <w:rPr>
                <w:rFonts w:hint="eastAsia" w:ascii="宋体" w:hAnsi="宋体"/>
                <w:b/>
                <w:kern w:val="0"/>
                <w:szCs w:val="21"/>
              </w:rPr>
              <w:t>：</w:t>
            </w:r>
          </w:p>
          <w:p>
            <w:pPr>
              <w:rPr>
                <w:rFonts w:hint="eastAsia" w:ascii="宋体" w:hAnsi="宋体"/>
                <w:kern w:val="0"/>
                <w:szCs w:val="21"/>
              </w:rPr>
            </w:pPr>
            <w:r>
              <w:rPr>
                <w:rFonts w:hint="eastAsia" w:ascii="宋体" w:hAnsi="宋体"/>
                <w:kern w:val="0"/>
                <w:szCs w:val="21"/>
              </w:rPr>
              <w:t>1）</w:t>
            </w:r>
            <w:r>
              <w:rPr>
                <w:rFonts w:ascii="宋体" w:hAnsi="宋体"/>
                <w:kern w:val="0"/>
                <w:szCs w:val="21"/>
              </w:rPr>
              <w:t>绿地率Rg</w:t>
            </w:r>
            <w:r>
              <w:rPr>
                <w:rFonts w:hint="eastAsia" w:ascii="宋体" w:hAnsi="宋体"/>
                <w:kern w:val="0"/>
                <w:szCs w:val="21"/>
              </w:rPr>
              <w:t>：</w:t>
            </w:r>
          </w:p>
          <w:p>
            <w:pPr>
              <w:rPr>
                <w:rFonts w:ascii="宋体" w:hAnsi="宋体"/>
                <w:kern w:val="0"/>
                <w:szCs w:val="21"/>
              </w:rPr>
            </w:pPr>
            <w:r>
              <w:rPr>
                <w:rFonts w:ascii="宋体" w:hAnsi="宋体"/>
                <w:kern w:val="0"/>
                <w:szCs w:val="21"/>
              </w:rPr>
              <w:t>①30%</w:t>
            </w:r>
            <w:r>
              <w:rPr>
                <w:rFonts w:hint="eastAsia" w:ascii="宋体" w:hAnsi="宋体"/>
                <w:kern w:val="0"/>
                <w:szCs w:val="21"/>
              </w:rPr>
              <w:t>≤</w:t>
            </w:r>
            <w:r>
              <w:rPr>
                <w:rFonts w:ascii="宋体" w:hAnsi="宋体"/>
                <w:kern w:val="0"/>
                <w:szCs w:val="21"/>
              </w:rPr>
              <w:t>Rg</w:t>
            </w:r>
            <w:r>
              <w:rPr>
                <w:rFonts w:hint="eastAsia" w:ascii="宋体" w:hAnsi="宋体"/>
                <w:kern w:val="0"/>
                <w:szCs w:val="21"/>
              </w:rPr>
              <w:t>＜</w:t>
            </w:r>
            <w:r>
              <w:rPr>
                <w:rFonts w:ascii="宋体" w:hAnsi="宋体"/>
                <w:kern w:val="0"/>
                <w:szCs w:val="21"/>
              </w:rPr>
              <w:t>35%,得2分；</w:t>
            </w:r>
          </w:p>
          <w:p>
            <w:pPr>
              <w:rPr>
                <w:rFonts w:ascii="宋体" w:hAnsi="宋体"/>
                <w:kern w:val="0"/>
                <w:szCs w:val="21"/>
              </w:rPr>
            </w:pPr>
            <w:r>
              <w:rPr>
                <w:rFonts w:ascii="宋体" w:hAnsi="宋体"/>
                <w:kern w:val="0"/>
                <w:szCs w:val="21"/>
              </w:rPr>
              <w:t>②35%</w:t>
            </w:r>
            <w:r>
              <w:rPr>
                <w:rFonts w:hint="eastAsia" w:ascii="宋体" w:hAnsi="宋体"/>
                <w:kern w:val="0"/>
                <w:szCs w:val="21"/>
              </w:rPr>
              <w:t>≤</w:t>
            </w:r>
            <w:r>
              <w:rPr>
                <w:rFonts w:ascii="宋体" w:hAnsi="宋体"/>
                <w:kern w:val="0"/>
                <w:szCs w:val="21"/>
              </w:rPr>
              <w:t>Rg</w:t>
            </w:r>
            <w:r>
              <w:rPr>
                <w:rFonts w:hint="eastAsia" w:ascii="宋体" w:hAnsi="宋体"/>
                <w:kern w:val="0"/>
                <w:szCs w:val="21"/>
              </w:rPr>
              <w:t>＜</w:t>
            </w:r>
            <w:r>
              <w:rPr>
                <w:rFonts w:ascii="宋体" w:hAnsi="宋体"/>
                <w:kern w:val="0"/>
                <w:szCs w:val="21"/>
              </w:rPr>
              <w:t>40%,得5分；</w:t>
            </w:r>
          </w:p>
          <w:p>
            <w:pPr>
              <w:rPr>
                <w:rFonts w:ascii="宋体" w:hAnsi="宋体"/>
                <w:kern w:val="0"/>
                <w:szCs w:val="21"/>
              </w:rPr>
            </w:pPr>
            <w:r>
              <w:rPr>
                <w:rFonts w:ascii="宋体" w:hAnsi="宋体"/>
                <w:kern w:val="0"/>
                <w:szCs w:val="21"/>
              </w:rPr>
              <w:t>③Rg</w:t>
            </w:r>
            <w:r>
              <w:rPr>
                <w:rFonts w:hint="eastAsia" w:ascii="宋体" w:hAnsi="宋体"/>
                <w:kern w:val="0"/>
                <w:szCs w:val="21"/>
              </w:rPr>
              <w:t>≥</w:t>
            </w:r>
            <w:r>
              <w:rPr>
                <w:rFonts w:ascii="宋体" w:hAnsi="宋体"/>
                <w:kern w:val="0"/>
                <w:szCs w:val="21"/>
              </w:rPr>
              <w:t>40%，得7分。</w:t>
            </w:r>
          </w:p>
          <w:p>
            <w:pPr>
              <w:rPr>
                <w:rFonts w:ascii="宋体" w:hAnsi="宋体"/>
                <w:kern w:val="0"/>
                <w:szCs w:val="21"/>
              </w:rPr>
            </w:pPr>
            <w:r>
              <w:rPr>
                <w:rFonts w:hint="eastAsia" w:ascii="宋体" w:hAnsi="宋体"/>
                <w:kern w:val="0"/>
                <w:szCs w:val="21"/>
              </w:rPr>
              <w:t>2）</w:t>
            </w:r>
            <w:r>
              <w:rPr>
                <w:rFonts w:ascii="宋体" w:hAnsi="宋体"/>
                <w:kern w:val="0"/>
                <w:szCs w:val="21"/>
              </w:rPr>
              <w:t>绿地向社会公众开放，得2分。</w:t>
            </w:r>
          </w:p>
        </w:tc>
        <w:tc>
          <w:tcPr>
            <w:tcW w:w="844" w:type="dxa"/>
            <w:vAlign w:val="center"/>
          </w:tcPr>
          <w:p>
            <w:pPr>
              <w:jc w:val="center"/>
              <w:rPr>
                <w:rFonts w:hint="eastAsia" w:ascii="宋体" w:hAnsi="宋体"/>
                <w:color w:val="000000"/>
                <w:szCs w:val="21"/>
              </w:rPr>
            </w:pPr>
          </w:p>
        </w:tc>
        <w:tc>
          <w:tcPr>
            <w:tcW w:w="3260" w:type="dxa"/>
            <w:vAlign w:val="center"/>
          </w:tcPr>
          <w:p>
            <w:pPr>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kern w:val="0"/>
                <w:szCs w:val="21"/>
              </w:rPr>
              <w:t>4.2.3</w:t>
            </w:r>
          </w:p>
        </w:tc>
        <w:tc>
          <w:tcPr>
            <w:tcW w:w="3408" w:type="dxa"/>
            <w:vAlign w:val="top"/>
          </w:tcPr>
          <w:p>
            <w:pPr>
              <w:rPr>
                <w:rFonts w:hint="eastAsia" w:ascii="宋体" w:hAnsi="宋体"/>
                <w:kern w:val="0"/>
                <w:szCs w:val="21"/>
              </w:rPr>
            </w:pPr>
            <w:r>
              <w:rPr>
                <w:rFonts w:ascii="宋体" w:hAnsi="宋体"/>
                <w:kern w:val="0"/>
                <w:szCs w:val="21"/>
              </w:rPr>
              <w:t>合理开发利用地下空间</w:t>
            </w:r>
            <w:r>
              <w:rPr>
                <w:rFonts w:hint="eastAsia" w:ascii="宋体" w:hAnsi="宋体"/>
                <w:kern w:val="0"/>
                <w:szCs w:val="21"/>
              </w:rPr>
              <w:t>，总得分：6分。</w:t>
            </w:r>
          </w:p>
          <w:p>
            <w:pPr>
              <w:rPr>
                <w:rFonts w:hint="eastAsia" w:ascii="宋体" w:hAnsi="宋体"/>
                <w:b/>
                <w:kern w:val="0"/>
                <w:szCs w:val="21"/>
              </w:rPr>
            </w:pPr>
            <w:r>
              <w:rPr>
                <w:rFonts w:hint="eastAsia" w:ascii="宋体" w:hAnsi="宋体"/>
                <w:b/>
                <w:kern w:val="0"/>
                <w:szCs w:val="21"/>
              </w:rPr>
              <w:t>居住建筑：</w:t>
            </w:r>
          </w:p>
          <w:p>
            <w:pPr>
              <w:rPr>
                <w:rFonts w:hint="eastAsia" w:ascii="宋体" w:hAnsi="宋体"/>
                <w:kern w:val="0"/>
                <w:szCs w:val="21"/>
              </w:rPr>
            </w:pPr>
            <w:r>
              <w:rPr>
                <w:rFonts w:hint="eastAsia" w:ascii="宋体" w:hAnsi="宋体"/>
                <w:kern w:val="0"/>
                <w:szCs w:val="21"/>
              </w:rPr>
              <w:t>地下建筑面积与地上建筑面积的比率Rr：</w:t>
            </w:r>
          </w:p>
          <w:p>
            <w:pPr>
              <w:rPr>
                <w:rFonts w:ascii="宋体" w:hAnsi="宋体"/>
                <w:kern w:val="0"/>
                <w:szCs w:val="21"/>
              </w:rPr>
            </w:pPr>
            <w:r>
              <w:rPr>
                <w:rFonts w:hint="eastAsia" w:ascii="宋体" w:hAnsi="宋体"/>
                <w:kern w:val="0"/>
                <w:szCs w:val="21"/>
              </w:rPr>
              <w:t>①</w:t>
            </w:r>
            <w:r>
              <w:rPr>
                <w:rFonts w:ascii="宋体" w:hAnsi="宋体"/>
                <w:kern w:val="0"/>
                <w:szCs w:val="21"/>
              </w:rPr>
              <w:t>5</w:t>
            </w:r>
            <w:r>
              <w:rPr>
                <w:rFonts w:hint="eastAsia" w:ascii="宋体" w:hAnsi="宋体"/>
                <w:kern w:val="0"/>
                <w:szCs w:val="21"/>
              </w:rPr>
              <w:t>≤</w:t>
            </w:r>
            <w:r>
              <w:rPr>
                <w:rFonts w:ascii="宋体" w:hAnsi="宋体"/>
                <w:kern w:val="0"/>
                <w:szCs w:val="21"/>
              </w:rPr>
              <w:t>R</w:t>
            </w:r>
            <w:r>
              <w:rPr>
                <w:rFonts w:hint="eastAsia" w:ascii="宋体" w:hAnsi="宋体"/>
                <w:kern w:val="0"/>
                <w:szCs w:val="21"/>
              </w:rPr>
              <w:t>r＜1</w:t>
            </w:r>
            <w:r>
              <w:rPr>
                <w:rFonts w:ascii="宋体" w:hAnsi="宋体"/>
                <w:kern w:val="0"/>
                <w:szCs w:val="21"/>
              </w:rPr>
              <w:t>5%,得2分；</w:t>
            </w:r>
          </w:p>
          <w:p>
            <w:pPr>
              <w:rPr>
                <w:rFonts w:ascii="宋体" w:hAnsi="宋体"/>
                <w:kern w:val="0"/>
                <w:szCs w:val="21"/>
              </w:rPr>
            </w:pPr>
            <w:r>
              <w:rPr>
                <w:rFonts w:ascii="宋体" w:hAnsi="宋体"/>
                <w:kern w:val="0"/>
                <w:szCs w:val="21"/>
              </w:rPr>
              <w:t>②</w:t>
            </w:r>
            <w:r>
              <w:rPr>
                <w:rFonts w:hint="eastAsia" w:ascii="宋体" w:hAnsi="宋体"/>
                <w:kern w:val="0"/>
                <w:szCs w:val="21"/>
              </w:rPr>
              <w:t>15≤</w:t>
            </w:r>
            <w:r>
              <w:rPr>
                <w:rFonts w:ascii="宋体" w:hAnsi="宋体"/>
                <w:kern w:val="0"/>
                <w:szCs w:val="21"/>
              </w:rPr>
              <w:t>R</w:t>
            </w:r>
            <w:r>
              <w:rPr>
                <w:rFonts w:hint="eastAsia" w:ascii="宋体" w:hAnsi="宋体"/>
                <w:kern w:val="0"/>
                <w:szCs w:val="21"/>
              </w:rPr>
              <w:t>r＜2</w:t>
            </w:r>
            <w:r>
              <w:rPr>
                <w:rFonts w:ascii="宋体" w:hAnsi="宋体"/>
                <w:kern w:val="0"/>
                <w:szCs w:val="21"/>
              </w:rPr>
              <w:t>5%,得</w:t>
            </w:r>
            <w:r>
              <w:rPr>
                <w:rFonts w:hint="eastAsia" w:ascii="宋体" w:hAnsi="宋体"/>
                <w:kern w:val="0"/>
                <w:szCs w:val="21"/>
              </w:rPr>
              <w:t>4</w:t>
            </w:r>
            <w:r>
              <w:rPr>
                <w:rFonts w:ascii="宋体" w:hAnsi="宋体"/>
                <w:kern w:val="0"/>
                <w:szCs w:val="21"/>
              </w:rPr>
              <w:t>分；</w:t>
            </w:r>
          </w:p>
          <w:p>
            <w:pPr>
              <w:rPr>
                <w:rFonts w:hint="eastAsia" w:ascii="宋体" w:hAnsi="宋体"/>
                <w:b/>
                <w:kern w:val="0"/>
                <w:szCs w:val="21"/>
              </w:rPr>
            </w:pPr>
            <w:r>
              <w:rPr>
                <w:rFonts w:ascii="宋体" w:hAnsi="宋体"/>
                <w:kern w:val="0"/>
                <w:szCs w:val="21"/>
              </w:rPr>
              <w:t>③R</w:t>
            </w:r>
            <w:r>
              <w:rPr>
                <w:rFonts w:hint="eastAsia" w:ascii="宋体" w:hAnsi="宋体"/>
                <w:kern w:val="0"/>
                <w:szCs w:val="21"/>
              </w:rPr>
              <w:t>r≥2</w:t>
            </w:r>
            <w:r>
              <w:rPr>
                <w:rFonts w:ascii="宋体" w:hAnsi="宋体"/>
                <w:kern w:val="0"/>
                <w:szCs w:val="21"/>
              </w:rPr>
              <w:t>5%,得</w:t>
            </w:r>
            <w:r>
              <w:rPr>
                <w:rFonts w:hint="eastAsia" w:ascii="宋体" w:hAnsi="宋体"/>
                <w:kern w:val="0"/>
                <w:szCs w:val="21"/>
              </w:rPr>
              <w:t>6</w:t>
            </w:r>
            <w:r>
              <w:rPr>
                <w:rFonts w:ascii="宋体" w:hAnsi="宋体"/>
                <w:kern w:val="0"/>
                <w:szCs w:val="21"/>
              </w:rPr>
              <w:t>分；</w:t>
            </w:r>
          </w:p>
          <w:p>
            <w:pPr>
              <w:rPr>
                <w:rFonts w:ascii="宋体" w:hAnsi="宋体"/>
                <w:b/>
                <w:kern w:val="0"/>
                <w:szCs w:val="21"/>
              </w:rPr>
            </w:pPr>
            <w:r>
              <w:rPr>
                <w:rFonts w:hint="eastAsia" w:ascii="宋体" w:hAnsi="宋体"/>
                <w:b/>
                <w:kern w:val="0"/>
                <w:szCs w:val="21"/>
              </w:rPr>
              <w:t>公共建筑：</w:t>
            </w:r>
          </w:p>
          <w:p>
            <w:pPr>
              <w:rPr>
                <w:rFonts w:ascii="宋体" w:hAnsi="宋体"/>
                <w:kern w:val="0"/>
                <w:szCs w:val="21"/>
              </w:rPr>
            </w:pPr>
            <w:r>
              <w:rPr>
                <w:rFonts w:ascii="宋体" w:hAnsi="宋体"/>
                <w:kern w:val="0"/>
                <w:szCs w:val="21"/>
              </w:rPr>
              <w:t>地下建筑面积与总用地面积的比：</w:t>
            </w:r>
          </w:p>
          <w:p>
            <w:pPr>
              <w:rPr>
                <w:rFonts w:ascii="宋体" w:hAnsi="宋体"/>
                <w:kern w:val="0"/>
                <w:szCs w:val="21"/>
              </w:rPr>
            </w:pPr>
            <w:r>
              <w:rPr>
                <w:rFonts w:ascii="宋体" w:hAnsi="宋体"/>
                <w:kern w:val="0"/>
                <w:szCs w:val="21"/>
              </w:rPr>
              <w:t>①不小于0.5，得3分；</w:t>
            </w:r>
          </w:p>
          <w:p>
            <w:pPr>
              <w:rPr>
                <w:rFonts w:ascii="宋体" w:hAnsi="宋体"/>
                <w:kern w:val="0"/>
                <w:szCs w:val="21"/>
              </w:rPr>
            </w:pPr>
            <w:r>
              <w:rPr>
                <w:rFonts w:ascii="宋体" w:hAnsi="宋体"/>
                <w:kern w:val="0"/>
                <w:szCs w:val="21"/>
              </w:rPr>
              <w:t>②不小于0.7，同时地下一层建筑面积与总用地面积的比率小于70%,得6分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4.2.4</w:t>
            </w:r>
          </w:p>
        </w:tc>
        <w:tc>
          <w:tcPr>
            <w:tcW w:w="3408" w:type="dxa"/>
            <w:vAlign w:val="top"/>
          </w:tcPr>
          <w:p>
            <w:pPr>
              <w:rPr>
                <w:rFonts w:ascii="宋体" w:hAnsi="宋体"/>
                <w:kern w:val="0"/>
                <w:szCs w:val="21"/>
              </w:rPr>
            </w:pPr>
            <w:r>
              <w:rPr>
                <w:rFonts w:ascii="宋体" w:hAnsi="宋体"/>
                <w:kern w:val="0"/>
                <w:szCs w:val="21"/>
              </w:rPr>
              <w:t>建筑及照明设计避免产生光污染</w:t>
            </w:r>
            <w:r>
              <w:rPr>
                <w:rFonts w:hint="eastAsia" w:ascii="宋体" w:hAnsi="宋体"/>
                <w:kern w:val="0"/>
                <w:szCs w:val="21"/>
              </w:rPr>
              <w:t>，总得分：4分。</w:t>
            </w:r>
          </w:p>
          <w:p>
            <w:pPr>
              <w:rPr>
                <w:rFonts w:ascii="宋体" w:hAnsi="宋体"/>
                <w:kern w:val="0"/>
                <w:szCs w:val="21"/>
              </w:rPr>
            </w:pPr>
            <w:r>
              <w:rPr>
                <w:rFonts w:ascii="宋体" w:hAnsi="宋体"/>
                <w:kern w:val="0"/>
                <w:szCs w:val="21"/>
              </w:rPr>
              <w:t>①玻璃幕墙可见光反射比不大于0.2，得2分；</w:t>
            </w:r>
          </w:p>
          <w:p>
            <w:pPr>
              <w:rPr>
                <w:rFonts w:ascii="宋体" w:hAnsi="宋体"/>
                <w:kern w:val="0"/>
                <w:szCs w:val="21"/>
              </w:rPr>
            </w:pPr>
            <w:r>
              <w:rPr>
                <w:rFonts w:ascii="宋体" w:hAnsi="宋体"/>
                <w:kern w:val="0"/>
                <w:szCs w:val="21"/>
              </w:rPr>
              <w:t>②室外夜景照明光污染的限制符合现行行业标准《城市夜景照明设计规范》JGJ/T 163的规定，得2分。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4.2.5</w:t>
            </w:r>
          </w:p>
        </w:tc>
        <w:tc>
          <w:tcPr>
            <w:tcW w:w="3408" w:type="dxa"/>
            <w:vAlign w:val="top"/>
          </w:tcPr>
          <w:p>
            <w:pPr>
              <w:rPr>
                <w:rFonts w:hint="eastAsia" w:ascii="宋体" w:hAnsi="宋体"/>
                <w:kern w:val="0"/>
                <w:szCs w:val="21"/>
              </w:rPr>
            </w:pPr>
            <w:r>
              <w:rPr>
                <w:rFonts w:ascii="宋体" w:hAnsi="宋体"/>
                <w:kern w:val="0"/>
                <w:szCs w:val="21"/>
              </w:rPr>
              <w:t>场地内环境噪声符合现行国家标准《声环境质量标准》GB 3096的规定</w:t>
            </w:r>
            <w:r>
              <w:rPr>
                <w:rFonts w:hint="eastAsia" w:ascii="宋体" w:hAnsi="宋体"/>
                <w:kern w:val="0"/>
                <w:szCs w:val="21"/>
              </w:rPr>
              <w:t>，总得分：4分。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4.2.6</w:t>
            </w:r>
          </w:p>
        </w:tc>
        <w:tc>
          <w:tcPr>
            <w:tcW w:w="3408" w:type="dxa"/>
            <w:vAlign w:val="top"/>
          </w:tcPr>
          <w:p>
            <w:pPr>
              <w:rPr>
                <w:rFonts w:ascii="宋体" w:hAnsi="宋体"/>
                <w:kern w:val="0"/>
                <w:szCs w:val="21"/>
              </w:rPr>
            </w:pPr>
            <w:r>
              <w:rPr>
                <w:rFonts w:ascii="宋体" w:hAnsi="宋体"/>
                <w:kern w:val="0"/>
                <w:szCs w:val="21"/>
              </w:rPr>
              <w:t>场地内风环境有利于室外行走、活动舒适和建筑的自然通风</w:t>
            </w:r>
            <w:r>
              <w:rPr>
                <w:rFonts w:hint="eastAsia" w:ascii="宋体" w:hAnsi="宋体"/>
                <w:kern w:val="0"/>
                <w:szCs w:val="21"/>
              </w:rPr>
              <w:t>，总得分：6分。</w:t>
            </w:r>
          </w:p>
          <w:p>
            <w:pPr>
              <w:rPr>
                <w:rFonts w:ascii="宋体" w:hAnsi="宋体"/>
                <w:kern w:val="0"/>
                <w:szCs w:val="21"/>
              </w:rPr>
            </w:pPr>
            <w:r>
              <w:rPr>
                <w:rFonts w:ascii="宋体" w:hAnsi="宋体"/>
                <w:kern w:val="0"/>
                <w:szCs w:val="21"/>
              </w:rPr>
              <w:t>评分规则如下：</w:t>
            </w:r>
          </w:p>
          <w:p>
            <w:pPr>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ascii="宋体" w:hAnsi="宋体"/>
                <w:kern w:val="0"/>
                <w:szCs w:val="21"/>
              </w:rPr>
              <w:t>①</w:t>
            </w:r>
            <w:r>
              <w:rPr>
                <w:rFonts w:ascii="宋体" w:hAnsi="宋体"/>
                <w:kern w:val="0"/>
                <w:szCs w:val="21"/>
              </w:rPr>
              <w:fldChar w:fldCharType="end"/>
            </w:r>
            <w:r>
              <w:rPr>
                <w:rFonts w:ascii="宋体" w:hAnsi="宋体"/>
                <w:kern w:val="0"/>
                <w:szCs w:val="21"/>
              </w:rPr>
              <w:t>冬季典型风速和风向条件下：</w:t>
            </w:r>
          </w:p>
          <w:p>
            <w:pPr>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ascii="宋体" w:hAnsi="宋体"/>
                <w:kern w:val="0"/>
                <w:szCs w:val="21"/>
              </w:rPr>
              <w:t>①</w:t>
            </w:r>
            <w:r>
              <w:rPr>
                <w:rFonts w:ascii="宋体" w:hAnsi="宋体"/>
                <w:kern w:val="0"/>
                <w:szCs w:val="21"/>
              </w:rPr>
              <w:fldChar w:fldCharType="end"/>
            </w:r>
            <w:r>
              <w:rPr>
                <w:rFonts w:hint="eastAsia" w:ascii="宋体" w:hAnsi="宋体"/>
                <w:kern w:val="0"/>
                <w:szCs w:val="21"/>
              </w:rPr>
              <w:t>-1</w:t>
            </w:r>
            <w:r>
              <w:rPr>
                <w:rFonts w:ascii="宋体" w:hAnsi="宋体"/>
                <w:kern w:val="0"/>
                <w:szCs w:val="21"/>
              </w:rPr>
              <w:t>建筑物周围人行区风速低于5m/s，且室外风速放大系数小于2，得2分。</w:t>
            </w:r>
          </w:p>
          <w:p>
            <w:pPr>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ascii="宋体" w:hAnsi="宋体"/>
                <w:kern w:val="0"/>
                <w:szCs w:val="21"/>
              </w:rPr>
              <w:t>①</w:t>
            </w:r>
            <w:r>
              <w:rPr>
                <w:rFonts w:ascii="宋体" w:hAnsi="宋体"/>
                <w:kern w:val="0"/>
                <w:szCs w:val="21"/>
              </w:rPr>
              <w:fldChar w:fldCharType="end"/>
            </w:r>
            <w:r>
              <w:rPr>
                <w:rFonts w:hint="eastAsia" w:ascii="宋体" w:hAnsi="宋体"/>
                <w:kern w:val="0"/>
                <w:szCs w:val="21"/>
              </w:rPr>
              <w:t>-2</w:t>
            </w:r>
            <w:r>
              <w:rPr>
                <w:rFonts w:ascii="宋体" w:hAnsi="宋体"/>
                <w:kern w:val="0"/>
                <w:szCs w:val="21"/>
              </w:rPr>
              <w:t>除迎风第一排建筑外，建筑迎风面与背风面表面风压差不超过5Pa，得1分。</w:t>
            </w:r>
          </w:p>
          <w:p>
            <w:pPr>
              <w:rPr>
                <w:rFonts w:ascii="宋体" w:hAnsi="宋体"/>
                <w:kern w:val="0"/>
                <w:szCs w:val="21"/>
              </w:rPr>
            </w:pPr>
            <w:r>
              <w:rPr>
                <w:rFonts w:ascii="宋体" w:hAnsi="宋体"/>
                <w:kern w:val="0"/>
                <w:szCs w:val="21"/>
              </w:rPr>
              <w:fldChar w:fldCharType="begin"/>
            </w:r>
            <w:r>
              <w:rPr>
                <w:rFonts w:ascii="宋体" w:hAnsi="宋体"/>
                <w:kern w:val="0"/>
                <w:szCs w:val="21"/>
              </w:rPr>
              <w:instrText xml:space="preserve"> = 2 \* GB3 </w:instrText>
            </w:r>
            <w:r>
              <w:rPr>
                <w:rFonts w:ascii="宋体" w:hAnsi="宋体"/>
                <w:kern w:val="0"/>
                <w:szCs w:val="21"/>
              </w:rPr>
              <w:fldChar w:fldCharType="separate"/>
            </w:r>
            <w:r>
              <w:rPr>
                <w:rFonts w:ascii="宋体" w:hAnsi="宋体"/>
                <w:kern w:val="0"/>
                <w:szCs w:val="21"/>
              </w:rPr>
              <w:t>②</w:t>
            </w:r>
            <w:r>
              <w:rPr>
                <w:rFonts w:ascii="宋体" w:hAnsi="宋体"/>
                <w:kern w:val="0"/>
                <w:szCs w:val="21"/>
              </w:rPr>
              <w:fldChar w:fldCharType="end"/>
            </w:r>
            <w:r>
              <w:rPr>
                <w:rFonts w:ascii="宋体" w:hAnsi="宋体"/>
                <w:kern w:val="0"/>
                <w:szCs w:val="21"/>
              </w:rPr>
              <w:t>过渡季、夏季典型风速和风向条件下：</w:t>
            </w:r>
          </w:p>
          <w:p>
            <w:pPr>
              <w:rPr>
                <w:rFonts w:ascii="宋体" w:hAnsi="宋体"/>
                <w:kern w:val="0"/>
                <w:szCs w:val="21"/>
              </w:rPr>
            </w:pPr>
            <w:r>
              <w:rPr>
                <w:rFonts w:ascii="宋体" w:hAnsi="宋体"/>
                <w:kern w:val="0"/>
                <w:szCs w:val="21"/>
              </w:rPr>
              <w:fldChar w:fldCharType="begin"/>
            </w:r>
            <w:r>
              <w:rPr>
                <w:rFonts w:ascii="宋体" w:hAnsi="宋体"/>
                <w:kern w:val="0"/>
                <w:szCs w:val="21"/>
              </w:rPr>
              <w:instrText xml:space="preserve"> = 2 \* GB3 </w:instrText>
            </w:r>
            <w:r>
              <w:rPr>
                <w:rFonts w:ascii="宋体" w:hAnsi="宋体"/>
                <w:kern w:val="0"/>
                <w:szCs w:val="21"/>
              </w:rPr>
              <w:fldChar w:fldCharType="separate"/>
            </w:r>
            <w:r>
              <w:rPr>
                <w:rFonts w:ascii="宋体" w:hAnsi="宋体"/>
                <w:kern w:val="0"/>
                <w:szCs w:val="21"/>
              </w:rPr>
              <w:t>②</w:t>
            </w:r>
            <w:r>
              <w:rPr>
                <w:rFonts w:ascii="宋体" w:hAnsi="宋体"/>
                <w:kern w:val="0"/>
                <w:szCs w:val="21"/>
              </w:rPr>
              <w:fldChar w:fldCharType="end"/>
            </w:r>
            <w:r>
              <w:rPr>
                <w:rFonts w:hint="eastAsia" w:ascii="宋体" w:hAnsi="宋体"/>
                <w:kern w:val="0"/>
                <w:szCs w:val="21"/>
              </w:rPr>
              <w:t>-1：</w:t>
            </w:r>
            <w:r>
              <w:rPr>
                <w:rFonts w:ascii="宋体" w:hAnsi="宋体"/>
                <w:kern w:val="0"/>
                <w:szCs w:val="21"/>
              </w:rPr>
              <w:t>场地内人活动区不出现涡旋或无风区，得2分；</w:t>
            </w:r>
          </w:p>
          <w:p>
            <w:pPr>
              <w:rPr>
                <w:rFonts w:ascii="宋体" w:hAnsi="宋体"/>
                <w:kern w:val="0"/>
                <w:szCs w:val="21"/>
              </w:rPr>
            </w:pPr>
            <w:r>
              <w:rPr>
                <w:rFonts w:ascii="宋体" w:hAnsi="宋体"/>
                <w:kern w:val="0"/>
                <w:szCs w:val="21"/>
              </w:rPr>
              <w:fldChar w:fldCharType="begin"/>
            </w:r>
            <w:r>
              <w:rPr>
                <w:rFonts w:ascii="宋体" w:hAnsi="宋体"/>
                <w:kern w:val="0"/>
                <w:szCs w:val="21"/>
              </w:rPr>
              <w:instrText xml:space="preserve"> = 2 \* GB3 </w:instrText>
            </w:r>
            <w:r>
              <w:rPr>
                <w:rFonts w:ascii="宋体" w:hAnsi="宋体"/>
                <w:kern w:val="0"/>
                <w:szCs w:val="21"/>
              </w:rPr>
              <w:fldChar w:fldCharType="separate"/>
            </w:r>
            <w:r>
              <w:rPr>
                <w:rFonts w:ascii="宋体" w:hAnsi="宋体"/>
                <w:kern w:val="0"/>
                <w:szCs w:val="21"/>
              </w:rPr>
              <w:t>②</w:t>
            </w:r>
            <w:r>
              <w:rPr>
                <w:rFonts w:ascii="宋体" w:hAnsi="宋体"/>
                <w:kern w:val="0"/>
                <w:szCs w:val="21"/>
              </w:rPr>
              <w:fldChar w:fldCharType="end"/>
            </w:r>
            <w:r>
              <w:rPr>
                <w:rFonts w:hint="eastAsia" w:ascii="宋体" w:hAnsi="宋体"/>
                <w:kern w:val="0"/>
                <w:szCs w:val="21"/>
              </w:rPr>
              <w:t>-2：</w:t>
            </w:r>
            <w:r>
              <w:rPr>
                <w:rFonts w:ascii="宋体" w:hAnsi="宋体"/>
                <w:kern w:val="0"/>
                <w:szCs w:val="21"/>
              </w:rPr>
              <w:t>50%以上的建筑的可开启外窗表面的风压差大于0.5Pa.得1分。</w:t>
            </w:r>
          </w:p>
        </w:tc>
        <w:tc>
          <w:tcPr>
            <w:tcW w:w="844" w:type="dxa"/>
            <w:vAlign w:val="center"/>
          </w:tcPr>
          <w:p>
            <w:pPr>
              <w:jc w:val="center"/>
              <w:rPr>
                <w:rFonts w:hint="eastAsia" w:ascii="宋体" w:hAnsi="宋体"/>
                <w:szCs w:val="21"/>
              </w:rPr>
            </w:pPr>
          </w:p>
        </w:tc>
        <w:tc>
          <w:tcPr>
            <w:tcW w:w="3260" w:type="dxa"/>
            <w:vAlign w:val="center"/>
          </w:tcPr>
          <w:p>
            <w:pP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4.2.7</w:t>
            </w:r>
          </w:p>
        </w:tc>
        <w:tc>
          <w:tcPr>
            <w:tcW w:w="3408" w:type="dxa"/>
            <w:vAlign w:val="top"/>
          </w:tcPr>
          <w:p>
            <w:pPr>
              <w:rPr>
                <w:rFonts w:ascii="宋体" w:hAnsi="宋体"/>
                <w:color w:val="000000"/>
                <w:kern w:val="0"/>
                <w:szCs w:val="21"/>
              </w:rPr>
            </w:pPr>
            <w:r>
              <w:rPr>
                <w:rFonts w:ascii="宋体" w:hAnsi="宋体"/>
                <w:color w:val="000000"/>
                <w:kern w:val="0"/>
                <w:szCs w:val="21"/>
              </w:rPr>
              <w:t>采取措施降低热岛强度，</w:t>
            </w:r>
            <w:r>
              <w:rPr>
                <w:rFonts w:hint="eastAsia" w:ascii="宋体" w:hAnsi="宋体"/>
                <w:kern w:val="0"/>
                <w:szCs w:val="21"/>
              </w:rPr>
              <w:t>总得分：</w:t>
            </w:r>
            <w:r>
              <w:rPr>
                <w:rFonts w:ascii="宋体" w:hAnsi="宋体"/>
                <w:color w:val="000000"/>
                <w:kern w:val="0"/>
                <w:szCs w:val="21"/>
              </w:rPr>
              <w:t>4分，并按下列规则分别评分并累计：</w:t>
            </w:r>
          </w:p>
          <w:p>
            <w:pPr>
              <w:rPr>
                <w:rFonts w:ascii="宋体" w:hAnsi="宋体"/>
                <w:color w:val="000000"/>
                <w:kern w:val="0"/>
                <w:szCs w:val="21"/>
              </w:rPr>
            </w:pPr>
            <w:r>
              <w:rPr>
                <w:rFonts w:ascii="宋体" w:hAnsi="宋体"/>
                <w:color w:val="000000"/>
                <w:kern w:val="0"/>
                <w:szCs w:val="21"/>
              </w:rPr>
              <w:fldChar w:fldCharType="begin"/>
            </w:r>
            <w:r>
              <w:rPr>
                <w:rFonts w:ascii="宋体" w:hAnsi="宋体"/>
                <w:color w:val="000000"/>
                <w:kern w:val="0"/>
                <w:szCs w:val="21"/>
              </w:rPr>
              <w:instrText xml:space="preserve"> = 1 \* GB3 </w:instrText>
            </w:r>
            <w:r>
              <w:rPr>
                <w:rFonts w:ascii="宋体" w:hAnsi="宋体"/>
                <w:color w:val="000000"/>
                <w:kern w:val="0"/>
                <w:szCs w:val="21"/>
              </w:rPr>
              <w:fldChar w:fldCharType="separate"/>
            </w:r>
            <w:r>
              <w:rPr>
                <w:rFonts w:ascii="宋体" w:hAnsi="宋体"/>
                <w:color w:val="000000"/>
                <w:kern w:val="0"/>
                <w:szCs w:val="21"/>
              </w:rPr>
              <w:t>①</w:t>
            </w:r>
            <w:r>
              <w:rPr>
                <w:rFonts w:ascii="宋体" w:hAnsi="宋体"/>
                <w:color w:val="000000"/>
                <w:kern w:val="0"/>
                <w:szCs w:val="21"/>
              </w:rPr>
              <w:fldChar w:fldCharType="end"/>
            </w:r>
            <w:r>
              <w:rPr>
                <w:rFonts w:ascii="宋体" w:hAnsi="宋体"/>
                <w:color w:val="000000"/>
                <w:kern w:val="0"/>
                <w:szCs w:val="21"/>
              </w:rPr>
              <w:t>红线范围内户外活动场地有乔木、构筑物等遮阴措施的面积达到10%。得1分；达到20%，得2分；</w:t>
            </w:r>
          </w:p>
          <w:p>
            <w:pPr>
              <w:rPr>
                <w:rFonts w:ascii="宋体" w:hAnsi="宋体"/>
                <w:color w:val="000000"/>
                <w:kern w:val="0"/>
                <w:szCs w:val="21"/>
              </w:rPr>
            </w:pPr>
            <w:r>
              <w:rPr>
                <w:rFonts w:ascii="宋体" w:hAnsi="宋体"/>
                <w:color w:val="000000"/>
                <w:kern w:val="0"/>
                <w:szCs w:val="21"/>
              </w:rPr>
              <w:fldChar w:fldCharType="begin"/>
            </w:r>
            <w:r>
              <w:rPr>
                <w:rFonts w:ascii="宋体" w:hAnsi="宋体"/>
                <w:color w:val="000000"/>
                <w:kern w:val="0"/>
                <w:szCs w:val="21"/>
              </w:rPr>
              <w:instrText xml:space="preserve"> = 2 \* GB3 </w:instrText>
            </w:r>
            <w:r>
              <w:rPr>
                <w:rFonts w:ascii="宋体" w:hAnsi="宋体"/>
                <w:color w:val="000000"/>
                <w:kern w:val="0"/>
                <w:szCs w:val="21"/>
              </w:rPr>
              <w:fldChar w:fldCharType="separate"/>
            </w:r>
            <w:r>
              <w:rPr>
                <w:rFonts w:ascii="宋体" w:hAnsi="宋体"/>
                <w:color w:val="000000"/>
                <w:kern w:val="0"/>
                <w:szCs w:val="21"/>
              </w:rPr>
              <w:t>②</w:t>
            </w:r>
            <w:r>
              <w:rPr>
                <w:rFonts w:ascii="宋体" w:hAnsi="宋体"/>
                <w:color w:val="000000"/>
                <w:kern w:val="0"/>
                <w:szCs w:val="21"/>
              </w:rPr>
              <w:fldChar w:fldCharType="end"/>
            </w:r>
            <w:r>
              <w:rPr>
                <w:rFonts w:ascii="宋体" w:hAnsi="宋体"/>
                <w:color w:val="000000"/>
                <w:kern w:val="0"/>
                <w:szCs w:val="21"/>
              </w:rPr>
              <w:t>超过70%的道路路面、建筑屋面的太阳辐射反射系数不小于0.4得2分。</w:t>
            </w:r>
          </w:p>
        </w:tc>
        <w:tc>
          <w:tcPr>
            <w:tcW w:w="844" w:type="dxa"/>
            <w:vAlign w:val="center"/>
          </w:tcPr>
          <w:p>
            <w:pPr>
              <w:jc w:val="center"/>
              <w:rPr>
                <w:rFonts w:hint="eastAsia"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4.2.8</w:t>
            </w:r>
          </w:p>
        </w:tc>
        <w:tc>
          <w:tcPr>
            <w:tcW w:w="3408" w:type="dxa"/>
            <w:vAlign w:val="top"/>
          </w:tcPr>
          <w:p>
            <w:pPr>
              <w:jc w:val="left"/>
              <w:rPr>
                <w:rFonts w:ascii="宋体" w:hAnsi="宋体"/>
                <w:color w:val="000000"/>
                <w:kern w:val="0"/>
                <w:szCs w:val="21"/>
              </w:rPr>
            </w:pPr>
            <w:r>
              <w:rPr>
                <w:rFonts w:ascii="宋体" w:hAnsi="宋体"/>
                <w:color w:val="000000"/>
                <w:kern w:val="0"/>
                <w:szCs w:val="21"/>
              </w:rPr>
              <w:t>场地与公共交通设施具有便捷的联系</w:t>
            </w:r>
            <w:r>
              <w:rPr>
                <w:rFonts w:hint="eastAsia" w:ascii="宋体" w:hAnsi="宋体"/>
                <w:color w:val="000000"/>
                <w:kern w:val="0"/>
                <w:szCs w:val="21"/>
              </w:rPr>
              <w:t>，</w:t>
            </w:r>
            <w:r>
              <w:rPr>
                <w:rFonts w:hint="eastAsia" w:ascii="宋体" w:hAnsi="宋体"/>
                <w:kern w:val="0"/>
                <w:szCs w:val="21"/>
              </w:rPr>
              <w:t>总得分：</w:t>
            </w:r>
            <w:r>
              <w:rPr>
                <w:rFonts w:hint="eastAsia" w:ascii="宋体" w:hAnsi="宋体"/>
                <w:color w:val="000000"/>
                <w:kern w:val="0"/>
                <w:szCs w:val="21"/>
              </w:rPr>
              <w:t>9</w:t>
            </w:r>
            <w:r>
              <w:rPr>
                <w:rFonts w:ascii="宋体" w:hAnsi="宋体"/>
                <w:color w:val="000000"/>
                <w:kern w:val="0"/>
                <w:szCs w:val="21"/>
              </w:rPr>
              <w:t>分，评分规则如下：</w:t>
            </w:r>
          </w:p>
          <w:p>
            <w:pPr>
              <w:jc w:val="left"/>
              <w:rPr>
                <w:rFonts w:ascii="宋体" w:hAnsi="宋体"/>
                <w:color w:val="000000"/>
                <w:kern w:val="0"/>
                <w:szCs w:val="21"/>
              </w:rPr>
            </w:pPr>
            <w:r>
              <w:rPr>
                <w:rFonts w:ascii="宋体" w:hAnsi="宋体"/>
                <w:color w:val="000000"/>
                <w:kern w:val="0"/>
                <w:szCs w:val="21"/>
              </w:rPr>
              <w:t>①场地出入口到达公共汽车站的步行距离不超过500m，或到达轨道交通站的步行距离不超过800m，得3分；</w:t>
            </w:r>
          </w:p>
          <w:p>
            <w:pPr>
              <w:jc w:val="left"/>
              <w:rPr>
                <w:rFonts w:ascii="宋体" w:hAnsi="宋体"/>
                <w:color w:val="000000"/>
                <w:kern w:val="0"/>
                <w:szCs w:val="21"/>
              </w:rPr>
            </w:pPr>
            <w:r>
              <w:rPr>
                <w:rFonts w:ascii="宋体" w:hAnsi="宋体"/>
                <w:color w:val="000000"/>
                <w:kern w:val="0"/>
                <w:szCs w:val="21"/>
              </w:rPr>
              <w:t>②场地出入口500m范围内设有2条或2条以上线路的公共交通站点（含公共汽车站和轨道交通站），得3分；</w:t>
            </w:r>
          </w:p>
          <w:p>
            <w:pPr>
              <w:jc w:val="left"/>
              <w:rPr>
                <w:rFonts w:ascii="宋体" w:hAnsi="宋体"/>
                <w:color w:val="000000"/>
                <w:kern w:val="0"/>
                <w:szCs w:val="21"/>
              </w:rPr>
            </w:pPr>
            <w:r>
              <w:rPr>
                <w:rFonts w:ascii="宋体" w:hAnsi="宋体"/>
                <w:kern w:val="0"/>
                <w:szCs w:val="21"/>
              </w:rPr>
              <w:t>③</w:t>
            </w:r>
            <w:r>
              <w:rPr>
                <w:rFonts w:ascii="宋体" w:hAnsi="宋体"/>
                <w:color w:val="000000"/>
                <w:kern w:val="0"/>
                <w:szCs w:val="21"/>
              </w:rPr>
              <w:t>有便捷的人行通道联系公共交通站点，得3分。</w:t>
            </w:r>
          </w:p>
        </w:tc>
        <w:tc>
          <w:tcPr>
            <w:tcW w:w="844" w:type="dxa"/>
            <w:vAlign w:val="center"/>
          </w:tcPr>
          <w:p>
            <w:pPr>
              <w:jc w:val="center"/>
              <w:rPr>
                <w:rFonts w:hint="eastAsia"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4.2.9</w:t>
            </w:r>
          </w:p>
        </w:tc>
        <w:tc>
          <w:tcPr>
            <w:tcW w:w="3408" w:type="dxa"/>
            <w:vAlign w:val="top"/>
          </w:tcPr>
          <w:p>
            <w:pPr>
              <w:rPr>
                <w:rFonts w:ascii="宋体" w:hAnsi="宋体"/>
                <w:color w:val="000000"/>
                <w:kern w:val="0"/>
                <w:szCs w:val="21"/>
              </w:rPr>
            </w:pPr>
            <w:r>
              <w:rPr>
                <w:rFonts w:ascii="宋体" w:hAnsi="宋体"/>
                <w:color w:val="000000"/>
                <w:kern w:val="0"/>
                <w:szCs w:val="21"/>
              </w:rPr>
              <w:t>场地内人行通道均采用无障碍设计，且与建筑场地外人行通道无障碍连通</w:t>
            </w:r>
            <w:r>
              <w:rPr>
                <w:rFonts w:hint="eastAsia" w:ascii="宋体" w:hAnsi="宋体"/>
                <w:color w:val="000000"/>
                <w:kern w:val="0"/>
                <w:szCs w:val="21"/>
              </w:rPr>
              <w:t>，</w:t>
            </w:r>
            <w:r>
              <w:rPr>
                <w:rFonts w:hint="eastAsia" w:ascii="宋体" w:hAnsi="宋体"/>
                <w:kern w:val="0"/>
                <w:szCs w:val="21"/>
              </w:rPr>
              <w:t>总得分：</w:t>
            </w:r>
            <w:r>
              <w:rPr>
                <w:rFonts w:ascii="宋体" w:cs="宋体"/>
                <w:kern w:val="0"/>
                <w:sz w:val="20"/>
                <w:szCs w:val="20"/>
              </w:rPr>
              <w:t xml:space="preserve">3 </w:t>
            </w:r>
            <w:r>
              <w:rPr>
                <w:rFonts w:hint="eastAsia" w:ascii="宋体" w:cs="宋体"/>
                <w:kern w:val="0"/>
                <w:sz w:val="20"/>
                <w:szCs w:val="20"/>
              </w:rPr>
              <w:t>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hint="eastAsia" w:ascii="宋体" w:hAnsi="宋体"/>
                <w:b/>
                <w:bCs/>
                <w:szCs w:val="21"/>
              </w:rPr>
            </w:pPr>
            <w:r>
              <w:rPr>
                <w:rFonts w:ascii="宋体" w:hAnsi="宋体"/>
                <w:color w:val="000000"/>
                <w:kern w:val="0"/>
                <w:szCs w:val="21"/>
              </w:rPr>
              <w:t>4.2.</w:t>
            </w:r>
            <w:r>
              <w:rPr>
                <w:rFonts w:hint="eastAsia" w:ascii="宋体" w:hAnsi="宋体"/>
                <w:color w:val="000000"/>
                <w:kern w:val="0"/>
                <w:szCs w:val="21"/>
              </w:rPr>
              <w:t>10</w:t>
            </w:r>
          </w:p>
        </w:tc>
        <w:tc>
          <w:tcPr>
            <w:tcW w:w="3408" w:type="dxa"/>
            <w:vAlign w:val="top"/>
          </w:tcPr>
          <w:p>
            <w:pPr>
              <w:jc w:val="left"/>
              <w:rPr>
                <w:rFonts w:ascii="宋体" w:hAnsi="宋体"/>
                <w:color w:val="000000"/>
                <w:kern w:val="0"/>
                <w:szCs w:val="21"/>
              </w:rPr>
            </w:pPr>
            <w:r>
              <w:rPr>
                <w:rFonts w:ascii="宋体" w:hAnsi="宋体"/>
                <w:color w:val="000000"/>
                <w:kern w:val="0"/>
                <w:szCs w:val="21"/>
              </w:rPr>
              <w:t>合理设置停车场所</w:t>
            </w:r>
            <w:r>
              <w:rPr>
                <w:rFonts w:hint="eastAsia" w:ascii="宋体" w:hAnsi="宋体"/>
                <w:color w:val="000000"/>
                <w:kern w:val="0"/>
                <w:szCs w:val="21"/>
              </w:rPr>
              <w:t>，</w:t>
            </w:r>
            <w:r>
              <w:rPr>
                <w:rFonts w:hint="eastAsia" w:ascii="宋体" w:hAnsi="宋体"/>
                <w:kern w:val="0"/>
                <w:szCs w:val="21"/>
              </w:rPr>
              <w:t>总得分：</w:t>
            </w:r>
            <w:r>
              <w:rPr>
                <w:rFonts w:hint="eastAsia" w:ascii="宋体" w:hAnsi="宋体"/>
                <w:color w:val="000000"/>
                <w:kern w:val="0"/>
                <w:szCs w:val="21"/>
              </w:rPr>
              <w:t>6</w:t>
            </w:r>
            <w:r>
              <w:rPr>
                <w:rFonts w:ascii="宋体" w:hAnsi="宋体"/>
                <w:color w:val="000000"/>
                <w:kern w:val="0"/>
                <w:szCs w:val="21"/>
              </w:rPr>
              <w:t>分，评分规则如下：</w:t>
            </w:r>
          </w:p>
          <w:p>
            <w:pPr>
              <w:jc w:val="left"/>
              <w:rPr>
                <w:rFonts w:ascii="宋体" w:hAnsi="宋体"/>
                <w:color w:val="000000"/>
                <w:kern w:val="0"/>
                <w:szCs w:val="21"/>
              </w:rPr>
            </w:pPr>
            <w:r>
              <w:rPr>
                <w:rFonts w:ascii="宋体" w:hAnsi="宋体"/>
                <w:color w:val="000000"/>
                <w:kern w:val="0"/>
                <w:szCs w:val="21"/>
              </w:rPr>
              <w:t>①自行车停车设施位置合理、方便出入，且有遮阳防雨和安全防盗措施，得3分；</w:t>
            </w:r>
          </w:p>
          <w:p>
            <w:pPr>
              <w:jc w:val="left"/>
              <w:rPr>
                <w:rFonts w:ascii="宋体" w:hAnsi="宋体"/>
                <w:color w:val="000000"/>
                <w:kern w:val="0"/>
                <w:szCs w:val="21"/>
              </w:rPr>
            </w:pPr>
            <w:r>
              <w:rPr>
                <w:rFonts w:ascii="宋体" w:hAnsi="宋体"/>
                <w:color w:val="000000"/>
                <w:kern w:val="0"/>
                <w:szCs w:val="21"/>
              </w:rPr>
              <w:t>②合理设置机动车停车设施，并采取下列措施中至少2项，得3分 ：</w:t>
            </w:r>
          </w:p>
          <w:p>
            <w:pPr>
              <w:jc w:val="left"/>
              <w:rPr>
                <w:rFonts w:ascii="宋体" w:hAnsi="宋体"/>
                <w:color w:val="000000"/>
                <w:kern w:val="0"/>
                <w:szCs w:val="21"/>
              </w:rPr>
            </w:pPr>
            <w:r>
              <w:rPr>
                <w:rFonts w:ascii="宋体" w:hAnsi="宋体"/>
                <w:color w:val="000000"/>
                <w:kern w:val="0"/>
                <w:szCs w:val="21"/>
              </w:rPr>
              <w:t>②</w:t>
            </w:r>
            <w:r>
              <w:rPr>
                <w:rFonts w:hint="eastAsia" w:ascii="宋体" w:hAnsi="宋体"/>
                <w:color w:val="000000"/>
                <w:kern w:val="0"/>
                <w:szCs w:val="21"/>
              </w:rPr>
              <w:t>-1</w:t>
            </w:r>
            <w:r>
              <w:rPr>
                <w:rFonts w:ascii="宋体" w:hAnsi="宋体"/>
                <w:color w:val="000000"/>
                <w:kern w:val="0"/>
                <w:szCs w:val="21"/>
              </w:rPr>
              <w:t>采用机械式停车库、地下停车库或停车楼等方式节约集约用地；</w:t>
            </w:r>
          </w:p>
          <w:p>
            <w:pPr>
              <w:jc w:val="left"/>
              <w:rPr>
                <w:rFonts w:ascii="宋体" w:hAnsi="宋体"/>
                <w:color w:val="000000"/>
                <w:kern w:val="0"/>
                <w:szCs w:val="21"/>
              </w:rPr>
            </w:pPr>
            <w:r>
              <w:rPr>
                <w:rFonts w:ascii="宋体" w:hAnsi="宋体"/>
                <w:color w:val="000000"/>
                <w:kern w:val="0"/>
                <w:szCs w:val="21"/>
              </w:rPr>
              <w:t>②</w:t>
            </w:r>
            <w:r>
              <w:rPr>
                <w:rFonts w:hint="eastAsia" w:ascii="宋体" w:hAnsi="宋体"/>
                <w:color w:val="000000"/>
                <w:kern w:val="0"/>
                <w:szCs w:val="21"/>
              </w:rPr>
              <w:t>-2</w:t>
            </w:r>
            <w:r>
              <w:rPr>
                <w:rFonts w:ascii="宋体" w:hAnsi="宋体"/>
                <w:color w:val="000000"/>
                <w:kern w:val="0"/>
                <w:szCs w:val="21"/>
              </w:rPr>
              <w:t>采用错时停车方式向社会开放，提高停车场（库）使用效率；</w:t>
            </w:r>
          </w:p>
          <w:p>
            <w:pPr>
              <w:jc w:val="left"/>
              <w:rPr>
                <w:rFonts w:ascii="宋体" w:hAnsi="宋体"/>
                <w:color w:val="000000"/>
                <w:kern w:val="0"/>
                <w:szCs w:val="21"/>
              </w:rPr>
            </w:pPr>
            <w:r>
              <w:rPr>
                <w:rFonts w:ascii="宋体" w:hAnsi="宋体"/>
                <w:color w:val="000000"/>
                <w:kern w:val="0"/>
                <w:szCs w:val="21"/>
              </w:rPr>
              <w:t>②</w:t>
            </w:r>
            <w:r>
              <w:rPr>
                <w:rFonts w:hint="eastAsia" w:ascii="宋体" w:hAnsi="宋体"/>
                <w:color w:val="000000"/>
                <w:kern w:val="0"/>
                <w:szCs w:val="21"/>
              </w:rPr>
              <w:t>-3</w:t>
            </w:r>
            <w:r>
              <w:rPr>
                <w:rFonts w:ascii="宋体" w:hAnsi="宋体"/>
                <w:color w:val="000000"/>
                <w:kern w:val="0"/>
                <w:szCs w:val="21"/>
              </w:rPr>
              <w:t>合理设计地面停车位，停车不挤占行人活动空间。</w:t>
            </w:r>
          </w:p>
          <w:p>
            <w:pPr>
              <w:rPr>
                <w:rFonts w:ascii="宋体" w:hAnsi="宋体"/>
                <w:color w:val="000000"/>
                <w:kern w:val="0"/>
                <w:szCs w:val="21"/>
              </w:rPr>
            </w:pPr>
          </w:p>
        </w:tc>
        <w:tc>
          <w:tcPr>
            <w:tcW w:w="844" w:type="dxa"/>
            <w:vAlign w:val="center"/>
          </w:tcPr>
          <w:p>
            <w:pPr>
              <w:jc w:val="center"/>
              <w:rPr>
                <w:rFonts w:ascii="宋体" w:hAnsi="宋体"/>
                <w:szCs w:val="21"/>
              </w:rPr>
            </w:pPr>
          </w:p>
        </w:tc>
        <w:tc>
          <w:tcPr>
            <w:tcW w:w="3260" w:type="dxa"/>
            <w:vAlign w:val="center"/>
          </w:tcPr>
          <w:p>
            <w:pPr>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4.2.11</w:t>
            </w:r>
          </w:p>
        </w:tc>
        <w:tc>
          <w:tcPr>
            <w:tcW w:w="3408" w:type="dxa"/>
            <w:vAlign w:val="top"/>
          </w:tcPr>
          <w:p>
            <w:pPr>
              <w:jc w:val="left"/>
              <w:rPr>
                <w:rFonts w:hint="eastAsia" w:ascii="宋体" w:hAnsi="宋体"/>
                <w:color w:val="000000"/>
                <w:kern w:val="0"/>
                <w:szCs w:val="21"/>
              </w:rPr>
            </w:pPr>
            <w:r>
              <w:rPr>
                <w:rFonts w:hint="eastAsia" w:ascii="宋体" w:hAnsi="宋体"/>
                <w:color w:val="000000"/>
                <w:kern w:val="0"/>
                <w:szCs w:val="21"/>
              </w:rPr>
              <w:t>提供便利的公共服务，</w:t>
            </w:r>
            <w:r>
              <w:rPr>
                <w:rFonts w:hint="eastAsia" w:ascii="宋体" w:hAnsi="宋体"/>
                <w:kern w:val="0"/>
                <w:szCs w:val="21"/>
              </w:rPr>
              <w:t>总得分：</w:t>
            </w:r>
            <w:r>
              <w:rPr>
                <w:rFonts w:hint="eastAsia" w:ascii="宋体" w:cs="宋体"/>
                <w:kern w:val="0"/>
                <w:sz w:val="20"/>
                <w:szCs w:val="20"/>
              </w:rPr>
              <w:t>6</w:t>
            </w:r>
            <w:r>
              <w:rPr>
                <w:rFonts w:ascii="宋体" w:cs="宋体"/>
                <w:kern w:val="0"/>
                <w:sz w:val="20"/>
                <w:szCs w:val="20"/>
              </w:rPr>
              <w:t xml:space="preserve"> </w:t>
            </w:r>
            <w:r>
              <w:rPr>
                <w:rFonts w:hint="eastAsia" w:ascii="宋体" w:cs="宋体"/>
                <w:kern w:val="0"/>
                <w:sz w:val="20"/>
                <w:szCs w:val="20"/>
              </w:rPr>
              <w:t>分</w:t>
            </w:r>
          </w:p>
          <w:p>
            <w:pPr>
              <w:jc w:val="left"/>
              <w:rPr>
                <w:rFonts w:hint="eastAsia" w:ascii="宋体" w:hAnsi="宋体"/>
                <w:color w:val="000000"/>
                <w:kern w:val="0"/>
                <w:szCs w:val="21"/>
              </w:rPr>
            </w:pPr>
            <w:r>
              <w:rPr>
                <w:rFonts w:hint="eastAsia" w:ascii="宋体" w:hAnsi="宋体"/>
                <w:b/>
                <w:color w:val="000000"/>
                <w:kern w:val="0"/>
                <w:szCs w:val="21"/>
              </w:rPr>
              <w:t>居住建筑满足下列要求中的3项，得3分；满足4项及以上，得6分。</w:t>
            </w:r>
            <w:r>
              <w:rPr>
                <w:rFonts w:hint="eastAsia" w:ascii="宋体" w:hAnsi="宋体"/>
                <w:color w:val="000000"/>
                <w:kern w:val="0"/>
                <w:szCs w:val="21"/>
              </w:rPr>
              <w:t>1)场地出入口到达幼儿园的步行距离不大于300m；</w:t>
            </w:r>
          </w:p>
          <w:p>
            <w:pPr>
              <w:jc w:val="left"/>
              <w:rPr>
                <w:rFonts w:hint="eastAsia" w:ascii="宋体" w:hAnsi="宋体"/>
                <w:color w:val="000000"/>
                <w:kern w:val="0"/>
                <w:szCs w:val="21"/>
              </w:rPr>
            </w:pPr>
            <w:r>
              <w:rPr>
                <w:rFonts w:hint="eastAsia" w:ascii="宋体" w:hAnsi="宋体"/>
                <w:color w:val="000000"/>
                <w:kern w:val="0"/>
                <w:szCs w:val="21"/>
              </w:rPr>
              <w:t>2)场地出入口到达小学的步行距离不大于500m；</w:t>
            </w:r>
          </w:p>
          <w:p>
            <w:pPr>
              <w:jc w:val="left"/>
              <w:rPr>
                <w:rFonts w:hint="eastAsia" w:ascii="宋体" w:hAnsi="宋体"/>
                <w:color w:val="000000"/>
                <w:kern w:val="0"/>
                <w:szCs w:val="21"/>
              </w:rPr>
            </w:pPr>
            <w:r>
              <w:rPr>
                <w:rFonts w:hint="eastAsia" w:ascii="宋体" w:hAnsi="宋体"/>
                <w:color w:val="000000"/>
                <w:kern w:val="0"/>
                <w:szCs w:val="21"/>
              </w:rPr>
              <w:t>3)场地出入口到达商业服务设施的步行距离不大于500m；</w:t>
            </w:r>
          </w:p>
          <w:p>
            <w:pPr>
              <w:jc w:val="left"/>
              <w:rPr>
                <w:rFonts w:hint="eastAsia" w:ascii="宋体" w:hAnsi="宋体"/>
                <w:color w:val="000000"/>
                <w:kern w:val="0"/>
                <w:szCs w:val="21"/>
              </w:rPr>
            </w:pPr>
            <w:r>
              <w:rPr>
                <w:rFonts w:hint="eastAsia" w:ascii="宋体" w:hAnsi="宋体"/>
                <w:color w:val="000000"/>
                <w:kern w:val="0"/>
                <w:szCs w:val="21"/>
              </w:rPr>
              <w:t>4)相关设施集中设置并向周边居民开放；</w:t>
            </w:r>
          </w:p>
          <w:p>
            <w:pPr>
              <w:jc w:val="left"/>
              <w:rPr>
                <w:rFonts w:hint="eastAsia" w:ascii="宋体" w:hAnsi="宋体"/>
                <w:color w:val="000000"/>
                <w:kern w:val="0"/>
                <w:szCs w:val="21"/>
              </w:rPr>
            </w:pPr>
            <w:r>
              <w:rPr>
                <w:rFonts w:hint="eastAsia" w:ascii="宋体" w:hAnsi="宋体"/>
                <w:color w:val="000000"/>
                <w:kern w:val="0"/>
                <w:szCs w:val="21"/>
              </w:rPr>
              <w:t>5）场地1000m范围内设有5种及以上的公共服务设施。</w:t>
            </w:r>
          </w:p>
          <w:p>
            <w:pPr>
              <w:jc w:val="left"/>
              <w:rPr>
                <w:rFonts w:ascii="宋体" w:hAnsi="宋体"/>
                <w:b/>
                <w:color w:val="000000"/>
                <w:kern w:val="0"/>
                <w:szCs w:val="21"/>
              </w:rPr>
            </w:pPr>
            <w:r>
              <w:rPr>
                <w:rFonts w:ascii="宋体" w:hAnsi="宋体"/>
                <w:b/>
                <w:color w:val="000000"/>
                <w:kern w:val="0"/>
                <w:szCs w:val="21"/>
              </w:rPr>
              <w:t>公共建筑满足下列要求中至少2项，得3分；满足3项及以上，得6分：</w:t>
            </w:r>
          </w:p>
          <w:p>
            <w:pPr>
              <w:jc w:val="left"/>
              <w:rPr>
                <w:rFonts w:ascii="宋体" w:hAnsi="宋体"/>
                <w:color w:val="000000"/>
                <w:kern w:val="0"/>
                <w:szCs w:val="21"/>
              </w:rPr>
            </w:pPr>
            <w:r>
              <w:rPr>
                <w:rFonts w:ascii="宋体" w:hAnsi="宋体"/>
                <w:color w:val="000000"/>
                <w:kern w:val="0"/>
                <w:szCs w:val="21"/>
              </w:rPr>
              <w:t>1) 2种及以上的公共建筑集中设置，或公共建筑兼容2种及以上的公共服务功能；</w:t>
            </w:r>
          </w:p>
          <w:p>
            <w:pPr>
              <w:jc w:val="left"/>
              <w:rPr>
                <w:rFonts w:ascii="宋体" w:hAnsi="宋体"/>
                <w:color w:val="000000"/>
                <w:kern w:val="0"/>
                <w:szCs w:val="21"/>
              </w:rPr>
            </w:pPr>
            <w:r>
              <w:rPr>
                <w:rFonts w:ascii="宋体" w:hAnsi="宋体"/>
                <w:color w:val="000000"/>
                <w:kern w:val="0"/>
                <w:szCs w:val="21"/>
              </w:rPr>
              <w:t>2)配套辅助设施设备共同使用、资源共享；</w:t>
            </w:r>
          </w:p>
          <w:p>
            <w:pPr>
              <w:jc w:val="left"/>
              <w:rPr>
                <w:rFonts w:ascii="宋体" w:hAnsi="宋体"/>
                <w:color w:val="000000"/>
                <w:kern w:val="0"/>
                <w:szCs w:val="21"/>
              </w:rPr>
            </w:pPr>
            <w:r>
              <w:rPr>
                <w:rFonts w:ascii="宋体" w:hAnsi="宋体"/>
                <w:color w:val="000000"/>
                <w:kern w:val="0"/>
                <w:szCs w:val="21"/>
              </w:rPr>
              <w:t>3)建筑向社会公众提供开放的公共空间；</w:t>
            </w:r>
          </w:p>
          <w:p>
            <w:pPr>
              <w:jc w:val="left"/>
              <w:rPr>
                <w:rFonts w:ascii="宋体" w:hAnsi="宋体"/>
                <w:color w:val="000000"/>
                <w:kern w:val="0"/>
                <w:szCs w:val="21"/>
              </w:rPr>
            </w:pPr>
            <w:r>
              <w:rPr>
                <w:rFonts w:ascii="宋体" w:hAnsi="宋体"/>
                <w:color w:val="000000"/>
                <w:kern w:val="0"/>
                <w:szCs w:val="21"/>
              </w:rPr>
              <w:t>4)室外活动场地错时向周边居民免费开放。</w:t>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kern w:val="0"/>
                <w:szCs w:val="21"/>
              </w:rPr>
            </w:pPr>
            <w:r>
              <w:rPr>
                <w:rFonts w:ascii="宋体" w:hAnsi="宋体"/>
                <w:color w:val="000000"/>
                <w:kern w:val="0"/>
                <w:szCs w:val="21"/>
              </w:rPr>
              <w:t>4.2.12</w:t>
            </w:r>
          </w:p>
        </w:tc>
        <w:tc>
          <w:tcPr>
            <w:tcW w:w="3408" w:type="dxa"/>
            <w:vAlign w:val="top"/>
          </w:tcPr>
          <w:p>
            <w:pPr>
              <w:jc w:val="left"/>
              <w:rPr>
                <w:rFonts w:hint="eastAsia" w:ascii="宋体" w:hAnsi="宋体"/>
                <w:color w:val="000000"/>
                <w:kern w:val="0"/>
                <w:szCs w:val="21"/>
              </w:rPr>
            </w:pPr>
            <w:r>
              <w:rPr>
                <w:rFonts w:ascii="宋体" w:hAnsi="宋体"/>
                <w:color w:val="000000"/>
                <w:kern w:val="0"/>
                <w:szCs w:val="21"/>
              </w:rPr>
              <w:t>结合现状地形地貌进行场地设计与建筑布局，保护场地内原有的自然水域、湿地和植被，采取生态恢复或补偿措施</w:t>
            </w:r>
            <w:r>
              <w:rPr>
                <w:rFonts w:hint="eastAsia" w:ascii="宋体" w:hAnsi="宋体"/>
                <w:color w:val="000000"/>
                <w:kern w:val="0"/>
                <w:szCs w:val="21"/>
              </w:rPr>
              <w:t>，</w:t>
            </w:r>
            <w:r>
              <w:rPr>
                <w:rFonts w:hint="eastAsia" w:ascii="宋体" w:hAnsi="宋体"/>
                <w:kern w:val="0"/>
                <w:szCs w:val="21"/>
              </w:rPr>
              <w:t>总得分：</w:t>
            </w:r>
            <w:r>
              <w:rPr>
                <w:rFonts w:hint="eastAsia" w:ascii="宋体" w:cs="宋体"/>
                <w:kern w:val="0"/>
                <w:sz w:val="20"/>
                <w:szCs w:val="20"/>
              </w:rPr>
              <w:t>3分</w:t>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kern w:val="0"/>
                <w:szCs w:val="21"/>
              </w:rPr>
            </w:pPr>
            <w:r>
              <w:rPr>
                <w:rFonts w:ascii="宋体" w:hAnsi="宋体"/>
                <w:color w:val="000000"/>
                <w:kern w:val="0"/>
                <w:szCs w:val="21"/>
              </w:rPr>
              <w:t>4.2.13</w:t>
            </w:r>
          </w:p>
        </w:tc>
        <w:tc>
          <w:tcPr>
            <w:tcW w:w="3408" w:type="dxa"/>
            <w:vAlign w:val="top"/>
          </w:tcPr>
          <w:p>
            <w:pPr>
              <w:jc w:val="left"/>
              <w:rPr>
                <w:rFonts w:hint="eastAsia" w:ascii="宋体" w:hAnsi="宋体"/>
                <w:color w:val="000000"/>
                <w:kern w:val="0"/>
                <w:szCs w:val="21"/>
              </w:rPr>
            </w:pPr>
            <w:r>
              <w:rPr>
                <w:rFonts w:ascii="宋体" w:hAnsi="宋体"/>
                <w:color w:val="000000"/>
                <w:kern w:val="0"/>
                <w:szCs w:val="21"/>
              </w:rPr>
              <w:t>充分利用场地空间合理设置绿色雨水</w:t>
            </w:r>
          </w:p>
          <w:p>
            <w:pPr>
              <w:jc w:val="left"/>
              <w:rPr>
                <w:rFonts w:ascii="宋体" w:hAnsi="宋体"/>
                <w:color w:val="000000"/>
                <w:kern w:val="0"/>
                <w:szCs w:val="21"/>
              </w:rPr>
            </w:pPr>
            <w:r>
              <w:rPr>
                <w:rFonts w:ascii="宋体" w:hAnsi="宋体"/>
                <w:color w:val="000000"/>
                <w:kern w:val="0"/>
                <w:szCs w:val="21"/>
              </w:rPr>
              <w:t>基础设施，超过10h</w:t>
            </w:r>
            <w:r>
              <w:rPr>
                <w:rFonts w:hint="eastAsia" w:ascii="宋体" w:hAnsi="宋体"/>
                <w:kern w:val="0"/>
                <w:szCs w:val="21"/>
              </w:rPr>
              <w:t>m</w:t>
            </w:r>
            <w:r>
              <w:rPr>
                <w:rFonts w:hint="eastAsia" w:ascii="宋体" w:hAnsi="宋体"/>
                <w:kern w:val="0"/>
                <w:szCs w:val="21"/>
                <w:vertAlign w:val="superscript"/>
              </w:rPr>
              <w:t>2</w:t>
            </w:r>
            <w:r>
              <w:rPr>
                <w:rFonts w:ascii="宋体" w:hAnsi="宋体"/>
                <w:color w:val="000000"/>
                <w:kern w:val="0"/>
                <w:szCs w:val="21"/>
              </w:rPr>
              <w:t>的场地进行雨水专项规划设计</w:t>
            </w:r>
            <w:r>
              <w:rPr>
                <w:rFonts w:hint="eastAsia" w:ascii="宋体" w:hAnsi="宋体"/>
                <w:color w:val="000000"/>
                <w:kern w:val="0"/>
                <w:szCs w:val="21"/>
              </w:rPr>
              <w:t>，</w:t>
            </w:r>
            <w:r>
              <w:rPr>
                <w:rFonts w:hint="eastAsia" w:ascii="宋体" w:hAnsi="宋体"/>
                <w:kern w:val="0"/>
                <w:szCs w:val="21"/>
              </w:rPr>
              <w:t>总得分：</w:t>
            </w:r>
            <w:r>
              <w:rPr>
                <w:rFonts w:hint="eastAsia" w:ascii="宋体" w:cs="宋体"/>
                <w:kern w:val="0"/>
                <w:sz w:val="20"/>
                <w:szCs w:val="20"/>
              </w:rPr>
              <w:t>9分</w:t>
            </w:r>
            <w:r>
              <w:rPr>
                <w:rFonts w:hint="eastAsia" w:ascii="宋体" w:hAnsi="宋体"/>
                <w:color w:val="000000"/>
                <w:kern w:val="0"/>
                <w:szCs w:val="21"/>
              </w:rPr>
              <w:t>，</w:t>
            </w:r>
            <w:r>
              <w:rPr>
                <w:rFonts w:ascii="宋体" w:hAnsi="宋体"/>
                <w:color w:val="000000"/>
                <w:kern w:val="0"/>
                <w:szCs w:val="21"/>
              </w:rPr>
              <w:t>评分规则如下：</w:t>
            </w:r>
          </w:p>
          <w:p>
            <w:pPr>
              <w:jc w:val="left"/>
              <w:rPr>
                <w:rFonts w:ascii="宋体" w:hAnsi="宋体"/>
                <w:color w:val="000000"/>
                <w:kern w:val="0"/>
                <w:szCs w:val="21"/>
              </w:rPr>
            </w:pPr>
            <w:r>
              <w:rPr>
                <w:rFonts w:ascii="宋体" w:hAnsi="宋体"/>
                <w:color w:val="000000"/>
                <w:kern w:val="0"/>
                <w:szCs w:val="21"/>
              </w:rPr>
              <w:t>①下凹式绿地、雨水花园等有调蓄雨水功能的绿地和水体的面积之和占绿地面积的比例不小于30%，得3分；</w:t>
            </w:r>
          </w:p>
          <w:p>
            <w:pPr>
              <w:jc w:val="left"/>
              <w:rPr>
                <w:rFonts w:ascii="宋体" w:hAnsi="宋体"/>
                <w:color w:val="000000"/>
                <w:kern w:val="0"/>
                <w:szCs w:val="21"/>
              </w:rPr>
            </w:pPr>
            <w:r>
              <w:rPr>
                <w:rFonts w:ascii="宋体" w:hAnsi="宋体"/>
                <w:color w:val="000000"/>
                <w:kern w:val="0"/>
                <w:szCs w:val="21"/>
              </w:rPr>
              <w:t>②合理衔接和引导屋面雨水、道路雨水进入地面生态设施，并设置相应的径流污染控制措施，得3分；</w:t>
            </w:r>
          </w:p>
          <w:p>
            <w:pPr>
              <w:jc w:val="left"/>
              <w:rPr>
                <w:rFonts w:ascii="宋体" w:hAnsi="宋体"/>
                <w:color w:val="000000"/>
                <w:kern w:val="0"/>
                <w:szCs w:val="21"/>
              </w:rPr>
            </w:pPr>
            <w:r>
              <w:rPr>
                <w:rFonts w:ascii="宋体" w:hAnsi="宋体"/>
                <w:color w:val="000000"/>
                <w:kern w:val="0"/>
                <w:szCs w:val="21"/>
              </w:rPr>
              <w:t>③硬质铺装地面中透水铺装面积的比例不小于50%，得3分。</w:t>
            </w:r>
          </w:p>
        </w:tc>
        <w:tc>
          <w:tcPr>
            <w:tcW w:w="844" w:type="dxa"/>
            <w:vAlign w:val="center"/>
          </w:tcPr>
          <w:p>
            <w:pPr>
              <w:jc w:val="center"/>
              <w:rPr>
                <w:rFonts w:hint="eastAsia" w:ascii="宋体" w:hAnsi="宋体"/>
                <w:color w:val="000000"/>
                <w:szCs w:val="21"/>
              </w:rPr>
            </w:pPr>
          </w:p>
        </w:tc>
        <w:tc>
          <w:tcPr>
            <w:tcW w:w="3260" w:type="dxa"/>
            <w:vAlign w:val="center"/>
          </w:tcPr>
          <w:p>
            <w:pPr>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4.2.14</w:t>
            </w:r>
          </w:p>
        </w:tc>
        <w:tc>
          <w:tcPr>
            <w:tcW w:w="3408" w:type="dxa"/>
            <w:vAlign w:val="top"/>
          </w:tcPr>
          <w:p>
            <w:pPr>
              <w:jc w:val="left"/>
              <w:rPr>
                <w:rFonts w:ascii="宋体" w:hAnsi="宋体"/>
                <w:color w:val="000000"/>
                <w:kern w:val="0"/>
                <w:szCs w:val="21"/>
              </w:rPr>
            </w:pPr>
            <w:r>
              <w:rPr>
                <w:rFonts w:ascii="宋体" w:hAnsi="宋体"/>
                <w:color w:val="000000"/>
                <w:kern w:val="0"/>
                <w:szCs w:val="21"/>
              </w:rPr>
              <w:t>合理规划地表与屋面雨水径流，对场地雨水实施外排总量控制</w:t>
            </w:r>
            <w:r>
              <w:rPr>
                <w:rFonts w:hint="eastAsia" w:ascii="宋体" w:hAnsi="宋体"/>
                <w:color w:val="000000"/>
                <w:kern w:val="0"/>
                <w:szCs w:val="21"/>
              </w:rPr>
              <w:t>，</w:t>
            </w:r>
            <w:r>
              <w:rPr>
                <w:rFonts w:hint="eastAsia" w:ascii="宋体" w:hAnsi="宋体"/>
                <w:kern w:val="0"/>
                <w:szCs w:val="21"/>
              </w:rPr>
              <w:t>总得分：</w:t>
            </w:r>
            <w:r>
              <w:rPr>
                <w:rFonts w:hint="eastAsia" w:ascii="宋体" w:cs="宋体"/>
                <w:kern w:val="0"/>
                <w:sz w:val="20"/>
                <w:szCs w:val="20"/>
              </w:rPr>
              <w:t>6分</w:t>
            </w:r>
            <w:r>
              <w:rPr>
                <w:rFonts w:hint="eastAsia" w:ascii="宋体" w:hAnsi="宋体"/>
                <w:color w:val="000000"/>
                <w:kern w:val="0"/>
                <w:szCs w:val="21"/>
              </w:rPr>
              <w:t>，</w:t>
            </w:r>
            <w:r>
              <w:rPr>
                <w:rFonts w:ascii="宋体" w:hAnsi="宋体"/>
                <w:color w:val="000000"/>
                <w:kern w:val="0"/>
                <w:szCs w:val="21"/>
              </w:rPr>
              <w:t>评分规则如下：</w:t>
            </w:r>
          </w:p>
          <w:p>
            <w:pPr>
              <w:jc w:val="left"/>
              <w:rPr>
                <w:rFonts w:ascii="宋体" w:hAnsi="宋体"/>
                <w:color w:val="000000"/>
                <w:kern w:val="0"/>
                <w:szCs w:val="21"/>
              </w:rPr>
            </w:pPr>
            <w:r>
              <w:rPr>
                <w:rFonts w:ascii="宋体" w:hAnsi="宋体"/>
                <w:color w:val="000000"/>
                <w:kern w:val="0"/>
                <w:szCs w:val="21"/>
              </w:rPr>
              <w:t>①场地年径流总量控制率不低于55%但低于70%，得3分；</w:t>
            </w:r>
          </w:p>
          <w:p>
            <w:pPr>
              <w:rPr>
                <w:rFonts w:ascii="宋体" w:hAnsi="宋体"/>
                <w:color w:val="000000"/>
                <w:kern w:val="0"/>
                <w:szCs w:val="21"/>
              </w:rPr>
            </w:pPr>
            <w:r>
              <w:rPr>
                <w:rFonts w:ascii="宋体" w:hAnsi="宋体"/>
                <w:color w:val="000000"/>
                <w:kern w:val="0"/>
                <w:szCs w:val="21"/>
              </w:rPr>
              <w:t>②场地年径流总量控制率不低于70%，得6分。</w:t>
            </w:r>
          </w:p>
        </w:tc>
        <w:tc>
          <w:tcPr>
            <w:tcW w:w="844" w:type="dxa"/>
            <w:vAlign w:val="center"/>
          </w:tcPr>
          <w:p>
            <w:pPr>
              <w:jc w:val="center"/>
              <w:rPr>
                <w:rFonts w:hint="eastAsia" w:ascii="宋体" w:hAnsi="宋体"/>
                <w:szCs w:val="21"/>
              </w:rPr>
            </w:pPr>
          </w:p>
        </w:tc>
        <w:tc>
          <w:tcPr>
            <w:tcW w:w="3260" w:type="dxa"/>
            <w:vAlign w:val="center"/>
          </w:tcPr>
          <w:p>
            <w:pPr>
              <w:jc w:val="left"/>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4.2.15</w:t>
            </w:r>
          </w:p>
        </w:tc>
        <w:tc>
          <w:tcPr>
            <w:tcW w:w="3408" w:type="dxa"/>
            <w:vAlign w:val="top"/>
          </w:tcPr>
          <w:p>
            <w:pPr>
              <w:jc w:val="left"/>
              <w:rPr>
                <w:rFonts w:hint="eastAsia" w:ascii="宋体" w:hAnsi="宋体"/>
                <w:color w:val="000000"/>
                <w:kern w:val="0"/>
                <w:szCs w:val="21"/>
              </w:rPr>
            </w:pPr>
            <w:r>
              <w:rPr>
                <w:rFonts w:ascii="宋体" w:hAnsi="宋体"/>
                <w:color w:val="000000"/>
                <w:kern w:val="0"/>
                <w:szCs w:val="21"/>
              </w:rPr>
              <w:t>合理选择绿化方式，科学配置绿化植物</w:t>
            </w:r>
            <w:r>
              <w:rPr>
                <w:rFonts w:hint="eastAsia" w:ascii="宋体" w:hAnsi="宋体"/>
                <w:color w:val="000000"/>
                <w:kern w:val="0"/>
                <w:szCs w:val="21"/>
              </w:rPr>
              <w:t>，</w:t>
            </w:r>
            <w:r>
              <w:rPr>
                <w:rFonts w:hint="eastAsia" w:ascii="宋体" w:hAnsi="宋体"/>
                <w:kern w:val="0"/>
                <w:szCs w:val="21"/>
              </w:rPr>
              <w:t>总得分：</w:t>
            </w:r>
            <w:r>
              <w:rPr>
                <w:rFonts w:hint="eastAsia" w:ascii="宋体" w:cs="宋体"/>
                <w:kern w:val="0"/>
                <w:sz w:val="20"/>
                <w:szCs w:val="20"/>
              </w:rPr>
              <w:t>6分</w:t>
            </w:r>
            <w:r>
              <w:rPr>
                <w:rFonts w:hint="eastAsia" w:ascii="宋体" w:hAnsi="宋体"/>
                <w:color w:val="000000"/>
                <w:kern w:val="0"/>
                <w:szCs w:val="21"/>
              </w:rPr>
              <w:t>。</w:t>
            </w:r>
          </w:p>
          <w:p>
            <w:pPr>
              <w:jc w:val="left"/>
              <w:rPr>
                <w:rFonts w:ascii="宋体" w:hAnsi="宋体"/>
                <w:color w:val="000000"/>
                <w:kern w:val="0"/>
                <w:szCs w:val="21"/>
              </w:rPr>
            </w:pPr>
            <w:r>
              <w:rPr>
                <w:rFonts w:ascii="宋体" w:hAnsi="宋体"/>
                <w:color w:val="000000"/>
                <w:kern w:val="0"/>
                <w:szCs w:val="21"/>
              </w:rPr>
              <w:t>①种植适应当地气候和土壤条件的植物，并采用乔、灌、草结合的复层绿化，且种植区域覆土深度和排水能力满足植物生长需求，得3分；</w:t>
            </w:r>
          </w:p>
          <w:p>
            <w:pPr>
              <w:jc w:val="left"/>
              <w:rPr>
                <w:rFonts w:ascii="宋体" w:hAnsi="宋体"/>
                <w:color w:val="000000"/>
                <w:kern w:val="0"/>
                <w:szCs w:val="21"/>
              </w:rPr>
            </w:pPr>
            <w:r>
              <w:rPr>
                <w:rFonts w:ascii="宋体" w:hAnsi="宋体"/>
                <w:color w:val="000000"/>
                <w:kern w:val="0"/>
                <w:szCs w:val="21"/>
              </w:rPr>
              <w:t>②</w:t>
            </w:r>
            <w:r>
              <w:rPr>
                <w:rFonts w:hint="eastAsia" w:ascii="宋体" w:hAnsi="宋体"/>
                <w:color w:val="000000"/>
                <w:kern w:val="0"/>
                <w:szCs w:val="21"/>
              </w:rPr>
              <w:t>居住建筑绿地配植乔木不少于3株/100㎡，</w:t>
            </w:r>
            <w:r>
              <w:rPr>
                <w:rFonts w:ascii="宋体" w:hAnsi="宋体"/>
                <w:color w:val="000000"/>
                <w:kern w:val="0"/>
                <w:szCs w:val="21"/>
              </w:rPr>
              <w:t>公共建筑绿地采用复层绿化、垂直绿化、屋顶绿化方式，得3分。</w:t>
            </w:r>
          </w:p>
        </w:tc>
        <w:tc>
          <w:tcPr>
            <w:tcW w:w="844" w:type="dxa"/>
            <w:vAlign w:val="center"/>
          </w:tcPr>
          <w:p>
            <w:pPr>
              <w:jc w:val="center"/>
              <w:rPr>
                <w:rFonts w:hint="eastAsia" w:ascii="宋体" w:hAnsi="宋体"/>
                <w:color w:val="FF0000"/>
                <w:szCs w:val="21"/>
              </w:rPr>
            </w:pPr>
          </w:p>
        </w:tc>
        <w:tc>
          <w:tcPr>
            <w:tcW w:w="3260" w:type="dxa"/>
            <w:vAlign w:val="center"/>
          </w:tcPr>
          <w:p>
            <w:pPr>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4968" w:type="dxa"/>
            <w:gridSpan w:val="3"/>
            <w:vAlign w:val="center"/>
          </w:tcPr>
          <w:p>
            <w:pPr>
              <w:rPr>
                <w:rFonts w:ascii="宋体" w:hAnsi="宋体"/>
                <w:szCs w:val="21"/>
              </w:rPr>
            </w:pPr>
            <w:r>
              <w:rPr>
                <w:rFonts w:ascii="宋体" w:hAnsi="宋体"/>
                <w:b/>
                <w:bCs/>
                <w:szCs w:val="21"/>
              </w:rPr>
              <w:t>小计</w:t>
            </w:r>
          </w:p>
        </w:tc>
        <w:tc>
          <w:tcPr>
            <w:tcW w:w="410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9072" w:type="dxa"/>
            <w:gridSpan w:val="5"/>
            <w:vAlign w:val="center"/>
          </w:tcPr>
          <w:p>
            <w:pPr>
              <w:jc w:val="center"/>
              <w:rPr>
                <w:rFonts w:ascii="宋体" w:hAnsi="宋体"/>
                <w:b/>
                <w:bCs/>
                <w:szCs w:val="21"/>
              </w:rPr>
            </w:pPr>
            <w:r>
              <w:rPr>
                <w:rFonts w:ascii="宋体" w:hAnsi="宋体"/>
                <w:b/>
                <w:bCs/>
                <w:szCs w:val="21"/>
              </w:rPr>
              <w:t>节</w:t>
            </w:r>
            <w:r>
              <w:rPr>
                <w:rFonts w:hint="eastAsia" w:ascii="宋体" w:hAnsi="宋体"/>
                <w:b/>
                <w:bCs/>
                <w:szCs w:val="21"/>
              </w:rPr>
              <w:t xml:space="preserve"> </w:t>
            </w:r>
            <w:r>
              <w:rPr>
                <w:rFonts w:ascii="宋体" w:hAnsi="宋体"/>
                <w:b/>
                <w:bCs/>
                <w:szCs w:val="21"/>
              </w:rPr>
              <w:t>能</w:t>
            </w:r>
            <w:r>
              <w:rPr>
                <w:rFonts w:hint="eastAsia" w:ascii="宋体" w:hAnsi="宋体"/>
                <w:b/>
                <w:bCs/>
                <w:szCs w:val="21"/>
              </w:rPr>
              <w:t xml:space="preserve"> </w:t>
            </w:r>
            <w:r>
              <w:rPr>
                <w:rFonts w:ascii="宋体" w:hAnsi="宋体"/>
                <w:b/>
                <w:bCs/>
                <w:szCs w:val="21"/>
              </w:rPr>
              <w:t>与</w:t>
            </w:r>
            <w:r>
              <w:rPr>
                <w:rFonts w:hint="eastAsia" w:ascii="宋体" w:hAnsi="宋体"/>
                <w:b/>
                <w:bCs/>
                <w:szCs w:val="21"/>
              </w:rPr>
              <w:t xml:space="preserve"> </w:t>
            </w:r>
            <w:r>
              <w:rPr>
                <w:rFonts w:ascii="宋体" w:hAnsi="宋体"/>
                <w:b/>
                <w:bCs/>
                <w:szCs w:val="21"/>
              </w:rPr>
              <w:t>能</w:t>
            </w:r>
            <w:r>
              <w:rPr>
                <w:rFonts w:hint="eastAsia" w:ascii="宋体" w:hAnsi="宋体"/>
                <w:b/>
                <w:bCs/>
                <w:szCs w:val="21"/>
              </w:rPr>
              <w:t xml:space="preserve"> </w:t>
            </w:r>
            <w:r>
              <w:rPr>
                <w:rFonts w:ascii="宋体" w:hAnsi="宋体"/>
                <w:b/>
                <w:bCs/>
                <w:szCs w:val="21"/>
              </w:rPr>
              <w:t>源</w:t>
            </w:r>
            <w:r>
              <w:rPr>
                <w:rFonts w:hint="eastAsia" w:ascii="宋体" w:hAnsi="宋体"/>
                <w:b/>
                <w:bCs/>
                <w:szCs w:val="21"/>
              </w:rPr>
              <w:t xml:space="preserve"> </w:t>
            </w:r>
            <w:r>
              <w:rPr>
                <w:rFonts w:ascii="宋体" w:hAnsi="宋体"/>
                <w:b/>
                <w:bCs/>
                <w:szCs w:val="21"/>
              </w:rPr>
              <w:t>利</w:t>
            </w:r>
            <w:r>
              <w:rPr>
                <w:rFonts w:hint="eastAsia" w:ascii="宋体" w:hAnsi="宋体"/>
                <w:b/>
                <w:bCs/>
                <w:szCs w:val="21"/>
              </w:rPr>
              <w:t xml:space="preserve"> </w:t>
            </w:r>
            <w:r>
              <w:rPr>
                <w:rFonts w:ascii="宋体" w:hAnsi="宋体"/>
                <w:b/>
                <w:bCs/>
                <w:szCs w:val="21"/>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67" w:type="dxa"/>
            <w:vAlign w:val="center"/>
          </w:tcPr>
          <w:p>
            <w:pPr>
              <w:jc w:val="center"/>
              <w:rPr>
                <w:rFonts w:ascii="宋体" w:hAnsi="宋体"/>
                <w:b/>
                <w:bCs/>
                <w:szCs w:val="21"/>
              </w:rPr>
            </w:pPr>
          </w:p>
        </w:tc>
        <w:tc>
          <w:tcPr>
            <w:tcW w:w="993" w:type="dxa"/>
            <w:vAlign w:val="center"/>
          </w:tcPr>
          <w:p>
            <w:pPr>
              <w:jc w:val="center"/>
              <w:rPr>
                <w:rFonts w:ascii="宋体" w:hAnsi="宋体"/>
                <w:b/>
                <w:bCs/>
                <w:szCs w:val="21"/>
              </w:rPr>
            </w:pPr>
            <w:r>
              <w:rPr>
                <w:rFonts w:ascii="宋体" w:hAnsi="宋体"/>
                <w:b/>
                <w:bCs/>
                <w:szCs w:val="21"/>
              </w:rPr>
              <w:t>条目号</w:t>
            </w:r>
          </w:p>
        </w:tc>
        <w:tc>
          <w:tcPr>
            <w:tcW w:w="3408" w:type="dxa"/>
            <w:vAlign w:val="center"/>
          </w:tcPr>
          <w:p>
            <w:pPr>
              <w:jc w:val="center"/>
              <w:rPr>
                <w:rFonts w:ascii="宋体" w:hAnsi="宋体"/>
                <w:b/>
                <w:bCs/>
                <w:szCs w:val="21"/>
              </w:rPr>
            </w:pPr>
            <w:r>
              <w:rPr>
                <w:rFonts w:ascii="宋体" w:hAnsi="宋体"/>
                <w:b/>
                <w:bCs/>
                <w:szCs w:val="21"/>
              </w:rPr>
              <w:t>评价标准规定</w:t>
            </w:r>
          </w:p>
        </w:tc>
        <w:tc>
          <w:tcPr>
            <w:tcW w:w="844" w:type="dxa"/>
            <w:vAlign w:val="top"/>
          </w:tcPr>
          <w:p>
            <w:pPr>
              <w:jc w:val="center"/>
              <w:rPr>
                <w:rFonts w:ascii="宋体" w:hAnsi="宋体"/>
                <w:b/>
                <w:bCs/>
                <w:szCs w:val="21"/>
              </w:rPr>
            </w:pPr>
            <w:r>
              <w:rPr>
                <w:rFonts w:ascii="宋体" w:hAnsi="宋体"/>
                <w:b/>
                <w:bCs/>
                <w:szCs w:val="21"/>
              </w:rPr>
              <w:t>项目达标</w:t>
            </w:r>
          </w:p>
        </w:tc>
        <w:tc>
          <w:tcPr>
            <w:tcW w:w="3260" w:type="dxa"/>
            <w:vAlign w:val="top"/>
          </w:tcPr>
          <w:p>
            <w:pPr>
              <w:jc w:val="center"/>
              <w:rPr>
                <w:rFonts w:ascii="宋体" w:hAnsi="宋体"/>
                <w:b/>
                <w:bCs/>
                <w:szCs w:val="21"/>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jc w:val="center"/>
              <w:rPr>
                <w:rFonts w:ascii="宋体" w:hAnsi="宋体"/>
                <w:b/>
                <w:bCs/>
                <w:szCs w:val="21"/>
              </w:rPr>
            </w:pPr>
            <w:r>
              <w:rPr>
                <w:rFonts w:ascii="宋体" w:hAnsi="宋体"/>
                <w:b/>
                <w:bCs/>
                <w:szCs w:val="21"/>
              </w:rPr>
              <w:t>控</w:t>
            </w:r>
          </w:p>
          <w:p>
            <w:pPr>
              <w:jc w:val="center"/>
              <w:rPr>
                <w:rFonts w:ascii="宋体" w:hAnsi="宋体"/>
                <w:b/>
                <w:bCs/>
                <w:szCs w:val="21"/>
              </w:rPr>
            </w:pPr>
          </w:p>
          <w:p>
            <w:pPr>
              <w:jc w:val="center"/>
              <w:rPr>
                <w:rFonts w:ascii="宋体" w:hAnsi="宋体"/>
                <w:b/>
                <w:bCs/>
                <w:szCs w:val="21"/>
              </w:rPr>
            </w:pPr>
            <w:r>
              <w:rPr>
                <w:rFonts w:ascii="宋体" w:hAnsi="宋体"/>
                <w:b/>
                <w:bCs/>
                <w:szCs w:val="21"/>
              </w:rPr>
              <w:t>制</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项</w:t>
            </w:r>
          </w:p>
        </w:tc>
        <w:tc>
          <w:tcPr>
            <w:tcW w:w="993" w:type="dxa"/>
            <w:vAlign w:val="center"/>
          </w:tcPr>
          <w:p>
            <w:pPr>
              <w:jc w:val="center"/>
              <w:rPr>
                <w:rFonts w:ascii="宋体" w:hAnsi="宋体"/>
                <w:szCs w:val="21"/>
              </w:rPr>
            </w:pPr>
            <w:r>
              <w:rPr>
                <w:rFonts w:hint="eastAsia" w:ascii="宋体" w:hAnsi="宋体"/>
                <w:kern w:val="0"/>
                <w:szCs w:val="21"/>
              </w:rPr>
              <w:t>5</w:t>
            </w:r>
            <w:r>
              <w:rPr>
                <w:rFonts w:ascii="宋体" w:hAnsi="宋体"/>
                <w:kern w:val="0"/>
                <w:szCs w:val="21"/>
              </w:rPr>
              <w:t>.1.1</w:t>
            </w:r>
          </w:p>
        </w:tc>
        <w:tc>
          <w:tcPr>
            <w:tcW w:w="3408" w:type="dxa"/>
            <w:vAlign w:val="center"/>
          </w:tcPr>
          <w:p>
            <w:pPr>
              <w:jc w:val="left"/>
              <w:rPr>
                <w:rFonts w:ascii="宋体" w:hAnsi="宋体"/>
                <w:szCs w:val="21"/>
              </w:rPr>
            </w:pPr>
            <w:r>
              <w:rPr>
                <w:rFonts w:ascii="宋体" w:hAnsi="宋体"/>
                <w:kern w:val="0"/>
                <w:szCs w:val="21"/>
              </w:rPr>
              <w:t>建筑设计应符合国家现行相关建筑节能设计标准中强制性条文的规定。</w:t>
            </w:r>
          </w:p>
        </w:tc>
        <w:tc>
          <w:tcPr>
            <w:tcW w:w="844" w:type="dxa"/>
            <w:vAlign w:val="center"/>
          </w:tcPr>
          <w:p>
            <w:pPr>
              <w:jc w:val="center"/>
              <w:rPr>
                <w:rFonts w:ascii="宋体" w:hAnsi="宋体"/>
                <w:szCs w:val="21"/>
              </w:rPr>
            </w:pPr>
          </w:p>
        </w:tc>
        <w:tc>
          <w:tcPr>
            <w:tcW w:w="3260" w:type="dxa"/>
            <w:vAlign w:val="center"/>
          </w:tcPr>
          <w:p>
            <w:pPr>
              <w:spacing w:line="240" w:lineRule="atLeas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hint="eastAsia" w:ascii="宋体" w:hAnsi="宋体"/>
                <w:kern w:val="0"/>
                <w:szCs w:val="21"/>
              </w:rPr>
              <w:t>5</w:t>
            </w:r>
            <w:r>
              <w:rPr>
                <w:rFonts w:ascii="宋体" w:hAnsi="宋体"/>
                <w:kern w:val="0"/>
                <w:szCs w:val="21"/>
              </w:rPr>
              <w:t>.1.2</w:t>
            </w:r>
          </w:p>
        </w:tc>
        <w:tc>
          <w:tcPr>
            <w:tcW w:w="3408" w:type="dxa"/>
            <w:vAlign w:val="top"/>
          </w:tcPr>
          <w:p>
            <w:pPr>
              <w:rPr>
                <w:rFonts w:ascii="宋体" w:hAnsi="宋体"/>
                <w:kern w:val="0"/>
                <w:szCs w:val="21"/>
              </w:rPr>
            </w:pPr>
            <w:r>
              <w:rPr>
                <w:rFonts w:ascii="宋体" w:hAnsi="宋体"/>
                <w:kern w:val="0"/>
                <w:szCs w:val="21"/>
              </w:rPr>
              <w:t>不应采用电直接加热设备作为供暖空调系统的供暖热源和空气加湿热源。</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hint="eastAsia" w:ascii="宋体" w:hAnsi="宋体"/>
                <w:kern w:val="0"/>
                <w:szCs w:val="21"/>
              </w:rPr>
              <w:t>5</w:t>
            </w:r>
            <w:r>
              <w:rPr>
                <w:rFonts w:ascii="宋体" w:hAnsi="宋体"/>
                <w:kern w:val="0"/>
                <w:szCs w:val="21"/>
              </w:rPr>
              <w:t>.1.3</w:t>
            </w:r>
          </w:p>
        </w:tc>
        <w:tc>
          <w:tcPr>
            <w:tcW w:w="3408" w:type="dxa"/>
            <w:vAlign w:val="top"/>
          </w:tcPr>
          <w:p>
            <w:pPr>
              <w:rPr>
                <w:rFonts w:ascii="宋体" w:hAnsi="宋体"/>
                <w:kern w:val="0"/>
                <w:szCs w:val="21"/>
              </w:rPr>
            </w:pPr>
            <w:r>
              <w:rPr>
                <w:rFonts w:ascii="宋体" w:hAnsi="宋体"/>
                <w:kern w:val="0"/>
                <w:szCs w:val="21"/>
              </w:rPr>
              <w:t>冷热源、输配系统和照明等各部分能耗应进行独立分项计量。</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hint="eastAsia" w:ascii="宋体" w:hAnsi="宋体"/>
                <w:kern w:val="0"/>
                <w:szCs w:val="21"/>
              </w:rPr>
              <w:t>5</w:t>
            </w:r>
            <w:r>
              <w:rPr>
                <w:rFonts w:ascii="宋体" w:hAnsi="宋体"/>
                <w:kern w:val="0"/>
                <w:szCs w:val="21"/>
              </w:rPr>
              <w:t>.1.4</w:t>
            </w:r>
          </w:p>
        </w:tc>
        <w:tc>
          <w:tcPr>
            <w:tcW w:w="3408" w:type="dxa"/>
            <w:vAlign w:val="top"/>
          </w:tcPr>
          <w:p>
            <w:pPr>
              <w:jc w:val="left"/>
              <w:rPr>
                <w:rFonts w:ascii="宋体" w:hAnsi="宋体"/>
                <w:kern w:val="0"/>
                <w:szCs w:val="21"/>
              </w:rPr>
            </w:pPr>
            <w:r>
              <w:rPr>
                <w:rFonts w:ascii="宋体" w:hAnsi="宋体"/>
                <w:szCs w:val="21"/>
              </w:rPr>
              <w:t>各房间或场所的照明功率密度值不应高于现行国家标准《建筑照明设计标准》GB50034中规定的现行值。</w:t>
            </w:r>
          </w:p>
        </w:tc>
        <w:tc>
          <w:tcPr>
            <w:tcW w:w="844" w:type="dxa"/>
            <w:vAlign w:val="center"/>
          </w:tcPr>
          <w:p>
            <w:pPr>
              <w:jc w:val="center"/>
              <w:rPr>
                <w:rFonts w:ascii="宋体" w:hAnsi="宋体"/>
                <w:szCs w:val="21"/>
              </w:rPr>
            </w:pPr>
          </w:p>
        </w:tc>
        <w:tc>
          <w:tcPr>
            <w:tcW w:w="326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567" w:type="dxa"/>
            <w:vMerge w:val="restart"/>
            <w:vAlign w:val="center"/>
          </w:tcPr>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评</w:t>
            </w:r>
          </w:p>
          <w:p>
            <w:pPr>
              <w:jc w:val="center"/>
              <w:rPr>
                <w:rFonts w:ascii="宋体" w:hAnsi="宋体"/>
                <w:b/>
                <w:bCs/>
                <w:szCs w:val="21"/>
              </w:rPr>
            </w:pPr>
          </w:p>
          <w:p>
            <w:pPr>
              <w:jc w:val="center"/>
              <w:rPr>
                <w:rFonts w:ascii="宋体" w:hAnsi="宋体"/>
                <w:b/>
                <w:bCs/>
                <w:szCs w:val="21"/>
              </w:rPr>
            </w:pPr>
            <w:r>
              <w:rPr>
                <w:rFonts w:ascii="宋体" w:hAnsi="宋体"/>
                <w:b/>
                <w:bCs/>
                <w:szCs w:val="21"/>
              </w:rPr>
              <w:t>分</w:t>
            </w:r>
          </w:p>
          <w:p>
            <w:pPr>
              <w:jc w:val="center"/>
              <w:rPr>
                <w:rFonts w:ascii="宋体" w:hAnsi="宋体"/>
                <w:b/>
                <w:bCs/>
                <w:szCs w:val="21"/>
              </w:rPr>
            </w:pPr>
          </w:p>
          <w:p>
            <w:pPr>
              <w:jc w:val="center"/>
              <w:rPr>
                <w:rFonts w:ascii="宋体" w:hAnsi="宋体"/>
                <w:b/>
                <w:bCs/>
                <w:szCs w:val="21"/>
              </w:rPr>
            </w:pPr>
            <w:r>
              <w:rPr>
                <w:rFonts w:ascii="宋体" w:hAnsi="宋体"/>
                <w:b/>
                <w:bCs/>
                <w:szCs w:val="21"/>
              </w:rPr>
              <w:t>项</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评</w:t>
            </w:r>
          </w:p>
          <w:p>
            <w:pPr>
              <w:jc w:val="center"/>
              <w:rPr>
                <w:rFonts w:ascii="宋体" w:hAnsi="宋体"/>
                <w:b/>
                <w:bCs/>
                <w:szCs w:val="21"/>
              </w:rPr>
            </w:pPr>
          </w:p>
          <w:p>
            <w:pPr>
              <w:jc w:val="center"/>
              <w:rPr>
                <w:rFonts w:ascii="宋体" w:hAnsi="宋体"/>
                <w:b/>
                <w:bCs/>
                <w:szCs w:val="21"/>
              </w:rPr>
            </w:pPr>
            <w:r>
              <w:rPr>
                <w:rFonts w:ascii="宋体" w:hAnsi="宋体"/>
                <w:b/>
                <w:bCs/>
                <w:szCs w:val="21"/>
              </w:rPr>
              <w:t>分</w:t>
            </w:r>
          </w:p>
          <w:p>
            <w:pPr>
              <w:jc w:val="center"/>
              <w:rPr>
                <w:rFonts w:ascii="宋体" w:hAnsi="宋体"/>
                <w:b/>
                <w:bCs/>
                <w:szCs w:val="21"/>
              </w:rPr>
            </w:pPr>
          </w:p>
          <w:p>
            <w:pPr>
              <w:jc w:val="center"/>
              <w:rPr>
                <w:rFonts w:ascii="宋体" w:hAnsi="宋体"/>
                <w:b/>
                <w:bCs/>
                <w:szCs w:val="21"/>
              </w:rPr>
            </w:pPr>
            <w:r>
              <w:rPr>
                <w:rFonts w:ascii="宋体" w:hAnsi="宋体"/>
                <w:b/>
                <w:bCs/>
                <w:szCs w:val="21"/>
              </w:rPr>
              <w:t>项</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评</w:t>
            </w:r>
          </w:p>
          <w:p>
            <w:pPr>
              <w:jc w:val="center"/>
              <w:rPr>
                <w:rFonts w:ascii="宋体" w:hAnsi="宋体"/>
                <w:b/>
                <w:bCs/>
                <w:szCs w:val="21"/>
              </w:rPr>
            </w:pPr>
          </w:p>
          <w:p>
            <w:pPr>
              <w:jc w:val="center"/>
              <w:rPr>
                <w:rFonts w:ascii="宋体" w:hAnsi="宋体"/>
                <w:b/>
                <w:bCs/>
                <w:szCs w:val="21"/>
              </w:rPr>
            </w:pPr>
            <w:r>
              <w:rPr>
                <w:rFonts w:ascii="宋体" w:hAnsi="宋体"/>
                <w:b/>
                <w:bCs/>
                <w:szCs w:val="21"/>
              </w:rPr>
              <w:t>分</w:t>
            </w:r>
          </w:p>
          <w:p>
            <w:pPr>
              <w:jc w:val="center"/>
              <w:rPr>
                <w:rFonts w:ascii="宋体" w:hAnsi="宋体"/>
                <w:b/>
                <w:bCs/>
                <w:szCs w:val="21"/>
              </w:rPr>
            </w:pPr>
          </w:p>
          <w:p>
            <w:pPr>
              <w:jc w:val="center"/>
              <w:rPr>
                <w:rFonts w:ascii="宋体" w:hAnsi="宋体"/>
                <w:b/>
                <w:bCs/>
                <w:szCs w:val="21"/>
              </w:rPr>
            </w:pPr>
            <w:r>
              <w:rPr>
                <w:rFonts w:ascii="宋体" w:hAnsi="宋体"/>
                <w:b/>
                <w:bCs/>
                <w:szCs w:val="21"/>
              </w:rPr>
              <w:t>项</w:t>
            </w:r>
          </w:p>
          <w:p>
            <w:pPr>
              <w:jc w:val="center"/>
              <w:rPr>
                <w:rFonts w:ascii="宋体" w:hAnsi="宋体"/>
                <w:b/>
                <w:bCs/>
                <w:szCs w:val="21"/>
              </w:rPr>
            </w:pPr>
          </w:p>
          <w:p>
            <w:pPr>
              <w:jc w:val="center"/>
              <w:rPr>
                <w:rFonts w:ascii="宋体" w:hAnsi="宋体"/>
                <w:b/>
                <w:bCs/>
                <w:szCs w:val="21"/>
              </w:rPr>
            </w:pPr>
            <w:r>
              <w:rPr>
                <w:rFonts w:ascii="宋体" w:hAnsi="宋体"/>
                <w:b/>
                <w:bCs/>
                <w:szCs w:val="21"/>
              </w:rPr>
              <w:t xml:space="preserve">    </w:t>
            </w:r>
          </w:p>
          <w:p>
            <w:pPr>
              <w:rPr>
                <w:rFonts w:ascii="宋体" w:hAnsi="宋体"/>
                <w:szCs w:val="21"/>
              </w:rPr>
            </w:pPr>
            <w:r>
              <w:rPr>
                <w:rFonts w:ascii="宋体" w:hAnsi="宋体"/>
                <w:b/>
                <w:bCs/>
                <w:szCs w:val="21"/>
              </w:rPr>
              <w:t xml:space="preserve">                               </w:t>
            </w:r>
          </w:p>
        </w:tc>
        <w:tc>
          <w:tcPr>
            <w:tcW w:w="4401" w:type="dxa"/>
            <w:gridSpan w:val="2"/>
            <w:vAlign w:val="center"/>
          </w:tcPr>
          <w:p>
            <w:pPr>
              <w:jc w:val="center"/>
              <w:rPr>
                <w:rFonts w:ascii="宋体" w:hAnsi="宋体"/>
                <w:szCs w:val="21"/>
              </w:rPr>
            </w:pPr>
            <w:r>
              <w:rPr>
                <w:rFonts w:hint="eastAsia" w:ascii="宋体" w:hAnsi="宋体"/>
                <w:b/>
                <w:bCs/>
                <w:szCs w:val="21"/>
              </w:rPr>
              <w:t>评价条文</w:t>
            </w:r>
          </w:p>
        </w:tc>
        <w:tc>
          <w:tcPr>
            <w:tcW w:w="844" w:type="dxa"/>
            <w:vAlign w:val="center"/>
          </w:tcPr>
          <w:p>
            <w:pPr>
              <w:jc w:val="center"/>
              <w:rPr>
                <w:rFonts w:ascii="宋体" w:hAnsi="宋体"/>
                <w:szCs w:val="21"/>
              </w:rPr>
            </w:pPr>
            <w:r>
              <w:rPr>
                <w:rFonts w:ascii="宋体" w:hAnsi="宋体"/>
                <w:b/>
                <w:bCs/>
                <w:szCs w:val="21"/>
              </w:rPr>
              <w:t>得分</w:t>
            </w:r>
          </w:p>
        </w:tc>
        <w:tc>
          <w:tcPr>
            <w:tcW w:w="3260" w:type="dxa"/>
            <w:vAlign w:val="center"/>
          </w:tcPr>
          <w:p>
            <w:pPr>
              <w:jc w:val="center"/>
              <w:rPr>
                <w:rFonts w:ascii="宋体" w:hAnsi="宋体"/>
                <w:szCs w:val="21"/>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kern w:val="0"/>
                <w:szCs w:val="21"/>
              </w:rPr>
              <w:t>5.2.1</w:t>
            </w:r>
          </w:p>
        </w:tc>
        <w:tc>
          <w:tcPr>
            <w:tcW w:w="3408" w:type="dxa"/>
            <w:vAlign w:val="top"/>
          </w:tcPr>
          <w:p>
            <w:pPr>
              <w:rPr>
                <w:rFonts w:ascii="宋体" w:hAnsi="宋体"/>
                <w:kern w:val="0"/>
                <w:szCs w:val="21"/>
              </w:rPr>
            </w:pPr>
            <w:r>
              <w:rPr>
                <w:rFonts w:ascii="宋体" w:hAnsi="宋体"/>
                <w:kern w:val="0"/>
                <w:szCs w:val="21"/>
              </w:rPr>
              <w:t>结合场地自然条件，对建筑的体形、朝向、楼距、窗墙比等进行优化设计，</w:t>
            </w:r>
            <w:r>
              <w:rPr>
                <w:rFonts w:hint="eastAsia" w:ascii="宋体" w:hAnsi="宋体"/>
                <w:kern w:val="0"/>
                <w:szCs w:val="21"/>
              </w:rPr>
              <w:t>总得分：</w:t>
            </w:r>
            <w:r>
              <w:rPr>
                <w:rFonts w:ascii="宋体" w:hAnsi="宋体"/>
                <w:kern w:val="0"/>
                <w:szCs w:val="21"/>
              </w:rPr>
              <w:t>6分。</w:t>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kern w:val="0"/>
                <w:szCs w:val="21"/>
              </w:rPr>
              <w:t>5.2.2</w:t>
            </w:r>
          </w:p>
        </w:tc>
        <w:tc>
          <w:tcPr>
            <w:tcW w:w="3408" w:type="dxa"/>
            <w:vAlign w:val="top"/>
          </w:tcPr>
          <w:p>
            <w:pPr>
              <w:rPr>
                <w:rFonts w:ascii="宋体" w:hAnsi="宋体"/>
                <w:kern w:val="0"/>
                <w:szCs w:val="21"/>
              </w:rPr>
            </w:pPr>
            <w:r>
              <w:rPr>
                <w:rFonts w:ascii="宋体" w:hAnsi="宋体"/>
                <w:kern w:val="0"/>
                <w:szCs w:val="21"/>
              </w:rPr>
              <w:t>外窗、玻璃幕墙</w:t>
            </w:r>
            <w:r>
              <w:rPr>
                <w:rFonts w:ascii="宋体" w:hAnsi="宋体"/>
                <w:szCs w:val="21"/>
              </w:rPr>
              <w:t>的可开启部分能使建筑获得良好的通风，</w:t>
            </w:r>
            <w:r>
              <w:rPr>
                <w:rFonts w:hint="eastAsia" w:ascii="宋体" w:hAnsi="宋体"/>
                <w:kern w:val="0"/>
                <w:szCs w:val="21"/>
              </w:rPr>
              <w:t>总得分：</w:t>
            </w:r>
            <w:r>
              <w:rPr>
                <w:rFonts w:ascii="宋体" w:hAnsi="宋体"/>
                <w:kern w:val="0"/>
                <w:szCs w:val="21"/>
              </w:rPr>
              <w:t>6分。</w:t>
            </w:r>
          </w:p>
          <w:p>
            <w:pPr>
              <w:rPr>
                <w:rFonts w:ascii="宋体" w:hAnsi="宋体"/>
                <w:kern w:val="0"/>
                <w:szCs w:val="21"/>
              </w:rPr>
            </w:pPr>
            <w:r>
              <w:rPr>
                <w:rFonts w:ascii="宋体" w:hAnsi="宋体"/>
                <w:kern w:val="0"/>
                <w:szCs w:val="21"/>
              </w:rPr>
              <w:t>①设玻璃幕墙且不设外窗的建筑，其玻璃幕墙透明部分可开启面积比例达到5%，得4分；达到10%，得6分。；</w:t>
            </w:r>
          </w:p>
          <w:p>
            <w:pPr>
              <w:rPr>
                <w:rFonts w:ascii="宋体" w:hAnsi="宋体"/>
                <w:kern w:val="0"/>
                <w:szCs w:val="21"/>
              </w:rPr>
            </w:pPr>
            <w:r>
              <w:rPr>
                <w:rFonts w:ascii="宋体" w:hAnsi="宋体"/>
                <w:kern w:val="0"/>
                <w:szCs w:val="21"/>
              </w:rPr>
              <w:t>②设外窗且不设玻璃幕墙的建筑，外窗可开启面积比例达到30%，得4分；达到35%，得6分；</w:t>
            </w:r>
          </w:p>
          <w:p>
            <w:pPr>
              <w:rPr>
                <w:rFonts w:ascii="宋体" w:hAnsi="宋体"/>
                <w:kern w:val="0"/>
                <w:szCs w:val="21"/>
              </w:rPr>
            </w:pPr>
            <w:r>
              <w:rPr>
                <w:rFonts w:ascii="宋体" w:hAnsi="宋体"/>
                <w:kern w:val="0"/>
                <w:szCs w:val="21"/>
              </w:rPr>
              <w:t>③设玻璃幕墙和外窗的建筑，对其玻璃幕墙透明部分和外窗分别按本条第1款和第2款进行评价，得分取两项得分的平均值。</w:t>
            </w:r>
          </w:p>
        </w:tc>
        <w:tc>
          <w:tcPr>
            <w:tcW w:w="844" w:type="dxa"/>
            <w:vAlign w:val="center"/>
          </w:tcPr>
          <w:p>
            <w:pPr>
              <w:jc w:val="center"/>
              <w:rPr>
                <w:rFonts w:hint="eastAsia" w:ascii="宋体" w:hAnsi="宋体"/>
                <w:color w:val="000000"/>
                <w:szCs w:val="21"/>
              </w:rPr>
            </w:pPr>
          </w:p>
        </w:tc>
        <w:tc>
          <w:tcPr>
            <w:tcW w:w="3260" w:type="dxa"/>
            <w:vAlign w:val="center"/>
          </w:tcPr>
          <w:p>
            <w:pPr>
              <w:ind w:left="210" w:hanging="210" w:hangingChars="100"/>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kern w:val="0"/>
                <w:szCs w:val="21"/>
              </w:rPr>
              <w:t>5.2.3</w:t>
            </w:r>
          </w:p>
        </w:tc>
        <w:tc>
          <w:tcPr>
            <w:tcW w:w="3408" w:type="dxa"/>
            <w:vAlign w:val="top"/>
          </w:tcPr>
          <w:p>
            <w:pPr>
              <w:rPr>
                <w:rFonts w:hint="eastAsia" w:ascii="宋体" w:hAnsi="宋体"/>
                <w:kern w:val="0"/>
                <w:szCs w:val="21"/>
              </w:rPr>
            </w:pPr>
            <w:r>
              <w:rPr>
                <w:rFonts w:ascii="宋体" w:hAnsi="宋体"/>
                <w:kern w:val="0"/>
                <w:szCs w:val="21"/>
              </w:rPr>
              <w:t>围护结构热工性能</w:t>
            </w:r>
            <w:r>
              <w:rPr>
                <w:rFonts w:hint="eastAsia" w:ascii="宋体" w:hAnsi="宋体"/>
                <w:kern w:val="0"/>
                <w:szCs w:val="21"/>
              </w:rPr>
              <w:t>优于</w:t>
            </w:r>
            <w:r>
              <w:rPr>
                <w:rFonts w:ascii="宋体" w:hAnsi="宋体"/>
                <w:kern w:val="0"/>
                <w:szCs w:val="21"/>
              </w:rPr>
              <w:t>国家现行</w:t>
            </w:r>
            <w:r>
              <w:rPr>
                <w:rFonts w:hint="eastAsia" w:ascii="宋体" w:hAnsi="宋体"/>
                <w:kern w:val="0"/>
                <w:szCs w:val="21"/>
              </w:rPr>
              <w:t>标准，总得分：10</w:t>
            </w:r>
            <w:r>
              <w:rPr>
                <w:rFonts w:ascii="宋体" w:hAnsi="宋体"/>
                <w:kern w:val="0"/>
                <w:szCs w:val="21"/>
              </w:rPr>
              <w:t>分。</w:t>
            </w:r>
          </w:p>
          <w:p>
            <w:pPr>
              <w:rPr>
                <w:rFonts w:ascii="宋体" w:hAnsi="宋体"/>
                <w:kern w:val="0"/>
                <w:szCs w:val="21"/>
              </w:rPr>
            </w:pPr>
            <w:r>
              <w:rPr>
                <w:rFonts w:ascii="宋体" w:hAnsi="宋体"/>
                <w:kern w:val="0"/>
                <w:szCs w:val="21"/>
              </w:rPr>
              <w:t>①围护结构热工性能比国家现行相关建筑节能设计标准规定的提高幅度达到5%，得5分；达到10%，得10分。</w:t>
            </w:r>
          </w:p>
          <w:p>
            <w:pPr>
              <w:rPr>
                <w:rFonts w:ascii="宋体" w:hAnsi="宋体"/>
                <w:kern w:val="0"/>
                <w:szCs w:val="21"/>
              </w:rPr>
            </w:pPr>
            <w:r>
              <w:rPr>
                <w:rFonts w:ascii="宋体" w:hAnsi="宋体"/>
                <w:kern w:val="0"/>
                <w:szCs w:val="21"/>
              </w:rPr>
              <w:t>②供暖空调全年计算负荷降低幅度达到5% ，得5分；达到10% ，得10分。</w:t>
            </w:r>
          </w:p>
        </w:tc>
        <w:tc>
          <w:tcPr>
            <w:tcW w:w="844" w:type="dxa"/>
            <w:vAlign w:val="center"/>
          </w:tcPr>
          <w:p>
            <w:pPr>
              <w:jc w:val="center"/>
              <w:rPr>
                <w:rFonts w:hint="eastAsia" w:ascii="宋体" w:hAnsi="宋体"/>
                <w:color w:val="000000"/>
                <w:szCs w:val="21"/>
              </w:rPr>
            </w:pPr>
          </w:p>
        </w:tc>
        <w:tc>
          <w:tcPr>
            <w:tcW w:w="3260" w:type="dxa"/>
            <w:vAlign w:val="center"/>
          </w:tcPr>
          <w:p>
            <w:pPr>
              <w:ind w:left="2" w:firstLine="8" w:firstLineChars="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5.2.4</w:t>
            </w:r>
          </w:p>
        </w:tc>
        <w:tc>
          <w:tcPr>
            <w:tcW w:w="3408" w:type="dxa"/>
            <w:vAlign w:val="top"/>
          </w:tcPr>
          <w:p>
            <w:pPr>
              <w:rPr>
                <w:rFonts w:ascii="宋体" w:hAnsi="宋体"/>
                <w:kern w:val="0"/>
                <w:szCs w:val="21"/>
              </w:rPr>
            </w:pPr>
            <w:r>
              <w:rPr>
                <w:rFonts w:ascii="宋体" w:hAnsi="宋体"/>
                <w:kern w:val="0"/>
                <w:szCs w:val="21"/>
              </w:rPr>
              <w:t>供暖空调系统的冷、热源机组能效均优于现行国家标准《公共建筑节能设计标准》GB50189的规定以及现行有关国家标准能效限定值的要求</w:t>
            </w:r>
            <w:r>
              <w:rPr>
                <w:rFonts w:hint="eastAsia" w:ascii="宋体" w:hAnsi="宋体"/>
                <w:kern w:val="0"/>
                <w:szCs w:val="21"/>
              </w:rPr>
              <w:t>（表5.2.4）</w:t>
            </w:r>
            <w:r>
              <w:rPr>
                <w:rFonts w:ascii="宋体" w:hAnsi="宋体"/>
                <w:kern w:val="0"/>
                <w:szCs w:val="21"/>
              </w:rPr>
              <w:t>，</w:t>
            </w:r>
            <w:r>
              <w:rPr>
                <w:rFonts w:hint="eastAsia" w:ascii="宋体" w:hAnsi="宋体"/>
                <w:kern w:val="0"/>
                <w:szCs w:val="21"/>
              </w:rPr>
              <w:t>总得分：</w:t>
            </w:r>
            <w:r>
              <w:rPr>
                <w:rFonts w:ascii="宋体" w:hAnsi="宋体"/>
                <w:kern w:val="0"/>
                <w:szCs w:val="21"/>
              </w:rPr>
              <w:t>6分。</w:t>
            </w:r>
          </w:p>
        </w:tc>
        <w:tc>
          <w:tcPr>
            <w:tcW w:w="844" w:type="dxa"/>
            <w:vAlign w:val="center"/>
          </w:tcPr>
          <w:p>
            <w:pPr>
              <w:jc w:val="center"/>
              <w:rPr>
                <w:rFonts w:hint="eastAsia" w:ascii="宋体" w:hAnsi="宋体"/>
                <w:color w:val="000000"/>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5.2.5</w:t>
            </w:r>
          </w:p>
        </w:tc>
        <w:tc>
          <w:tcPr>
            <w:tcW w:w="3408" w:type="dxa"/>
            <w:vAlign w:val="top"/>
          </w:tcPr>
          <w:p>
            <w:pPr>
              <w:rPr>
                <w:rFonts w:ascii="宋体" w:hAnsi="宋体"/>
                <w:kern w:val="0"/>
                <w:szCs w:val="21"/>
              </w:rPr>
            </w:pPr>
            <w:r>
              <w:rPr>
                <w:rFonts w:ascii="宋体" w:hAnsi="宋体"/>
                <w:kern w:val="0"/>
                <w:szCs w:val="21"/>
              </w:rPr>
              <w:t>集中供暖系统热水循环泵的耗电输热比和通风空调系统风机的单位风量耗功率符合现行国家标准《公共建筑节能设计标准》GB50189的规定，空调冷热水系统循环水泵的耗电输冷（热）比低于现行国家标准《民用建筑供暖、通风与空气调节设计规范》GB 50736规定值的20%，</w:t>
            </w:r>
            <w:r>
              <w:rPr>
                <w:rFonts w:hint="eastAsia" w:ascii="宋体" w:hAnsi="宋体"/>
                <w:kern w:val="0"/>
                <w:szCs w:val="21"/>
              </w:rPr>
              <w:t>总得分：</w:t>
            </w:r>
            <w:r>
              <w:rPr>
                <w:rFonts w:ascii="宋体" w:hAnsi="宋体"/>
                <w:kern w:val="0"/>
                <w:szCs w:val="21"/>
              </w:rPr>
              <w:t>6分。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5.2.6</w:t>
            </w:r>
          </w:p>
        </w:tc>
        <w:tc>
          <w:tcPr>
            <w:tcW w:w="3408" w:type="dxa"/>
            <w:vAlign w:val="top"/>
          </w:tcPr>
          <w:p>
            <w:pPr>
              <w:rPr>
                <w:rFonts w:ascii="宋体" w:hAnsi="宋体"/>
                <w:kern w:val="0"/>
                <w:szCs w:val="21"/>
              </w:rPr>
            </w:pPr>
            <w:r>
              <w:rPr>
                <w:rFonts w:ascii="宋体" w:hAnsi="宋体"/>
                <w:kern w:val="0"/>
                <w:szCs w:val="21"/>
              </w:rPr>
              <w:t>合理选择和优化供暖、通风与空调系统</w:t>
            </w:r>
            <w:r>
              <w:rPr>
                <w:rFonts w:hint="eastAsia" w:ascii="宋体" w:hAnsi="宋体"/>
                <w:kern w:val="0"/>
                <w:szCs w:val="21"/>
              </w:rPr>
              <w:t>，总得分：10</w:t>
            </w:r>
            <w:r>
              <w:rPr>
                <w:rFonts w:ascii="宋体" w:hAnsi="宋体"/>
                <w:kern w:val="0"/>
                <w:szCs w:val="21"/>
              </w:rPr>
              <w:t>分</w:t>
            </w:r>
            <w:r>
              <w:rPr>
                <w:rFonts w:hint="eastAsia" w:ascii="宋体" w:hAnsi="宋体"/>
                <w:kern w:val="0"/>
                <w:szCs w:val="21"/>
              </w:rPr>
              <w:t>，</w:t>
            </w:r>
            <w:r>
              <w:rPr>
                <w:rFonts w:ascii="宋体" w:hAnsi="宋体"/>
                <w:kern w:val="0"/>
                <w:szCs w:val="21"/>
              </w:rPr>
              <w:t>评分规则如下 ：</w:t>
            </w:r>
          </w:p>
          <w:p>
            <w:pPr>
              <w:rPr>
                <w:rFonts w:ascii="宋体" w:hAnsi="宋体"/>
                <w:kern w:val="0"/>
                <w:szCs w:val="21"/>
              </w:rPr>
            </w:pPr>
            <w:r>
              <w:rPr>
                <w:rFonts w:ascii="宋体" w:hAnsi="宋体"/>
                <w:kern w:val="0"/>
                <w:szCs w:val="21"/>
              </w:rPr>
              <w:t>① 暖通空调系统能耗降低幅度不小于5%，但小于10%，得3分；</w:t>
            </w:r>
          </w:p>
          <w:p>
            <w:pPr>
              <w:rPr>
                <w:rFonts w:ascii="宋体" w:hAnsi="宋体"/>
                <w:kern w:val="0"/>
                <w:szCs w:val="21"/>
              </w:rPr>
            </w:pPr>
            <w:r>
              <w:rPr>
                <w:rFonts w:ascii="宋体" w:hAnsi="宋体"/>
                <w:kern w:val="0"/>
                <w:szCs w:val="21"/>
              </w:rPr>
              <w:t>② 暖通空调系统能耗降低幅度不小于10%，但小于15%，得7分；</w:t>
            </w:r>
          </w:p>
          <w:p>
            <w:pPr>
              <w:rPr>
                <w:rFonts w:ascii="宋体" w:hAnsi="宋体"/>
                <w:kern w:val="0"/>
                <w:szCs w:val="21"/>
              </w:rPr>
            </w:pPr>
            <w:r>
              <w:rPr>
                <w:rFonts w:ascii="宋体" w:hAnsi="宋体"/>
                <w:kern w:val="0"/>
                <w:szCs w:val="21"/>
              </w:rPr>
              <w:t>③ 暖通空调系统能耗降低幅度不小于15%，得10分。</w:t>
            </w:r>
          </w:p>
        </w:tc>
        <w:tc>
          <w:tcPr>
            <w:tcW w:w="844" w:type="dxa"/>
            <w:vAlign w:val="center"/>
          </w:tcPr>
          <w:p>
            <w:pPr>
              <w:jc w:val="center"/>
              <w:rPr>
                <w:rFonts w:hint="eastAsia" w:ascii="宋体" w:hAnsi="宋体"/>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5.2.7</w:t>
            </w:r>
          </w:p>
        </w:tc>
        <w:tc>
          <w:tcPr>
            <w:tcW w:w="3408" w:type="dxa"/>
            <w:vAlign w:val="center"/>
          </w:tcPr>
          <w:p>
            <w:pPr>
              <w:rPr>
                <w:rFonts w:ascii="宋体" w:hAnsi="宋体"/>
                <w:color w:val="000000"/>
                <w:kern w:val="0"/>
                <w:szCs w:val="21"/>
              </w:rPr>
            </w:pPr>
            <w:r>
              <w:rPr>
                <w:rFonts w:ascii="宋体" w:hAnsi="宋体"/>
                <w:color w:val="000000"/>
                <w:kern w:val="0"/>
                <w:szCs w:val="21"/>
              </w:rPr>
              <w:t>采取措施降低过渡季节供暖、通风与空调系统能耗，</w:t>
            </w:r>
            <w:r>
              <w:rPr>
                <w:rFonts w:hint="eastAsia" w:ascii="宋体" w:hAnsi="宋体"/>
                <w:kern w:val="0"/>
                <w:szCs w:val="21"/>
              </w:rPr>
              <w:t>总得分：</w:t>
            </w:r>
            <w:r>
              <w:rPr>
                <w:rFonts w:ascii="宋体" w:hAnsi="宋体"/>
                <w:kern w:val="0"/>
                <w:szCs w:val="21"/>
              </w:rPr>
              <w:t>6分。</w:t>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5.2.8</w:t>
            </w:r>
          </w:p>
        </w:tc>
        <w:tc>
          <w:tcPr>
            <w:tcW w:w="3408" w:type="dxa"/>
            <w:vAlign w:val="top"/>
          </w:tcPr>
          <w:p>
            <w:pPr>
              <w:jc w:val="left"/>
              <w:rPr>
                <w:rFonts w:ascii="宋体" w:hAnsi="宋体"/>
                <w:color w:val="000000"/>
                <w:kern w:val="0"/>
                <w:szCs w:val="21"/>
              </w:rPr>
            </w:pPr>
            <w:r>
              <w:rPr>
                <w:rFonts w:ascii="宋体" w:hAnsi="宋体"/>
                <w:color w:val="000000"/>
                <w:kern w:val="0"/>
                <w:szCs w:val="21"/>
              </w:rPr>
              <w:t>降低建筑物在部分冷热负荷和部分空间使用下的暖通空调系统能耗</w:t>
            </w:r>
            <w:r>
              <w:rPr>
                <w:rFonts w:hint="eastAsia" w:ascii="宋体" w:hAnsi="宋体"/>
                <w:color w:val="000000"/>
                <w:kern w:val="0"/>
                <w:szCs w:val="21"/>
              </w:rPr>
              <w:t>，</w:t>
            </w:r>
            <w:r>
              <w:rPr>
                <w:rFonts w:hint="eastAsia" w:ascii="宋体" w:hAnsi="宋体"/>
                <w:kern w:val="0"/>
                <w:szCs w:val="21"/>
              </w:rPr>
              <w:t>总得分：9</w:t>
            </w:r>
            <w:r>
              <w:rPr>
                <w:rFonts w:ascii="宋体" w:hAnsi="宋体"/>
                <w:kern w:val="0"/>
                <w:szCs w:val="21"/>
              </w:rPr>
              <w:t>分。</w:t>
            </w:r>
            <w:r>
              <w:rPr>
                <w:rFonts w:ascii="宋体" w:hAnsi="宋体"/>
                <w:color w:val="000000"/>
                <w:kern w:val="0"/>
                <w:szCs w:val="21"/>
              </w:rPr>
              <w:t>评分规则如下：</w:t>
            </w:r>
          </w:p>
          <w:p>
            <w:pPr>
              <w:jc w:val="left"/>
              <w:rPr>
                <w:rFonts w:ascii="宋体" w:hAnsi="宋体"/>
                <w:color w:val="000000"/>
                <w:kern w:val="0"/>
                <w:szCs w:val="21"/>
              </w:rPr>
            </w:pPr>
            <w:r>
              <w:rPr>
                <w:rFonts w:ascii="宋体" w:hAnsi="宋体"/>
                <w:color w:val="000000"/>
                <w:kern w:val="0"/>
                <w:szCs w:val="21"/>
              </w:rPr>
              <w:t>①区分房间的朝向，细分空调区域，对空调系统进行分区控制，得3分；</w:t>
            </w:r>
          </w:p>
          <w:p>
            <w:pPr>
              <w:jc w:val="left"/>
              <w:rPr>
                <w:rFonts w:ascii="宋体" w:hAnsi="宋体"/>
                <w:color w:val="000000"/>
                <w:kern w:val="0"/>
                <w:szCs w:val="21"/>
              </w:rPr>
            </w:pPr>
            <w:r>
              <w:rPr>
                <w:rFonts w:ascii="宋体" w:hAnsi="宋体"/>
                <w:color w:val="000000"/>
                <w:kern w:val="0"/>
                <w:szCs w:val="21"/>
              </w:rPr>
              <w:t>②合理选配空调冷、热源机组台数与容量，制定实施根据负荷变化调节制冷( 热) 量的控制策略，且空调冷源机组的部分负荷性能系数（IPLV）符合现行国家标准《公共建筑节能设计标准》GB 50189的规定，得3分；</w:t>
            </w:r>
          </w:p>
          <w:p>
            <w:pPr>
              <w:jc w:val="left"/>
              <w:rPr>
                <w:rFonts w:ascii="宋体" w:hAnsi="宋体"/>
                <w:color w:val="000000"/>
                <w:kern w:val="0"/>
                <w:szCs w:val="21"/>
              </w:rPr>
            </w:pPr>
            <w:r>
              <w:rPr>
                <w:rFonts w:ascii="宋体" w:hAnsi="宋体"/>
                <w:color w:val="000000"/>
                <w:kern w:val="0"/>
                <w:szCs w:val="21"/>
              </w:rPr>
              <w:t>③水系统采用水泵变频技术，或全空气系统采用变风量控制，且采取相应的水力平衡措施，得3分。</w:t>
            </w:r>
          </w:p>
        </w:tc>
        <w:tc>
          <w:tcPr>
            <w:tcW w:w="844" w:type="dxa"/>
            <w:vAlign w:val="center"/>
          </w:tcPr>
          <w:p>
            <w:pPr>
              <w:jc w:val="center"/>
              <w:rPr>
                <w:rFonts w:ascii="宋体" w:hAnsi="宋体"/>
                <w:szCs w:val="21"/>
              </w:rPr>
            </w:pPr>
          </w:p>
        </w:tc>
        <w:tc>
          <w:tcPr>
            <w:tcW w:w="3260" w:type="dxa"/>
            <w:vAlign w:val="center"/>
          </w:tcPr>
          <w:p>
            <w:pPr>
              <w:ind w:left="210" w:hanging="210" w:hangingChars="100"/>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5.2.9</w:t>
            </w:r>
          </w:p>
        </w:tc>
        <w:tc>
          <w:tcPr>
            <w:tcW w:w="3408" w:type="dxa"/>
            <w:vAlign w:val="center"/>
          </w:tcPr>
          <w:p>
            <w:pPr>
              <w:rPr>
                <w:rFonts w:ascii="宋体" w:hAnsi="宋体"/>
                <w:color w:val="000000"/>
                <w:kern w:val="0"/>
                <w:szCs w:val="21"/>
              </w:rPr>
            </w:pPr>
            <w:r>
              <w:rPr>
                <w:rFonts w:ascii="宋体" w:hAnsi="宋体"/>
                <w:color w:val="000000"/>
                <w:kern w:val="0"/>
                <w:szCs w:val="21"/>
              </w:rPr>
              <w:t>走廊、楼梯间、门厅、大堂、大空间、地下停车场等场所的照明系统采取分区、定时、感应等节能控制措施，</w:t>
            </w:r>
            <w:r>
              <w:rPr>
                <w:rFonts w:hint="eastAsia" w:ascii="宋体" w:hAnsi="宋体"/>
                <w:kern w:val="0"/>
                <w:szCs w:val="21"/>
              </w:rPr>
              <w:t>总得分：5</w:t>
            </w:r>
            <w:r>
              <w:rPr>
                <w:rFonts w:ascii="宋体" w:hAnsi="宋体"/>
                <w:kern w:val="0"/>
                <w:szCs w:val="21"/>
              </w:rPr>
              <w:t>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5.2.10</w:t>
            </w:r>
          </w:p>
        </w:tc>
        <w:tc>
          <w:tcPr>
            <w:tcW w:w="3408" w:type="dxa"/>
            <w:vAlign w:val="top"/>
          </w:tcPr>
          <w:p>
            <w:pPr>
              <w:jc w:val="left"/>
              <w:rPr>
                <w:rFonts w:hint="eastAsia" w:ascii="宋体" w:hAnsi="宋体"/>
                <w:kern w:val="0"/>
                <w:szCs w:val="21"/>
              </w:rPr>
            </w:pPr>
            <w:r>
              <w:rPr>
                <w:rFonts w:ascii="宋体" w:hAnsi="宋体"/>
                <w:szCs w:val="21"/>
              </w:rPr>
              <w:t>照明功率密度值达到现行国家标准《建筑照明设计标准》GB50034中规定的目标值，</w:t>
            </w:r>
            <w:r>
              <w:rPr>
                <w:rFonts w:hint="eastAsia" w:ascii="宋体" w:hAnsi="宋体"/>
                <w:kern w:val="0"/>
                <w:szCs w:val="21"/>
              </w:rPr>
              <w:t>总得分：8</w:t>
            </w:r>
            <w:r>
              <w:rPr>
                <w:rFonts w:ascii="宋体" w:hAnsi="宋体"/>
                <w:kern w:val="0"/>
                <w:szCs w:val="21"/>
              </w:rPr>
              <w:t>分。</w:t>
            </w:r>
          </w:p>
          <w:p>
            <w:pPr>
              <w:jc w:val="left"/>
              <w:rPr>
                <w:rFonts w:hint="eastAsia" w:ascii="宋体" w:hAnsi="宋体"/>
                <w:szCs w:val="21"/>
              </w:rPr>
            </w:pPr>
            <w:r>
              <w:rPr>
                <w:rFonts w:hint="eastAsia" w:ascii="宋体" w:hAnsi="宋体"/>
                <w:szCs w:val="21"/>
              </w:rPr>
              <w:t>1）</w:t>
            </w:r>
            <w:r>
              <w:rPr>
                <w:rFonts w:ascii="宋体" w:hAnsi="宋体"/>
                <w:szCs w:val="21"/>
              </w:rPr>
              <w:t>主要功能房间满足要求，得4分；</w:t>
            </w:r>
          </w:p>
          <w:p>
            <w:pPr>
              <w:jc w:val="left"/>
              <w:rPr>
                <w:rFonts w:ascii="宋体" w:hAnsi="宋体"/>
                <w:color w:val="000000"/>
                <w:kern w:val="0"/>
                <w:szCs w:val="21"/>
              </w:rPr>
            </w:pPr>
            <w:r>
              <w:rPr>
                <w:rFonts w:hint="eastAsia" w:ascii="宋体" w:hAnsi="宋体"/>
                <w:szCs w:val="21"/>
              </w:rPr>
              <w:t>2）</w:t>
            </w:r>
            <w:r>
              <w:rPr>
                <w:rFonts w:ascii="宋体" w:hAnsi="宋体"/>
                <w:szCs w:val="21"/>
              </w:rPr>
              <w:t>所有区域均满足要求，</w:t>
            </w:r>
            <w:r>
              <w:rPr>
                <w:rFonts w:hint="eastAsia" w:ascii="宋体" w:hAnsi="宋体"/>
                <w:kern w:val="0"/>
                <w:szCs w:val="21"/>
              </w:rPr>
              <w:t>得8</w:t>
            </w:r>
            <w:r>
              <w:rPr>
                <w:rFonts w:ascii="宋体" w:hAnsi="宋体"/>
                <w:kern w:val="0"/>
                <w:szCs w:val="21"/>
              </w:rPr>
              <w:t>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5.2.11</w:t>
            </w:r>
          </w:p>
        </w:tc>
        <w:tc>
          <w:tcPr>
            <w:tcW w:w="3408" w:type="dxa"/>
            <w:vAlign w:val="top"/>
          </w:tcPr>
          <w:p>
            <w:pPr>
              <w:jc w:val="left"/>
              <w:rPr>
                <w:rFonts w:ascii="宋体" w:hAnsi="宋体"/>
                <w:color w:val="000000"/>
                <w:kern w:val="0"/>
                <w:szCs w:val="21"/>
              </w:rPr>
            </w:pPr>
            <w:r>
              <w:rPr>
                <w:rFonts w:ascii="宋体" w:hAnsi="宋体"/>
                <w:color w:val="000000"/>
                <w:kern w:val="0"/>
                <w:szCs w:val="21"/>
              </w:rPr>
              <w:t>合理选用电梯和自动扶梯，并采取电梯群控、扶梯自动启停等节能控制措施，</w:t>
            </w:r>
            <w:r>
              <w:rPr>
                <w:rFonts w:hint="eastAsia" w:ascii="宋体" w:hAnsi="宋体"/>
                <w:kern w:val="0"/>
                <w:szCs w:val="21"/>
              </w:rPr>
              <w:t>总得分：3</w:t>
            </w:r>
            <w:r>
              <w:rPr>
                <w:rFonts w:ascii="宋体" w:hAnsi="宋体"/>
                <w:kern w:val="0"/>
                <w:szCs w:val="21"/>
              </w:rPr>
              <w:t>分。</w:t>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kern w:val="0"/>
                <w:szCs w:val="21"/>
              </w:rPr>
            </w:pPr>
            <w:r>
              <w:rPr>
                <w:rFonts w:ascii="宋体" w:hAnsi="宋体"/>
                <w:color w:val="000000"/>
                <w:kern w:val="0"/>
                <w:szCs w:val="21"/>
              </w:rPr>
              <w:t>5.2.12</w:t>
            </w:r>
          </w:p>
        </w:tc>
        <w:tc>
          <w:tcPr>
            <w:tcW w:w="3408" w:type="dxa"/>
            <w:vAlign w:val="top"/>
          </w:tcPr>
          <w:p>
            <w:pPr>
              <w:jc w:val="left"/>
              <w:rPr>
                <w:rFonts w:ascii="宋体" w:hAnsi="宋体"/>
                <w:color w:val="000000"/>
                <w:kern w:val="0"/>
                <w:szCs w:val="21"/>
              </w:rPr>
            </w:pPr>
            <w:r>
              <w:rPr>
                <w:rFonts w:ascii="宋体" w:hAnsi="宋体"/>
                <w:szCs w:val="21"/>
              </w:rPr>
              <w:t>合理选用节能型电气设备，</w:t>
            </w:r>
            <w:r>
              <w:rPr>
                <w:rFonts w:hint="eastAsia" w:ascii="宋体" w:hAnsi="宋体"/>
                <w:kern w:val="0"/>
                <w:szCs w:val="21"/>
              </w:rPr>
              <w:t>总得分：5</w:t>
            </w:r>
            <w:r>
              <w:rPr>
                <w:rFonts w:ascii="宋体" w:hAnsi="宋体"/>
                <w:kern w:val="0"/>
                <w:szCs w:val="21"/>
              </w:rPr>
              <w:t>分</w:t>
            </w:r>
            <w:r>
              <w:rPr>
                <w:rFonts w:hint="eastAsia" w:ascii="宋体" w:hAnsi="宋体"/>
                <w:kern w:val="0"/>
                <w:szCs w:val="21"/>
              </w:rPr>
              <w:t>，</w:t>
            </w:r>
            <w:r>
              <w:rPr>
                <w:rFonts w:ascii="宋体" w:hAnsi="宋体"/>
                <w:color w:val="000000"/>
                <w:kern w:val="0"/>
                <w:szCs w:val="21"/>
              </w:rPr>
              <w:t>评分规则如下：</w:t>
            </w:r>
          </w:p>
          <w:p>
            <w:pPr>
              <w:jc w:val="left"/>
              <w:rPr>
                <w:rFonts w:ascii="宋体" w:hAnsi="宋体"/>
                <w:szCs w:val="21"/>
              </w:rPr>
            </w:pPr>
            <w:r>
              <w:rPr>
                <w:rFonts w:ascii="宋体" w:hAnsi="宋体"/>
                <w:color w:val="000000"/>
                <w:kern w:val="0"/>
                <w:szCs w:val="21"/>
              </w:rPr>
              <w:t>①</w:t>
            </w:r>
            <w:r>
              <w:rPr>
                <w:rFonts w:ascii="宋体" w:hAnsi="宋体"/>
                <w:color w:val="000000"/>
                <w:szCs w:val="21"/>
              </w:rPr>
              <w:t>三相配电变压器满足现行国家标准《三相配电变压器能效限定值及能效等级》GB20052的节能评价值要求，得3分；</w:t>
            </w:r>
          </w:p>
          <w:p>
            <w:pPr>
              <w:jc w:val="left"/>
              <w:rPr>
                <w:rFonts w:ascii="宋体" w:hAnsi="宋体"/>
                <w:szCs w:val="21"/>
              </w:rPr>
            </w:pPr>
            <w:r>
              <w:rPr>
                <w:rFonts w:ascii="宋体" w:hAnsi="宋体"/>
                <w:color w:val="000000"/>
                <w:kern w:val="0"/>
                <w:szCs w:val="21"/>
              </w:rPr>
              <w:t>②</w:t>
            </w:r>
            <w:r>
              <w:rPr>
                <w:rFonts w:ascii="宋体" w:hAnsi="宋体"/>
                <w:szCs w:val="21"/>
              </w:rPr>
              <w:t>水泵、风机等设备，及其他电气装置满足相关现行国家标准的节能评价值要求，得2分。</w:t>
            </w:r>
          </w:p>
        </w:tc>
        <w:tc>
          <w:tcPr>
            <w:tcW w:w="844" w:type="dxa"/>
            <w:vAlign w:val="center"/>
          </w:tcPr>
          <w:p>
            <w:pPr>
              <w:jc w:val="center"/>
              <w:rPr>
                <w:rFonts w:hint="eastAsia" w:ascii="宋体" w:hAnsi="宋体"/>
                <w:color w:val="000000"/>
                <w:szCs w:val="21"/>
              </w:rPr>
            </w:pPr>
          </w:p>
        </w:tc>
        <w:tc>
          <w:tcPr>
            <w:tcW w:w="3260" w:type="dxa"/>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kern w:val="0"/>
                <w:szCs w:val="21"/>
              </w:rPr>
            </w:pPr>
            <w:r>
              <w:rPr>
                <w:rFonts w:ascii="宋体" w:hAnsi="宋体"/>
                <w:color w:val="000000"/>
                <w:kern w:val="0"/>
                <w:szCs w:val="21"/>
              </w:rPr>
              <w:t>5.2.13</w:t>
            </w:r>
          </w:p>
        </w:tc>
        <w:tc>
          <w:tcPr>
            <w:tcW w:w="3408" w:type="dxa"/>
            <w:vAlign w:val="top"/>
          </w:tcPr>
          <w:p>
            <w:pPr>
              <w:jc w:val="left"/>
              <w:rPr>
                <w:rFonts w:hint="eastAsia" w:ascii="宋体" w:hAnsi="宋体"/>
                <w:color w:val="000000"/>
                <w:kern w:val="0"/>
                <w:szCs w:val="21"/>
              </w:rPr>
            </w:pPr>
            <w:r>
              <w:rPr>
                <w:rFonts w:ascii="宋体" w:hAnsi="宋体"/>
                <w:szCs w:val="21"/>
              </w:rPr>
              <w:t>排风能量回收系统设计合理并运行可靠，</w:t>
            </w:r>
            <w:r>
              <w:rPr>
                <w:rFonts w:hint="eastAsia" w:ascii="宋体" w:hAnsi="宋体"/>
                <w:kern w:val="0"/>
                <w:szCs w:val="21"/>
              </w:rPr>
              <w:t>总得分：3</w:t>
            </w:r>
            <w:r>
              <w:rPr>
                <w:rFonts w:ascii="宋体" w:hAnsi="宋体"/>
                <w:kern w:val="0"/>
                <w:szCs w:val="21"/>
              </w:rPr>
              <w:t>分。</w:t>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5.2.14</w:t>
            </w:r>
          </w:p>
        </w:tc>
        <w:tc>
          <w:tcPr>
            <w:tcW w:w="3408" w:type="dxa"/>
            <w:vAlign w:val="center"/>
          </w:tcPr>
          <w:p>
            <w:pPr>
              <w:rPr>
                <w:rFonts w:ascii="宋体" w:hAnsi="宋体"/>
                <w:color w:val="000000"/>
                <w:kern w:val="0"/>
                <w:szCs w:val="21"/>
              </w:rPr>
            </w:pPr>
            <w:r>
              <w:rPr>
                <w:rFonts w:ascii="宋体" w:hAnsi="宋体"/>
                <w:szCs w:val="21"/>
              </w:rPr>
              <w:t>合理采用蓄冷蓄热系统，</w:t>
            </w:r>
            <w:r>
              <w:rPr>
                <w:rFonts w:hint="eastAsia" w:ascii="宋体" w:hAnsi="宋体"/>
                <w:kern w:val="0"/>
                <w:szCs w:val="21"/>
              </w:rPr>
              <w:t>总得分：3</w:t>
            </w:r>
            <w:r>
              <w:rPr>
                <w:rFonts w:ascii="宋体" w:hAnsi="宋体"/>
                <w:kern w:val="0"/>
                <w:szCs w:val="21"/>
              </w:rPr>
              <w:t>分。</w:t>
            </w:r>
          </w:p>
        </w:tc>
        <w:tc>
          <w:tcPr>
            <w:tcW w:w="844" w:type="dxa"/>
            <w:vAlign w:val="center"/>
          </w:tcPr>
          <w:p>
            <w:pPr>
              <w:jc w:val="center"/>
              <w:rPr>
                <w:rFonts w:ascii="宋体" w:hAnsi="宋体"/>
                <w:color w:val="FF0000"/>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kern w:val="0"/>
                <w:szCs w:val="21"/>
              </w:rPr>
              <w:t>5.2.15</w:t>
            </w:r>
          </w:p>
        </w:tc>
        <w:tc>
          <w:tcPr>
            <w:tcW w:w="3408" w:type="dxa"/>
            <w:vAlign w:val="top"/>
          </w:tcPr>
          <w:p>
            <w:pPr>
              <w:jc w:val="left"/>
              <w:rPr>
                <w:rFonts w:ascii="宋体" w:hAnsi="宋体"/>
                <w:color w:val="000000"/>
                <w:kern w:val="0"/>
                <w:szCs w:val="21"/>
              </w:rPr>
            </w:pPr>
            <w:r>
              <w:rPr>
                <w:rFonts w:ascii="宋体" w:hAnsi="宋体"/>
                <w:szCs w:val="21"/>
              </w:rPr>
              <w:t>合理利用余热废热解决建筑的蒸汽、供暖或生活热水需求，</w:t>
            </w:r>
            <w:r>
              <w:rPr>
                <w:rFonts w:hint="eastAsia" w:ascii="宋体" w:hAnsi="宋体"/>
                <w:kern w:val="0"/>
                <w:szCs w:val="21"/>
              </w:rPr>
              <w:t>总得分：4</w:t>
            </w:r>
            <w:r>
              <w:rPr>
                <w:rFonts w:ascii="宋体" w:hAnsi="宋体"/>
                <w:kern w:val="0"/>
                <w:szCs w:val="21"/>
              </w:rPr>
              <w:t>分。</w:t>
            </w:r>
          </w:p>
        </w:tc>
        <w:tc>
          <w:tcPr>
            <w:tcW w:w="844" w:type="dxa"/>
            <w:vAlign w:val="center"/>
          </w:tcPr>
          <w:p>
            <w:pPr>
              <w:jc w:val="center"/>
              <w:rPr>
                <w:rFonts w:ascii="宋体" w:hAnsi="宋体"/>
                <w:color w:val="FF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67" w:type="dxa"/>
            <w:vMerge w:val="continue"/>
            <w:vAlign w:val="center"/>
          </w:tcPr>
          <w:p>
            <w:pPr>
              <w:rPr>
                <w:rFonts w:ascii="宋体" w:hAnsi="宋体"/>
                <w:szCs w:val="21"/>
              </w:rPr>
            </w:pPr>
          </w:p>
        </w:tc>
        <w:tc>
          <w:tcPr>
            <w:tcW w:w="993" w:type="dxa"/>
            <w:vAlign w:val="center"/>
          </w:tcPr>
          <w:p>
            <w:pPr>
              <w:rPr>
                <w:rFonts w:ascii="宋体" w:hAnsi="宋体"/>
                <w:b/>
                <w:bCs/>
                <w:szCs w:val="21"/>
              </w:rPr>
            </w:pPr>
            <w:r>
              <w:rPr>
                <w:rFonts w:ascii="宋体" w:hAnsi="宋体"/>
                <w:color w:val="000000"/>
                <w:kern w:val="0"/>
                <w:szCs w:val="21"/>
              </w:rPr>
              <w:t xml:space="preserve"> 5.2.16</w:t>
            </w:r>
          </w:p>
        </w:tc>
        <w:tc>
          <w:tcPr>
            <w:tcW w:w="3408" w:type="dxa"/>
            <w:vAlign w:val="center"/>
          </w:tcPr>
          <w:p>
            <w:pPr>
              <w:jc w:val="left"/>
              <w:rPr>
                <w:rFonts w:hint="eastAsia" w:ascii="宋体" w:hAnsi="宋体"/>
                <w:szCs w:val="21"/>
              </w:rPr>
            </w:pPr>
            <w:r>
              <w:rPr>
                <w:rFonts w:ascii="宋体" w:hAnsi="宋体"/>
                <w:szCs w:val="21"/>
              </w:rPr>
              <w:t>根据当地气候和自然资源条件，合理利用可再生能源</w:t>
            </w:r>
            <w:r>
              <w:rPr>
                <w:rFonts w:hint="eastAsia" w:ascii="宋体" w:hAnsi="宋体"/>
                <w:szCs w:val="21"/>
              </w:rPr>
              <w:t>，</w:t>
            </w:r>
            <w:r>
              <w:rPr>
                <w:rFonts w:hint="eastAsia" w:ascii="宋体" w:hAnsi="宋体"/>
                <w:kern w:val="0"/>
                <w:szCs w:val="21"/>
              </w:rPr>
              <w:t>总得分：10</w:t>
            </w:r>
            <w:r>
              <w:rPr>
                <w:rFonts w:ascii="宋体" w:hAnsi="宋体"/>
                <w:kern w:val="0"/>
                <w:szCs w:val="21"/>
              </w:rPr>
              <w:t>分</w:t>
            </w:r>
            <w:r>
              <w:rPr>
                <w:rFonts w:hint="eastAsia" w:ascii="宋体" w:hAnsi="宋体"/>
                <w:kern w:val="0"/>
                <w:szCs w:val="21"/>
              </w:rPr>
              <w:t>，</w:t>
            </w:r>
            <w:r>
              <w:rPr>
                <w:rFonts w:ascii="宋体" w:hAnsi="宋体"/>
                <w:szCs w:val="21"/>
              </w:rPr>
              <w:t>评分规则如下：</w:t>
            </w:r>
          </w:p>
          <w:p>
            <w:pPr>
              <w:jc w:val="left"/>
              <w:rPr>
                <w:rFonts w:hint="eastAsia" w:ascii="宋体" w:hAnsi="宋体"/>
                <w:szCs w:val="21"/>
              </w:rPr>
            </w:pPr>
            <w:r>
              <w:rPr>
                <w:rFonts w:hint="eastAsia" w:ascii="宋体" w:hAnsi="宋体"/>
                <w:szCs w:val="21"/>
              </w:rPr>
              <w:t>1）由可再生能源提供的生活热水比例Rhw：</w:t>
            </w:r>
          </w:p>
          <w:p>
            <w:pPr>
              <w:jc w:val="left"/>
              <w:rPr>
                <w:rFonts w:hint="eastAsia" w:ascii="宋体" w:hAnsi="宋体"/>
                <w:szCs w:val="21"/>
              </w:rPr>
            </w:pPr>
            <w:r>
              <w:rPr>
                <w:rFonts w:hint="eastAsia" w:ascii="宋体" w:hAnsi="宋体"/>
                <w:kern w:val="0"/>
                <w:szCs w:val="21"/>
              </w:rPr>
              <w:t>①</w:t>
            </w:r>
            <w:r>
              <w:rPr>
                <w:rFonts w:hint="eastAsia" w:ascii="宋体" w:hAnsi="宋体"/>
                <w:szCs w:val="21"/>
              </w:rPr>
              <w:t>20%≤Rhw＜30%，</w:t>
            </w:r>
            <w:r>
              <w:rPr>
                <w:rFonts w:ascii="宋体" w:hAnsi="宋体"/>
                <w:szCs w:val="21"/>
              </w:rPr>
              <w:t>得</w:t>
            </w:r>
            <w:r>
              <w:rPr>
                <w:rFonts w:hint="eastAsia" w:ascii="宋体" w:hAnsi="宋体"/>
                <w:szCs w:val="21"/>
              </w:rPr>
              <w:t>4</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②30%≤Rhw＜40%，</w:t>
            </w:r>
            <w:r>
              <w:rPr>
                <w:rFonts w:ascii="宋体" w:hAnsi="宋体"/>
                <w:szCs w:val="21"/>
              </w:rPr>
              <w:t>得</w:t>
            </w:r>
            <w:r>
              <w:rPr>
                <w:rFonts w:hint="eastAsia" w:ascii="宋体" w:hAnsi="宋体"/>
                <w:szCs w:val="21"/>
              </w:rPr>
              <w:t>5</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③40%≤Rhw＜50%，</w:t>
            </w:r>
            <w:r>
              <w:rPr>
                <w:rFonts w:ascii="宋体" w:hAnsi="宋体"/>
                <w:szCs w:val="21"/>
              </w:rPr>
              <w:t>得</w:t>
            </w:r>
            <w:r>
              <w:rPr>
                <w:rFonts w:hint="eastAsia" w:ascii="宋体" w:hAnsi="宋体"/>
                <w:szCs w:val="21"/>
              </w:rPr>
              <w:t>6</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④50%≤Rhw＜60%，</w:t>
            </w:r>
            <w:r>
              <w:rPr>
                <w:rFonts w:ascii="宋体" w:hAnsi="宋体"/>
                <w:szCs w:val="21"/>
              </w:rPr>
              <w:t>得</w:t>
            </w:r>
            <w:r>
              <w:rPr>
                <w:rFonts w:hint="eastAsia" w:ascii="宋体" w:hAnsi="宋体"/>
                <w:szCs w:val="21"/>
              </w:rPr>
              <w:t>7</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⑤60%≤Rhw＜70%，</w:t>
            </w:r>
            <w:r>
              <w:rPr>
                <w:rFonts w:ascii="宋体" w:hAnsi="宋体"/>
                <w:szCs w:val="21"/>
              </w:rPr>
              <w:t>得</w:t>
            </w:r>
            <w:r>
              <w:rPr>
                <w:rFonts w:hint="eastAsia" w:ascii="宋体" w:hAnsi="宋体"/>
                <w:szCs w:val="21"/>
              </w:rPr>
              <w:t>8</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⑥70%≤Rhw＜80%，</w:t>
            </w:r>
            <w:r>
              <w:rPr>
                <w:rFonts w:ascii="宋体" w:hAnsi="宋体"/>
                <w:szCs w:val="21"/>
              </w:rPr>
              <w:t>得</w:t>
            </w:r>
            <w:r>
              <w:rPr>
                <w:rFonts w:hint="eastAsia" w:ascii="宋体" w:hAnsi="宋体"/>
                <w:szCs w:val="21"/>
              </w:rPr>
              <w:t>9</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⑧Rhw≥80%，</w:t>
            </w:r>
            <w:r>
              <w:rPr>
                <w:rFonts w:ascii="宋体" w:hAnsi="宋体"/>
                <w:szCs w:val="21"/>
              </w:rPr>
              <w:t>得</w:t>
            </w:r>
            <w:r>
              <w:rPr>
                <w:rFonts w:hint="eastAsia" w:ascii="宋体" w:hAnsi="宋体"/>
                <w:szCs w:val="21"/>
              </w:rPr>
              <w:t>10</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2）由可再生能源提供的空调用冷量和热量比例Rch：</w:t>
            </w:r>
          </w:p>
          <w:p>
            <w:pPr>
              <w:jc w:val="left"/>
              <w:rPr>
                <w:rFonts w:hint="eastAsia" w:ascii="宋体" w:hAnsi="宋体"/>
                <w:szCs w:val="21"/>
              </w:rPr>
            </w:pPr>
            <w:r>
              <w:rPr>
                <w:rFonts w:hint="eastAsia" w:ascii="宋体" w:hAnsi="宋体"/>
                <w:kern w:val="0"/>
                <w:szCs w:val="21"/>
              </w:rPr>
              <w:t>①</w:t>
            </w:r>
            <w:r>
              <w:rPr>
                <w:rFonts w:hint="eastAsia" w:ascii="宋体" w:hAnsi="宋体"/>
                <w:szCs w:val="21"/>
              </w:rPr>
              <w:t>20%≤Rch＜30%，</w:t>
            </w:r>
            <w:r>
              <w:rPr>
                <w:rFonts w:ascii="宋体" w:hAnsi="宋体"/>
                <w:szCs w:val="21"/>
              </w:rPr>
              <w:t>得</w:t>
            </w:r>
            <w:r>
              <w:rPr>
                <w:rFonts w:hint="eastAsia" w:ascii="宋体" w:hAnsi="宋体"/>
                <w:szCs w:val="21"/>
              </w:rPr>
              <w:t>4</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②30%≤Rch＜40%，</w:t>
            </w:r>
            <w:r>
              <w:rPr>
                <w:rFonts w:ascii="宋体" w:hAnsi="宋体"/>
                <w:szCs w:val="21"/>
              </w:rPr>
              <w:t>得</w:t>
            </w:r>
            <w:r>
              <w:rPr>
                <w:rFonts w:hint="eastAsia" w:ascii="宋体" w:hAnsi="宋体"/>
                <w:szCs w:val="21"/>
              </w:rPr>
              <w:t>5</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③40%≤Rch＜50%，</w:t>
            </w:r>
            <w:r>
              <w:rPr>
                <w:rFonts w:ascii="宋体" w:hAnsi="宋体"/>
                <w:szCs w:val="21"/>
              </w:rPr>
              <w:t>得</w:t>
            </w:r>
            <w:r>
              <w:rPr>
                <w:rFonts w:hint="eastAsia" w:ascii="宋体" w:hAnsi="宋体"/>
                <w:szCs w:val="21"/>
              </w:rPr>
              <w:t>6</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④50%≤Rch＜60%，</w:t>
            </w:r>
            <w:r>
              <w:rPr>
                <w:rFonts w:ascii="宋体" w:hAnsi="宋体"/>
                <w:szCs w:val="21"/>
              </w:rPr>
              <w:t>得</w:t>
            </w:r>
            <w:r>
              <w:rPr>
                <w:rFonts w:hint="eastAsia" w:ascii="宋体" w:hAnsi="宋体"/>
                <w:szCs w:val="21"/>
              </w:rPr>
              <w:t>7</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⑤60%≤Rch＜70%，</w:t>
            </w:r>
            <w:r>
              <w:rPr>
                <w:rFonts w:ascii="宋体" w:hAnsi="宋体"/>
                <w:szCs w:val="21"/>
              </w:rPr>
              <w:t>得</w:t>
            </w:r>
            <w:r>
              <w:rPr>
                <w:rFonts w:hint="eastAsia" w:ascii="宋体" w:hAnsi="宋体"/>
                <w:szCs w:val="21"/>
              </w:rPr>
              <w:t>8</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⑥70%≤Rch＜80%，</w:t>
            </w:r>
            <w:r>
              <w:rPr>
                <w:rFonts w:ascii="宋体" w:hAnsi="宋体"/>
                <w:szCs w:val="21"/>
              </w:rPr>
              <w:t>得</w:t>
            </w:r>
            <w:r>
              <w:rPr>
                <w:rFonts w:hint="eastAsia" w:ascii="宋体" w:hAnsi="宋体"/>
                <w:szCs w:val="21"/>
              </w:rPr>
              <w:t>9</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⑧Rch≥80%，</w:t>
            </w:r>
            <w:r>
              <w:rPr>
                <w:rFonts w:ascii="宋体" w:hAnsi="宋体"/>
                <w:szCs w:val="21"/>
              </w:rPr>
              <w:t>得</w:t>
            </w:r>
            <w:r>
              <w:rPr>
                <w:rFonts w:hint="eastAsia" w:ascii="宋体" w:hAnsi="宋体"/>
                <w:szCs w:val="21"/>
              </w:rPr>
              <w:t>10</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3）由可再生能源提供的电量比例Re：</w:t>
            </w:r>
          </w:p>
          <w:p>
            <w:pPr>
              <w:jc w:val="left"/>
              <w:rPr>
                <w:rFonts w:hint="eastAsia" w:ascii="宋体" w:hAnsi="宋体"/>
                <w:szCs w:val="21"/>
              </w:rPr>
            </w:pPr>
            <w:r>
              <w:rPr>
                <w:rFonts w:hint="eastAsia" w:ascii="宋体" w:hAnsi="宋体"/>
                <w:kern w:val="0"/>
                <w:szCs w:val="21"/>
              </w:rPr>
              <w:t>①</w:t>
            </w:r>
            <w:r>
              <w:rPr>
                <w:rFonts w:hint="eastAsia" w:ascii="宋体" w:hAnsi="宋体"/>
                <w:szCs w:val="21"/>
              </w:rPr>
              <w:t>1.0≤Re＜1.5，</w:t>
            </w:r>
            <w:r>
              <w:rPr>
                <w:rFonts w:ascii="宋体" w:hAnsi="宋体"/>
                <w:szCs w:val="21"/>
              </w:rPr>
              <w:t>得</w:t>
            </w:r>
            <w:r>
              <w:rPr>
                <w:rFonts w:hint="eastAsia" w:ascii="宋体" w:hAnsi="宋体"/>
                <w:szCs w:val="21"/>
              </w:rPr>
              <w:t>4</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②1.5≤Re＜2.0，</w:t>
            </w:r>
            <w:r>
              <w:rPr>
                <w:rFonts w:ascii="宋体" w:hAnsi="宋体"/>
                <w:szCs w:val="21"/>
              </w:rPr>
              <w:t>得</w:t>
            </w:r>
            <w:r>
              <w:rPr>
                <w:rFonts w:hint="eastAsia" w:ascii="宋体" w:hAnsi="宋体"/>
                <w:szCs w:val="21"/>
              </w:rPr>
              <w:t>5</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③2.0≤Re＜2.5，</w:t>
            </w:r>
            <w:r>
              <w:rPr>
                <w:rFonts w:ascii="宋体" w:hAnsi="宋体"/>
                <w:szCs w:val="21"/>
              </w:rPr>
              <w:t>得</w:t>
            </w:r>
            <w:r>
              <w:rPr>
                <w:rFonts w:hint="eastAsia" w:ascii="宋体" w:hAnsi="宋体"/>
                <w:szCs w:val="21"/>
              </w:rPr>
              <w:t>6</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④2.5≤Re＜3.0，</w:t>
            </w:r>
            <w:r>
              <w:rPr>
                <w:rFonts w:ascii="宋体" w:hAnsi="宋体"/>
                <w:szCs w:val="21"/>
              </w:rPr>
              <w:t>得</w:t>
            </w:r>
            <w:r>
              <w:rPr>
                <w:rFonts w:hint="eastAsia" w:ascii="宋体" w:hAnsi="宋体"/>
                <w:szCs w:val="21"/>
              </w:rPr>
              <w:t>7</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⑤3.0≤Re＜3.5，</w:t>
            </w:r>
            <w:r>
              <w:rPr>
                <w:rFonts w:ascii="宋体" w:hAnsi="宋体"/>
                <w:szCs w:val="21"/>
              </w:rPr>
              <w:t>得</w:t>
            </w:r>
            <w:r>
              <w:rPr>
                <w:rFonts w:hint="eastAsia" w:ascii="宋体" w:hAnsi="宋体"/>
                <w:szCs w:val="21"/>
              </w:rPr>
              <w:t>8</w:t>
            </w:r>
            <w:r>
              <w:rPr>
                <w:rFonts w:ascii="宋体" w:hAnsi="宋体"/>
                <w:szCs w:val="21"/>
              </w:rPr>
              <w:t>分</w:t>
            </w:r>
            <w:r>
              <w:rPr>
                <w:rFonts w:hint="eastAsia" w:ascii="宋体" w:hAnsi="宋体"/>
                <w:szCs w:val="21"/>
              </w:rPr>
              <w:t>；</w:t>
            </w:r>
          </w:p>
          <w:p>
            <w:pPr>
              <w:jc w:val="left"/>
              <w:rPr>
                <w:rFonts w:hint="eastAsia" w:ascii="宋体" w:hAnsi="宋体"/>
                <w:szCs w:val="21"/>
              </w:rPr>
            </w:pPr>
            <w:r>
              <w:rPr>
                <w:rFonts w:hint="eastAsia" w:ascii="宋体" w:hAnsi="宋体"/>
                <w:szCs w:val="21"/>
              </w:rPr>
              <w:t>⑥3.5≤Re＜4.0，</w:t>
            </w:r>
            <w:r>
              <w:rPr>
                <w:rFonts w:ascii="宋体" w:hAnsi="宋体"/>
                <w:szCs w:val="21"/>
              </w:rPr>
              <w:t>得</w:t>
            </w:r>
            <w:r>
              <w:rPr>
                <w:rFonts w:hint="eastAsia" w:ascii="宋体" w:hAnsi="宋体"/>
                <w:szCs w:val="21"/>
              </w:rPr>
              <w:t>9</w:t>
            </w:r>
            <w:r>
              <w:rPr>
                <w:rFonts w:ascii="宋体" w:hAnsi="宋体"/>
                <w:szCs w:val="21"/>
              </w:rPr>
              <w:t>分</w:t>
            </w:r>
            <w:r>
              <w:rPr>
                <w:rFonts w:hint="eastAsia" w:ascii="宋体" w:hAnsi="宋体"/>
                <w:szCs w:val="21"/>
              </w:rPr>
              <w:t>；</w:t>
            </w:r>
          </w:p>
          <w:p>
            <w:pPr>
              <w:jc w:val="left"/>
              <w:rPr>
                <w:rFonts w:ascii="宋体" w:hAnsi="宋体"/>
                <w:szCs w:val="21"/>
              </w:rPr>
            </w:pPr>
            <w:r>
              <w:rPr>
                <w:rFonts w:hint="eastAsia" w:ascii="宋体" w:hAnsi="宋体"/>
                <w:szCs w:val="21"/>
              </w:rPr>
              <w:t>⑧Re≥4.0，</w:t>
            </w:r>
            <w:r>
              <w:rPr>
                <w:rFonts w:ascii="宋体" w:hAnsi="宋体"/>
                <w:szCs w:val="21"/>
              </w:rPr>
              <w:t>得</w:t>
            </w:r>
            <w:r>
              <w:rPr>
                <w:rFonts w:hint="eastAsia" w:ascii="宋体" w:hAnsi="宋体"/>
                <w:szCs w:val="21"/>
              </w:rPr>
              <w:t>10</w:t>
            </w:r>
            <w:r>
              <w:rPr>
                <w:rFonts w:ascii="宋体" w:hAnsi="宋体"/>
                <w:szCs w:val="21"/>
              </w:rPr>
              <w:t>分</w:t>
            </w:r>
            <w:r>
              <w:rPr>
                <w:rFonts w:hint="eastAsia" w:ascii="宋体" w:hAnsi="宋体"/>
                <w:szCs w:val="21"/>
              </w:rPr>
              <w:t>。</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4968" w:type="dxa"/>
            <w:gridSpan w:val="3"/>
            <w:vAlign w:val="center"/>
          </w:tcPr>
          <w:p>
            <w:pPr>
              <w:jc w:val="center"/>
              <w:rPr>
                <w:rFonts w:ascii="宋体" w:hAnsi="宋体"/>
                <w:b/>
                <w:bCs/>
                <w:szCs w:val="21"/>
                <w:highlight w:val="yellow"/>
              </w:rPr>
            </w:pPr>
            <w:r>
              <w:rPr>
                <w:rFonts w:ascii="宋体" w:hAnsi="宋体"/>
                <w:b/>
                <w:bCs/>
                <w:szCs w:val="21"/>
              </w:rPr>
              <w:t>小计</w:t>
            </w:r>
          </w:p>
        </w:tc>
        <w:tc>
          <w:tcPr>
            <w:tcW w:w="4104" w:type="dxa"/>
            <w:gridSpan w:val="2"/>
            <w:vAlign w:val="center"/>
          </w:tcPr>
          <w:p>
            <w:pPr>
              <w:jc w:val="center"/>
              <w:rPr>
                <w:rFonts w:ascii="宋体" w:hAnsi="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9072" w:type="dxa"/>
            <w:gridSpan w:val="5"/>
            <w:vAlign w:val="center"/>
          </w:tcPr>
          <w:p>
            <w:pPr>
              <w:jc w:val="center"/>
              <w:rPr>
                <w:rFonts w:ascii="宋体" w:hAnsi="宋体"/>
                <w:b/>
                <w:bCs/>
                <w:szCs w:val="21"/>
              </w:rPr>
            </w:pPr>
            <w:r>
              <w:rPr>
                <w:rFonts w:ascii="宋体" w:hAnsi="宋体"/>
                <w:b/>
                <w:bCs/>
                <w:szCs w:val="21"/>
              </w:rPr>
              <w:t>节</w:t>
            </w:r>
            <w:r>
              <w:rPr>
                <w:rFonts w:hint="eastAsia" w:ascii="宋体" w:hAnsi="宋体"/>
                <w:b/>
                <w:bCs/>
                <w:szCs w:val="21"/>
              </w:rPr>
              <w:t xml:space="preserve"> </w:t>
            </w:r>
            <w:r>
              <w:rPr>
                <w:rFonts w:ascii="宋体" w:hAnsi="宋体"/>
                <w:b/>
                <w:bCs/>
                <w:szCs w:val="21"/>
              </w:rPr>
              <w:t>水</w:t>
            </w:r>
            <w:r>
              <w:rPr>
                <w:rFonts w:hint="eastAsia" w:ascii="宋体" w:hAnsi="宋体"/>
                <w:b/>
                <w:bCs/>
                <w:szCs w:val="21"/>
              </w:rPr>
              <w:t xml:space="preserve"> </w:t>
            </w:r>
            <w:r>
              <w:rPr>
                <w:rFonts w:ascii="宋体" w:hAnsi="宋体"/>
                <w:b/>
                <w:bCs/>
                <w:szCs w:val="21"/>
              </w:rPr>
              <w:t>与</w:t>
            </w:r>
            <w:r>
              <w:rPr>
                <w:rFonts w:hint="eastAsia" w:ascii="宋体" w:hAnsi="宋体"/>
                <w:b/>
                <w:bCs/>
                <w:szCs w:val="21"/>
              </w:rPr>
              <w:t xml:space="preserve"> </w:t>
            </w:r>
            <w:r>
              <w:rPr>
                <w:rFonts w:ascii="宋体" w:hAnsi="宋体"/>
                <w:b/>
                <w:bCs/>
                <w:szCs w:val="21"/>
              </w:rPr>
              <w:t>水</w:t>
            </w:r>
            <w:r>
              <w:rPr>
                <w:rFonts w:hint="eastAsia" w:ascii="宋体" w:hAnsi="宋体"/>
                <w:b/>
                <w:bCs/>
                <w:szCs w:val="21"/>
              </w:rPr>
              <w:t xml:space="preserve"> </w:t>
            </w:r>
            <w:r>
              <w:rPr>
                <w:rFonts w:ascii="宋体" w:hAnsi="宋体"/>
                <w:b/>
                <w:bCs/>
                <w:szCs w:val="21"/>
              </w:rPr>
              <w:t>资</w:t>
            </w:r>
            <w:r>
              <w:rPr>
                <w:rFonts w:hint="eastAsia" w:ascii="宋体" w:hAnsi="宋体"/>
                <w:b/>
                <w:bCs/>
                <w:szCs w:val="21"/>
              </w:rPr>
              <w:t xml:space="preserve"> </w:t>
            </w:r>
            <w:r>
              <w:rPr>
                <w:rFonts w:ascii="宋体" w:hAnsi="宋体"/>
                <w:b/>
                <w:bCs/>
                <w:szCs w:val="21"/>
              </w:rPr>
              <w:t>源</w:t>
            </w:r>
            <w:r>
              <w:rPr>
                <w:rFonts w:hint="eastAsia" w:ascii="宋体" w:hAnsi="宋体"/>
                <w:b/>
                <w:bCs/>
                <w:szCs w:val="21"/>
              </w:rPr>
              <w:t xml:space="preserve"> </w:t>
            </w:r>
            <w:r>
              <w:rPr>
                <w:rFonts w:ascii="宋体" w:hAnsi="宋体"/>
                <w:b/>
                <w:bCs/>
                <w:szCs w:val="21"/>
              </w:rPr>
              <w:t>利</w:t>
            </w:r>
            <w:r>
              <w:rPr>
                <w:rFonts w:hint="eastAsia" w:ascii="宋体" w:hAnsi="宋体"/>
                <w:b/>
                <w:bCs/>
                <w:szCs w:val="21"/>
              </w:rPr>
              <w:t xml:space="preserve"> </w:t>
            </w:r>
            <w:r>
              <w:rPr>
                <w:rFonts w:ascii="宋体" w:hAnsi="宋体"/>
                <w:b/>
                <w:bCs/>
                <w:szCs w:val="21"/>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567" w:type="dxa"/>
            <w:vAlign w:val="center"/>
          </w:tcPr>
          <w:p>
            <w:pPr>
              <w:jc w:val="center"/>
              <w:rPr>
                <w:rFonts w:ascii="宋体" w:hAnsi="宋体"/>
                <w:b/>
                <w:bCs/>
                <w:szCs w:val="21"/>
              </w:rPr>
            </w:pPr>
          </w:p>
        </w:tc>
        <w:tc>
          <w:tcPr>
            <w:tcW w:w="993" w:type="dxa"/>
            <w:vAlign w:val="center"/>
          </w:tcPr>
          <w:p>
            <w:pPr>
              <w:jc w:val="center"/>
              <w:rPr>
                <w:rFonts w:ascii="宋体" w:hAnsi="宋体"/>
                <w:b/>
                <w:bCs/>
                <w:szCs w:val="21"/>
              </w:rPr>
            </w:pPr>
            <w:r>
              <w:rPr>
                <w:rFonts w:ascii="宋体" w:hAnsi="宋体"/>
                <w:b/>
                <w:bCs/>
                <w:szCs w:val="21"/>
              </w:rPr>
              <w:t>条目号</w:t>
            </w:r>
          </w:p>
        </w:tc>
        <w:tc>
          <w:tcPr>
            <w:tcW w:w="3408" w:type="dxa"/>
            <w:vAlign w:val="center"/>
          </w:tcPr>
          <w:p>
            <w:pPr>
              <w:jc w:val="center"/>
              <w:rPr>
                <w:rFonts w:ascii="宋体" w:hAnsi="宋体"/>
                <w:b/>
                <w:bCs/>
                <w:szCs w:val="21"/>
              </w:rPr>
            </w:pPr>
            <w:r>
              <w:rPr>
                <w:rFonts w:ascii="宋体" w:hAnsi="宋体"/>
                <w:b/>
                <w:bCs/>
                <w:szCs w:val="21"/>
              </w:rPr>
              <w:t>评价标准规定</w:t>
            </w:r>
          </w:p>
        </w:tc>
        <w:tc>
          <w:tcPr>
            <w:tcW w:w="844" w:type="dxa"/>
            <w:vAlign w:val="top"/>
          </w:tcPr>
          <w:p>
            <w:pPr>
              <w:jc w:val="center"/>
              <w:rPr>
                <w:rFonts w:ascii="宋体" w:hAnsi="宋体"/>
                <w:b/>
                <w:bCs/>
                <w:szCs w:val="21"/>
              </w:rPr>
            </w:pPr>
            <w:r>
              <w:rPr>
                <w:rFonts w:ascii="宋体" w:hAnsi="宋体"/>
                <w:b/>
                <w:bCs/>
                <w:szCs w:val="21"/>
              </w:rPr>
              <w:t>项目达标</w:t>
            </w:r>
          </w:p>
        </w:tc>
        <w:tc>
          <w:tcPr>
            <w:tcW w:w="3260" w:type="dxa"/>
            <w:vAlign w:val="top"/>
          </w:tcPr>
          <w:p>
            <w:pPr>
              <w:jc w:val="center"/>
              <w:rPr>
                <w:rFonts w:ascii="宋体" w:hAnsi="宋体"/>
                <w:b/>
                <w:bCs/>
                <w:szCs w:val="21"/>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jc w:val="center"/>
              <w:rPr>
                <w:rFonts w:ascii="宋体" w:hAnsi="宋体"/>
                <w:b/>
                <w:bCs/>
                <w:szCs w:val="21"/>
              </w:rPr>
            </w:pPr>
            <w:r>
              <w:rPr>
                <w:rFonts w:ascii="宋体" w:hAnsi="宋体"/>
                <w:b/>
                <w:bCs/>
                <w:szCs w:val="21"/>
              </w:rPr>
              <w:t>控</w:t>
            </w:r>
          </w:p>
          <w:p>
            <w:pPr>
              <w:jc w:val="center"/>
              <w:rPr>
                <w:rFonts w:ascii="宋体" w:hAnsi="宋体"/>
                <w:b/>
                <w:bCs/>
                <w:szCs w:val="21"/>
              </w:rPr>
            </w:pPr>
            <w:r>
              <w:rPr>
                <w:rFonts w:ascii="宋体" w:hAnsi="宋体"/>
                <w:b/>
                <w:bCs/>
                <w:szCs w:val="21"/>
              </w:rPr>
              <w:t>制</w:t>
            </w:r>
          </w:p>
          <w:p>
            <w:pPr>
              <w:jc w:val="center"/>
              <w:rPr>
                <w:rFonts w:ascii="宋体" w:hAnsi="宋体"/>
                <w:b/>
                <w:bCs/>
                <w:szCs w:val="21"/>
              </w:rPr>
            </w:pPr>
            <w:r>
              <w:rPr>
                <w:rFonts w:ascii="宋体" w:hAnsi="宋体"/>
                <w:b/>
                <w:bCs/>
                <w:szCs w:val="21"/>
              </w:rPr>
              <w:t>项</w:t>
            </w:r>
          </w:p>
        </w:tc>
        <w:tc>
          <w:tcPr>
            <w:tcW w:w="993" w:type="dxa"/>
            <w:vAlign w:val="center"/>
          </w:tcPr>
          <w:p>
            <w:pPr>
              <w:jc w:val="center"/>
              <w:rPr>
                <w:rFonts w:ascii="宋体" w:hAnsi="宋体"/>
                <w:color w:val="000000"/>
                <w:szCs w:val="21"/>
              </w:rPr>
            </w:pPr>
            <w:r>
              <w:rPr>
                <w:rFonts w:ascii="宋体" w:hAnsi="宋体"/>
                <w:color w:val="000000"/>
                <w:szCs w:val="21"/>
              </w:rPr>
              <w:t>6.1.1</w:t>
            </w:r>
          </w:p>
        </w:tc>
        <w:tc>
          <w:tcPr>
            <w:tcW w:w="3408" w:type="dxa"/>
            <w:vAlign w:val="top"/>
          </w:tcPr>
          <w:p>
            <w:pPr>
              <w:jc w:val="left"/>
              <w:rPr>
                <w:rFonts w:ascii="宋体" w:hAnsi="宋体"/>
                <w:color w:val="000000"/>
                <w:szCs w:val="21"/>
              </w:rPr>
            </w:pPr>
            <w:r>
              <w:rPr>
                <w:rFonts w:ascii="宋体" w:hAnsi="宋体"/>
                <w:color w:val="000000"/>
                <w:szCs w:val="21"/>
              </w:rPr>
              <w:t>制定水资源利用方案，统筹利用各种水资源。</w:t>
            </w:r>
          </w:p>
        </w:tc>
        <w:tc>
          <w:tcPr>
            <w:tcW w:w="844" w:type="dxa"/>
            <w:vAlign w:val="center"/>
          </w:tcPr>
          <w:p>
            <w:pPr>
              <w:jc w:val="center"/>
              <w:rPr>
                <w:rFonts w:ascii="宋体" w:hAnsi="宋体"/>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6.1.2</w:t>
            </w:r>
          </w:p>
        </w:tc>
        <w:tc>
          <w:tcPr>
            <w:tcW w:w="3408" w:type="dxa"/>
            <w:vAlign w:val="top"/>
          </w:tcPr>
          <w:p>
            <w:pPr>
              <w:jc w:val="left"/>
              <w:rPr>
                <w:rFonts w:ascii="宋体" w:hAnsi="宋体"/>
                <w:color w:val="000000"/>
                <w:szCs w:val="21"/>
              </w:rPr>
            </w:pPr>
            <w:r>
              <w:rPr>
                <w:rFonts w:ascii="宋体" w:hAnsi="宋体"/>
                <w:color w:val="000000"/>
                <w:szCs w:val="21"/>
              </w:rPr>
              <w:t>给排水系统设置合理、完善、安全。</w:t>
            </w:r>
          </w:p>
        </w:tc>
        <w:tc>
          <w:tcPr>
            <w:tcW w:w="844" w:type="dxa"/>
            <w:vAlign w:val="center"/>
          </w:tcPr>
          <w:p>
            <w:pPr>
              <w:jc w:val="center"/>
              <w:rPr>
                <w:rFonts w:ascii="宋体" w:hAnsi="宋体"/>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6.1.3</w:t>
            </w:r>
          </w:p>
        </w:tc>
        <w:tc>
          <w:tcPr>
            <w:tcW w:w="3408" w:type="dxa"/>
            <w:vAlign w:val="top"/>
          </w:tcPr>
          <w:p>
            <w:pPr>
              <w:jc w:val="left"/>
              <w:rPr>
                <w:rFonts w:ascii="宋体" w:hAnsi="宋体"/>
                <w:color w:val="000000"/>
                <w:szCs w:val="21"/>
              </w:rPr>
            </w:pPr>
            <w:r>
              <w:rPr>
                <w:rFonts w:ascii="宋体" w:hAnsi="宋体"/>
                <w:color w:val="000000"/>
                <w:szCs w:val="21"/>
              </w:rPr>
              <w:t>采用节水器具。</w:t>
            </w:r>
          </w:p>
        </w:tc>
        <w:tc>
          <w:tcPr>
            <w:tcW w:w="844" w:type="dxa"/>
            <w:vAlign w:val="center"/>
          </w:tcPr>
          <w:p>
            <w:pPr>
              <w:jc w:val="center"/>
              <w:rPr>
                <w:rFonts w:ascii="宋体" w:hAnsi="宋体"/>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567" w:type="dxa"/>
            <w:vMerge w:val="restart"/>
            <w:vAlign w:val="center"/>
          </w:tcPr>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rPr>
                <w:rFonts w:ascii="宋体" w:hAnsi="宋体"/>
                <w:b/>
                <w:bCs/>
                <w:szCs w:val="21"/>
              </w:rPr>
            </w:pPr>
            <w:r>
              <w:rPr>
                <w:rFonts w:ascii="宋体" w:hAnsi="宋体"/>
                <w:b/>
                <w:bCs/>
                <w:szCs w:val="21"/>
              </w:rPr>
              <w:t>评</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分</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项</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ascii="宋体" w:hAnsi="宋体"/>
                <w:b/>
                <w:bCs/>
                <w:szCs w:val="21"/>
              </w:rPr>
            </w:pPr>
            <w:r>
              <w:rPr>
                <w:rFonts w:ascii="宋体" w:hAnsi="宋体"/>
                <w:b/>
                <w:bCs/>
                <w:szCs w:val="21"/>
              </w:rPr>
              <w:t>评</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分</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项</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ascii="宋体" w:hAnsi="宋体"/>
                <w:b/>
                <w:bCs/>
                <w:szCs w:val="21"/>
              </w:rPr>
            </w:pPr>
            <w:r>
              <w:rPr>
                <w:rFonts w:ascii="宋体" w:hAnsi="宋体"/>
                <w:b/>
                <w:bCs/>
                <w:szCs w:val="21"/>
              </w:rPr>
              <w:t>评</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分</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项</w:t>
            </w:r>
          </w:p>
          <w:p>
            <w:pPr>
              <w:jc w:val="center"/>
              <w:rPr>
                <w:rFonts w:ascii="宋体" w:hAnsi="宋体"/>
                <w:b/>
                <w:bCs/>
                <w:szCs w:val="21"/>
              </w:rPr>
            </w:pPr>
          </w:p>
        </w:tc>
        <w:tc>
          <w:tcPr>
            <w:tcW w:w="4401" w:type="dxa"/>
            <w:gridSpan w:val="2"/>
            <w:vAlign w:val="center"/>
          </w:tcPr>
          <w:p>
            <w:pPr>
              <w:jc w:val="center"/>
              <w:rPr>
                <w:rFonts w:ascii="宋体" w:hAnsi="宋体"/>
                <w:kern w:val="0"/>
                <w:szCs w:val="21"/>
              </w:rPr>
            </w:pPr>
            <w:r>
              <w:rPr>
                <w:rFonts w:hint="eastAsia" w:ascii="宋体" w:hAnsi="宋体"/>
                <w:b/>
                <w:bCs/>
                <w:szCs w:val="21"/>
              </w:rPr>
              <w:t>评价条文</w:t>
            </w:r>
          </w:p>
        </w:tc>
        <w:tc>
          <w:tcPr>
            <w:tcW w:w="844" w:type="dxa"/>
            <w:vAlign w:val="center"/>
          </w:tcPr>
          <w:p>
            <w:pPr>
              <w:jc w:val="center"/>
              <w:rPr>
                <w:rFonts w:ascii="宋体" w:hAnsi="宋体"/>
                <w:color w:val="000000"/>
                <w:szCs w:val="21"/>
              </w:rPr>
            </w:pPr>
            <w:r>
              <w:rPr>
                <w:rFonts w:ascii="宋体" w:hAnsi="宋体"/>
                <w:b/>
                <w:bCs/>
                <w:szCs w:val="21"/>
              </w:rPr>
              <w:t>得分</w:t>
            </w:r>
          </w:p>
        </w:tc>
        <w:tc>
          <w:tcPr>
            <w:tcW w:w="3260" w:type="dxa"/>
            <w:vAlign w:val="center"/>
          </w:tcPr>
          <w:p>
            <w:pPr>
              <w:jc w:val="center"/>
              <w:rPr>
                <w:rFonts w:ascii="宋体" w:hAnsi="宋体"/>
                <w:color w:val="000000"/>
                <w:szCs w:val="21"/>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top"/>
          </w:tcPr>
          <w:p>
            <w:pPr>
              <w:jc w:val="center"/>
              <w:rPr>
                <w:rFonts w:ascii="宋体" w:hAnsi="宋体"/>
                <w:color w:val="000000"/>
                <w:szCs w:val="21"/>
              </w:rPr>
            </w:pPr>
            <w:r>
              <w:rPr>
                <w:rFonts w:ascii="宋体" w:hAnsi="宋体"/>
                <w:color w:val="000000"/>
                <w:szCs w:val="21"/>
              </w:rPr>
              <w:t>6.2.1</w:t>
            </w:r>
          </w:p>
        </w:tc>
        <w:tc>
          <w:tcPr>
            <w:tcW w:w="3408" w:type="dxa"/>
            <w:vAlign w:val="top"/>
          </w:tcPr>
          <w:p>
            <w:pPr>
              <w:autoSpaceDE w:val="0"/>
              <w:autoSpaceDN w:val="0"/>
              <w:adjustRightInd w:val="0"/>
              <w:jc w:val="left"/>
              <w:rPr>
                <w:rFonts w:hint="eastAsia" w:ascii="宋体" w:hAnsi="宋体"/>
                <w:kern w:val="0"/>
                <w:szCs w:val="21"/>
              </w:rPr>
            </w:pPr>
            <w:r>
              <w:rPr>
                <w:rFonts w:ascii="宋体" w:hAnsi="宋体"/>
                <w:kern w:val="0"/>
                <w:szCs w:val="21"/>
              </w:rPr>
              <w:t>建筑平均日用水量满足现行国家标准《民用建筑节水设计标准》GB 50555中的节水用水定额的要求，</w:t>
            </w:r>
            <w:r>
              <w:rPr>
                <w:rFonts w:hint="eastAsia" w:ascii="宋体" w:hAnsi="宋体"/>
                <w:kern w:val="0"/>
                <w:szCs w:val="21"/>
              </w:rPr>
              <w:t>总得分：10</w:t>
            </w:r>
            <w:r>
              <w:rPr>
                <w:rFonts w:ascii="宋体" w:hAnsi="宋体"/>
                <w:kern w:val="0"/>
                <w:szCs w:val="21"/>
              </w:rPr>
              <w:t>分</w:t>
            </w:r>
            <w:r>
              <w:rPr>
                <w:rFonts w:hint="eastAsia" w:ascii="宋体" w:hAnsi="宋体"/>
                <w:kern w:val="0"/>
                <w:szCs w:val="21"/>
              </w:rPr>
              <w:t>。</w:t>
            </w:r>
          </w:p>
          <w:p>
            <w:pPr>
              <w:autoSpaceDE w:val="0"/>
              <w:autoSpaceDN w:val="0"/>
              <w:adjustRightInd w:val="0"/>
              <w:jc w:val="left"/>
              <w:rPr>
                <w:rFonts w:ascii="宋体" w:hAnsi="宋体"/>
                <w:kern w:val="0"/>
                <w:szCs w:val="21"/>
              </w:rPr>
            </w:pPr>
            <w:r>
              <w:rPr>
                <w:rFonts w:ascii="宋体" w:hAnsi="宋体"/>
                <w:kern w:val="0"/>
                <w:szCs w:val="21"/>
              </w:rPr>
              <w:t>① 达到节水用水定额的上限值的要求，得4分；</w:t>
            </w:r>
            <w:r>
              <w:rPr>
                <w:rFonts w:ascii="宋体" w:hAnsi="宋体"/>
                <w:kern w:val="0"/>
                <w:szCs w:val="21"/>
              </w:rPr>
              <w:tab/>
            </w:r>
            <w:r>
              <w:rPr>
                <w:rFonts w:ascii="宋体" w:hAnsi="宋体"/>
                <w:kern w:val="0"/>
                <w:szCs w:val="21"/>
              </w:rPr>
              <w:tab/>
            </w:r>
          </w:p>
          <w:p>
            <w:pPr>
              <w:autoSpaceDE w:val="0"/>
              <w:autoSpaceDN w:val="0"/>
              <w:adjustRightInd w:val="0"/>
              <w:jc w:val="left"/>
              <w:rPr>
                <w:rFonts w:ascii="宋体" w:hAnsi="宋体"/>
                <w:kern w:val="0"/>
                <w:szCs w:val="21"/>
              </w:rPr>
            </w:pPr>
            <w:r>
              <w:rPr>
                <w:rFonts w:ascii="宋体" w:hAnsi="宋体"/>
                <w:kern w:val="0"/>
                <w:szCs w:val="21"/>
              </w:rPr>
              <w:t>② 达到上限值与下限值的平均值要求，得7分；</w:t>
            </w:r>
            <w:r>
              <w:rPr>
                <w:rFonts w:ascii="宋体" w:hAnsi="宋体"/>
                <w:kern w:val="0"/>
                <w:szCs w:val="21"/>
              </w:rPr>
              <w:tab/>
            </w:r>
            <w:r>
              <w:rPr>
                <w:rFonts w:ascii="宋体" w:hAnsi="宋体"/>
                <w:kern w:val="0"/>
                <w:szCs w:val="21"/>
              </w:rPr>
              <w:tab/>
            </w:r>
          </w:p>
          <w:p>
            <w:pPr>
              <w:rPr>
                <w:rFonts w:ascii="宋体" w:hAnsi="宋体"/>
                <w:szCs w:val="21"/>
              </w:rPr>
            </w:pPr>
            <w:r>
              <w:rPr>
                <w:rFonts w:ascii="宋体" w:hAnsi="宋体"/>
                <w:kern w:val="0"/>
                <w:szCs w:val="21"/>
              </w:rPr>
              <w:t>③ 达到下限值的要求，得10分。</w:t>
            </w:r>
          </w:p>
        </w:tc>
        <w:tc>
          <w:tcPr>
            <w:tcW w:w="844" w:type="dxa"/>
            <w:vAlign w:val="center"/>
          </w:tcPr>
          <w:p>
            <w:pPr>
              <w:jc w:val="center"/>
              <w:rPr>
                <w:rFonts w:ascii="宋体" w:hAnsi="宋体"/>
                <w:color w:val="000000"/>
                <w:szCs w:val="21"/>
              </w:rPr>
            </w:pPr>
          </w:p>
        </w:tc>
        <w:tc>
          <w:tcPr>
            <w:tcW w:w="3260" w:type="dxa"/>
            <w:vAlign w:val="center"/>
          </w:tcPr>
          <w:p>
            <w:pPr>
              <w:ind w:left="210" w:leftChars="1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6.2.2</w:t>
            </w:r>
          </w:p>
        </w:tc>
        <w:tc>
          <w:tcPr>
            <w:tcW w:w="3408" w:type="dxa"/>
            <w:vAlign w:val="top"/>
          </w:tcPr>
          <w:p>
            <w:pPr>
              <w:rPr>
                <w:rFonts w:ascii="宋体" w:hAnsi="宋体"/>
                <w:szCs w:val="21"/>
              </w:rPr>
            </w:pPr>
            <w:r>
              <w:rPr>
                <w:rFonts w:ascii="宋体" w:hAnsi="宋体"/>
                <w:szCs w:val="21"/>
              </w:rPr>
              <w:t>采取有效措施避免管网漏损，</w:t>
            </w:r>
            <w:r>
              <w:rPr>
                <w:rFonts w:hint="eastAsia" w:ascii="宋体" w:hAnsi="宋体"/>
                <w:kern w:val="0"/>
                <w:szCs w:val="21"/>
              </w:rPr>
              <w:t>总得分：7</w:t>
            </w:r>
            <w:r>
              <w:rPr>
                <w:rFonts w:ascii="宋体" w:hAnsi="宋体"/>
                <w:kern w:val="0"/>
                <w:szCs w:val="21"/>
              </w:rPr>
              <w:t>分</w:t>
            </w:r>
            <w:r>
              <w:rPr>
                <w:rFonts w:ascii="宋体" w:hAnsi="宋体"/>
                <w:szCs w:val="21"/>
              </w:rPr>
              <w:t>，并按 下列规则分别评分并累计：</w:t>
            </w:r>
            <w:r>
              <w:rPr>
                <w:rFonts w:ascii="宋体" w:hAnsi="宋体"/>
                <w:szCs w:val="21"/>
              </w:rPr>
              <w:tab/>
            </w:r>
            <w:r>
              <w:rPr>
                <w:rFonts w:ascii="宋体" w:hAnsi="宋体"/>
                <w:szCs w:val="21"/>
              </w:rPr>
              <w:tab/>
            </w:r>
          </w:p>
          <w:p>
            <w:pPr>
              <w:rPr>
                <w:rFonts w:ascii="宋体" w:hAnsi="宋体"/>
                <w:szCs w:val="21"/>
              </w:rPr>
            </w:pPr>
            <w:r>
              <w:rPr>
                <w:rFonts w:ascii="宋体" w:hAnsi="宋体"/>
                <w:szCs w:val="21"/>
              </w:rPr>
              <w:t>① 选用密闭性能好的阀门、设备，使用耐腐蚀、耐久性能好的管材、管件，得1分；</w:t>
            </w:r>
            <w:r>
              <w:rPr>
                <w:rFonts w:ascii="宋体" w:hAnsi="宋体"/>
                <w:szCs w:val="21"/>
              </w:rPr>
              <w:tab/>
            </w:r>
            <w:r>
              <w:rPr>
                <w:rFonts w:ascii="宋体" w:hAnsi="宋体"/>
                <w:szCs w:val="21"/>
              </w:rPr>
              <w:tab/>
            </w:r>
          </w:p>
          <w:p>
            <w:pPr>
              <w:rPr>
                <w:rFonts w:ascii="宋体" w:hAnsi="宋体"/>
                <w:szCs w:val="21"/>
              </w:rPr>
            </w:pPr>
            <w:r>
              <w:rPr>
                <w:rFonts w:ascii="宋体" w:hAnsi="宋体"/>
                <w:szCs w:val="21"/>
              </w:rPr>
              <w:t>② 室外埋地管道采取有效措施避免管网漏损，得1分；</w:t>
            </w:r>
          </w:p>
          <w:p>
            <w:pPr>
              <w:rPr>
                <w:rFonts w:ascii="宋体" w:hAnsi="宋体"/>
                <w:szCs w:val="21"/>
              </w:rPr>
            </w:pPr>
            <w:r>
              <w:rPr>
                <w:rFonts w:ascii="宋体" w:hAnsi="宋体"/>
                <w:szCs w:val="21"/>
              </w:rPr>
              <w:t>③ 设计阶段根据水平衡测试的要求安装分级计量水表；运行阶段，提供用水量计量情况和管网漏损检测、整改的报告，得5分。</w:t>
            </w:r>
            <w:r>
              <w:rPr>
                <w:rFonts w:ascii="宋体" w:hAnsi="宋体"/>
                <w:szCs w:val="21"/>
              </w:rPr>
              <w:tab/>
            </w:r>
          </w:p>
        </w:tc>
        <w:tc>
          <w:tcPr>
            <w:tcW w:w="844" w:type="dxa"/>
            <w:vAlign w:val="center"/>
          </w:tcPr>
          <w:p>
            <w:pPr>
              <w:jc w:val="center"/>
              <w:rPr>
                <w:rFonts w:ascii="宋体" w:hAnsi="宋体"/>
                <w:color w:val="000000"/>
                <w:szCs w:val="21"/>
              </w:rPr>
            </w:pPr>
          </w:p>
        </w:tc>
        <w:tc>
          <w:tcPr>
            <w:tcW w:w="3260" w:type="dxa"/>
            <w:vAlign w:val="center"/>
          </w:tcPr>
          <w:p>
            <w:pPr>
              <w:ind w:left="315" w:hanging="315" w:hangingChars="15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6.2.3</w:t>
            </w:r>
          </w:p>
        </w:tc>
        <w:tc>
          <w:tcPr>
            <w:tcW w:w="3408" w:type="dxa"/>
            <w:vAlign w:val="top"/>
          </w:tcPr>
          <w:p>
            <w:pPr>
              <w:rPr>
                <w:rFonts w:ascii="宋体" w:hAnsi="宋体"/>
                <w:szCs w:val="21"/>
              </w:rPr>
            </w:pPr>
            <w:r>
              <w:rPr>
                <w:rFonts w:ascii="宋体" w:hAnsi="宋体"/>
                <w:szCs w:val="21"/>
              </w:rPr>
              <w:t>给水系统无超压出流现象，</w:t>
            </w:r>
            <w:r>
              <w:rPr>
                <w:rFonts w:hint="eastAsia" w:ascii="宋体" w:hAnsi="宋体"/>
                <w:kern w:val="0"/>
                <w:szCs w:val="21"/>
              </w:rPr>
              <w:t>总得分：8</w:t>
            </w:r>
            <w:r>
              <w:rPr>
                <w:rFonts w:ascii="宋体" w:hAnsi="宋体"/>
                <w:kern w:val="0"/>
                <w:szCs w:val="21"/>
              </w:rPr>
              <w:t>分</w:t>
            </w:r>
            <w:r>
              <w:rPr>
                <w:rFonts w:ascii="宋体" w:hAnsi="宋体"/>
                <w:szCs w:val="21"/>
              </w:rPr>
              <w:t>。</w:t>
            </w:r>
            <w:r>
              <w:rPr>
                <w:rFonts w:ascii="宋体" w:hAnsi="宋体"/>
                <w:szCs w:val="21"/>
              </w:rPr>
              <w:tab/>
            </w:r>
            <w:r>
              <w:rPr>
                <w:rFonts w:ascii="宋体" w:hAnsi="宋体"/>
                <w:szCs w:val="21"/>
              </w:rPr>
              <w:tab/>
            </w:r>
          </w:p>
          <w:p>
            <w:pPr>
              <w:rPr>
                <w:rFonts w:hint="eastAsia" w:ascii="宋体" w:hAnsi="宋体"/>
                <w:szCs w:val="21"/>
              </w:rPr>
            </w:pPr>
            <w:r>
              <w:rPr>
                <w:rFonts w:ascii="宋体" w:hAnsi="宋体"/>
                <w:szCs w:val="21"/>
              </w:rPr>
              <w:t>①</w:t>
            </w:r>
            <w:r>
              <w:rPr>
                <w:rFonts w:hint="eastAsia" w:ascii="宋体" w:hAnsi="宋体"/>
                <w:szCs w:val="21"/>
              </w:rPr>
              <w:t>用水点供水压力不大于0.30MPa，得3分</w:t>
            </w:r>
            <w:r>
              <w:rPr>
                <w:rFonts w:ascii="宋体" w:hAnsi="宋体"/>
                <w:szCs w:val="21"/>
              </w:rPr>
              <w:t>；</w:t>
            </w:r>
          </w:p>
          <w:p>
            <w:pPr>
              <w:rPr>
                <w:rFonts w:ascii="宋体" w:hAnsi="宋体"/>
                <w:szCs w:val="21"/>
              </w:rPr>
            </w:pPr>
            <w:r>
              <w:rPr>
                <w:rFonts w:ascii="宋体" w:hAnsi="宋体"/>
                <w:szCs w:val="21"/>
              </w:rPr>
              <w:t>②用水点供水压力</w:t>
            </w:r>
            <w:r>
              <w:rPr>
                <w:rFonts w:hint="eastAsia" w:ascii="宋体" w:hAnsi="宋体"/>
                <w:szCs w:val="21"/>
              </w:rPr>
              <w:t>不大于0.20MPa，且不小于用水器具要求的最低工作压力，得8分</w:t>
            </w:r>
            <w:r>
              <w:rPr>
                <w:rFonts w:ascii="宋体" w:hAnsi="宋体"/>
                <w:szCs w:val="21"/>
              </w:rPr>
              <w:t>。</w:t>
            </w:r>
            <w:r>
              <w:rPr>
                <w:rFonts w:ascii="宋体" w:hAnsi="宋体"/>
                <w:szCs w:val="21"/>
              </w:rPr>
              <w:tab/>
            </w:r>
          </w:p>
        </w:tc>
        <w:tc>
          <w:tcPr>
            <w:tcW w:w="844" w:type="dxa"/>
            <w:vAlign w:val="center"/>
          </w:tcPr>
          <w:p>
            <w:pPr>
              <w:jc w:val="center"/>
              <w:rPr>
                <w:rFonts w:ascii="宋体" w:hAnsi="宋体"/>
                <w:color w:val="000000"/>
                <w:szCs w:val="21"/>
              </w:rPr>
            </w:pPr>
          </w:p>
        </w:tc>
        <w:tc>
          <w:tcPr>
            <w:tcW w:w="3260" w:type="dxa"/>
            <w:vAlign w:val="center"/>
          </w:tcPr>
          <w:p>
            <w:pPr>
              <w:ind w:left="210" w:hanging="210" w:hangingChars="1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6.2.4</w:t>
            </w:r>
          </w:p>
        </w:tc>
        <w:tc>
          <w:tcPr>
            <w:tcW w:w="3408" w:type="dxa"/>
            <w:vAlign w:val="top"/>
          </w:tcPr>
          <w:p>
            <w:pPr>
              <w:rPr>
                <w:rFonts w:ascii="宋体" w:hAnsi="宋体"/>
                <w:color w:val="000000"/>
                <w:kern w:val="0"/>
                <w:szCs w:val="21"/>
              </w:rPr>
            </w:pPr>
            <w:r>
              <w:rPr>
                <w:rFonts w:ascii="宋体" w:hAnsi="宋体"/>
                <w:color w:val="000000"/>
                <w:kern w:val="0"/>
                <w:szCs w:val="21"/>
              </w:rPr>
              <w:t>设置用水计量装置，</w:t>
            </w:r>
            <w:r>
              <w:rPr>
                <w:rFonts w:hint="eastAsia" w:ascii="宋体" w:hAnsi="宋体"/>
                <w:kern w:val="0"/>
                <w:szCs w:val="21"/>
              </w:rPr>
              <w:t>总得分：6</w:t>
            </w:r>
            <w:r>
              <w:rPr>
                <w:rFonts w:ascii="宋体" w:hAnsi="宋体"/>
                <w:kern w:val="0"/>
                <w:szCs w:val="21"/>
              </w:rPr>
              <w:t>分</w:t>
            </w:r>
            <w:r>
              <w:rPr>
                <w:rFonts w:ascii="宋体" w:hAnsi="宋体"/>
                <w:color w:val="000000"/>
                <w:kern w:val="0"/>
                <w:szCs w:val="21"/>
              </w:rPr>
              <w:t>，并按下列规则 分别评分并累计：</w:t>
            </w:r>
          </w:p>
          <w:p>
            <w:pPr>
              <w:rPr>
                <w:rFonts w:ascii="宋体" w:hAnsi="宋体"/>
                <w:color w:val="000000"/>
                <w:kern w:val="0"/>
                <w:szCs w:val="21"/>
              </w:rPr>
            </w:pPr>
            <w:r>
              <w:rPr>
                <w:rFonts w:ascii="宋体" w:hAnsi="宋体"/>
                <w:color w:val="000000"/>
                <w:kern w:val="0"/>
                <w:szCs w:val="21"/>
              </w:rPr>
              <w:t>①按使用用途，对厨房、卫生间、空调系统、游泳池、绿化、景观等用水分别设置用水计量装置，统计用水量，得2分；</w:t>
            </w:r>
          </w:p>
          <w:p>
            <w:pPr>
              <w:rPr>
                <w:rFonts w:ascii="宋体" w:hAnsi="宋体"/>
                <w:color w:val="000000"/>
                <w:kern w:val="0"/>
                <w:szCs w:val="21"/>
              </w:rPr>
            </w:pPr>
            <w:r>
              <w:rPr>
                <w:rFonts w:ascii="宋体" w:hAnsi="宋体"/>
                <w:color w:val="000000"/>
                <w:kern w:val="0"/>
                <w:szCs w:val="21"/>
              </w:rPr>
              <w:t>②按付费或管理单元，分别设置用水计量装置，统计用水 量，得4分。</w:t>
            </w:r>
          </w:p>
        </w:tc>
        <w:tc>
          <w:tcPr>
            <w:tcW w:w="844" w:type="dxa"/>
            <w:vAlign w:val="center"/>
          </w:tcPr>
          <w:p>
            <w:pPr>
              <w:jc w:val="center"/>
              <w:rPr>
                <w:rFonts w:hint="eastAsia" w:ascii="宋体" w:hAnsi="宋体"/>
                <w:color w:val="000000"/>
                <w:szCs w:val="21"/>
              </w:rPr>
            </w:pPr>
          </w:p>
        </w:tc>
        <w:tc>
          <w:tcPr>
            <w:tcW w:w="3260" w:type="dxa"/>
            <w:vAlign w:val="center"/>
          </w:tcPr>
          <w:p>
            <w:pPr>
              <w:ind w:left="210" w:hanging="210" w:hangingChars="1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szCs w:val="21"/>
              </w:rPr>
              <w:t>6.2.5</w:t>
            </w:r>
          </w:p>
        </w:tc>
        <w:tc>
          <w:tcPr>
            <w:tcW w:w="3408" w:type="dxa"/>
            <w:vAlign w:val="center"/>
          </w:tcPr>
          <w:p>
            <w:pPr>
              <w:rPr>
                <w:rFonts w:hint="eastAsia" w:ascii="宋体" w:hAnsi="宋体"/>
                <w:color w:val="000000"/>
                <w:kern w:val="0"/>
                <w:szCs w:val="21"/>
              </w:rPr>
            </w:pPr>
            <w:r>
              <w:rPr>
                <w:rFonts w:ascii="宋体" w:hAnsi="宋体"/>
                <w:color w:val="000000"/>
                <w:kern w:val="0"/>
                <w:szCs w:val="21"/>
              </w:rPr>
              <w:t>公用浴室采取节水措施，</w:t>
            </w:r>
            <w:r>
              <w:rPr>
                <w:rFonts w:hint="eastAsia" w:ascii="宋体" w:hAnsi="宋体"/>
                <w:kern w:val="0"/>
                <w:szCs w:val="21"/>
              </w:rPr>
              <w:t>总得分：4</w:t>
            </w:r>
            <w:r>
              <w:rPr>
                <w:rFonts w:ascii="宋体" w:hAnsi="宋体"/>
                <w:kern w:val="0"/>
                <w:szCs w:val="21"/>
              </w:rPr>
              <w:t>分</w:t>
            </w:r>
            <w:r>
              <w:rPr>
                <w:rFonts w:ascii="宋体" w:hAnsi="宋体"/>
                <w:color w:val="000000"/>
                <w:kern w:val="0"/>
                <w:szCs w:val="21"/>
              </w:rPr>
              <w:t>，并按下列规则分别评分并累计：</w:t>
            </w:r>
          </w:p>
          <w:p>
            <w:pPr>
              <w:rPr>
                <w:rFonts w:hint="eastAsia" w:ascii="宋体" w:hAnsi="宋体"/>
                <w:color w:val="000000"/>
                <w:kern w:val="0"/>
                <w:szCs w:val="21"/>
              </w:rPr>
            </w:pPr>
            <w:r>
              <w:rPr>
                <w:rFonts w:ascii="宋体" w:hAnsi="宋体"/>
                <w:color w:val="000000"/>
                <w:kern w:val="0"/>
                <w:szCs w:val="21"/>
              </w:rPr>
              <w:t>①采用带恒温控制和温度显示功能的冷热水混合淋浴器， 得2分；</w:t>
            </w:r>
          </w:p>
          <w:p>
            <w:pPr>
              <w:rPr>
                <w:rFonts w:ascii="宋体" w:hAnsi="宋体"/>
                <w:color w:val="000000"/>
                <w:kern w:val="0"/>
                <w:szCs w:val="21"/>
              </w:rPr>
            </w:pPr>
            <w:r>
              <w:rPr>
                <w:rFonts w:ascii="宋体" w:hAnsi="宋体"/>
                <w:color w:val="000000"/>
                <w:kern w:val="0"/>
                <w:szCs w:val="21"/>
              </w:rPr>
              <w:t>②设置用者付费的设施，得2分。</w:t>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szCs w:val="21"/>
              </w:rPr>
              <w:t>6.2.6</w:t>
            </w:r>
          </w:p>
        </w:tc>
        <w:tc>
          <w:tcPr>
            <w:tcW w:w="3408" w:type="dxa"/>
            <w:vAlign w:val="top"/>
          </w:tcPr>
          <w:p>
            <w:pPr>
              <w:rPr>
                <w:rFonts w:ascii="宋体" w:hAnsi="宋体"/>
                <w:szCs w:val="21"/>
              </w:rPr>
            </w:pPr>
            <w:r>
              <w:rPr>
                <w:rFonts w:ascii="宋体" w:hAnsi="宋体"/>
                <w:szCs w:val="21"/>
              </w:rPr>
              <w:t>使用较高用水效率等级的卫生器具，</w:t>
            </w:r>
            <w:r>
              <w:rPr>
                <w:rFonts w:hint="eastAsia" w:ascii="宋体" w:hAnsi="宋体"/>
                <w:kern w:val="0"/>
                <w:szCs w:val="21"/>
              </w:rPr>
              <w:t>总得分：10</w:t>
            </w:r>
            <w:r>
              <w:rPr>
                <w:rFonts w:ascii="宋体" w:hAnsi="宋体"/>
                <w:kern w:val="0"/>
                <w:szCs w:val="21"/>
              </w:rPr>
              <w:t>分</w:t>
            </w:r>
            <w:r>
              <w:rPr>
                <w:rFonts w:ascii="宋体" w:hAnsi="宋体"/>
                <w:szCs w:val="21"/>
              </w:rPr>
              <w:t>。</w:t>
            </w:r>
            <w:r>
              <w:rPr>
                <w:rFonts w:ascii="宋体" w:hAnsi="宋体"/>
                <w:szCs w:val="21"/>
              </w:rPr>
              <w:tab/>
            </w:r>
          </w:p>
          <w:p>
            <w:pPr>
              <w:rPr>
                <w:rFonts w:ascii="宋体" w:hAnsi="宋体"/>
                <w:szCs w:val="21"/>
              </w:rPr>
            </w:pPr>
            <w:r>
              <w:rPr>
                <w:rFonts w:ascii="宋体" w:hAnsi="宋体"/>
                <w:szCs w:val="21"/>
              </w:rPr>
              <w:t>① 用水效率等级达到3级，得5分；</w:t>
            </w:r>
          </w:p>
          <w:p>
            <w:pPr>
              <w:rPr>
                <w:rFonts w:ascii="宋体" w:hAnsi="宋体"/>
                <w:szCs w:val="21"/>
              </w:rPr>
            </w:pPr>
            <w:r>
              <w:rPr>
                <w:rFonts w:ascii="宋体" w:hAnsi="宋体"/>
                <w:szCs w:val="21"/>
              </w:rPr>
              <w:t>② 用水效率等级达到2级，得10分；</w:t>
            </w:r>
          </w:p>
        </w:tc>
        <w:tc>
          <w:tcPr>
            <w:tcW w:w="844" w:type="dxa"/>
            <w:vAlign w:val="center"/>
          </w:tcPr>
          <w:p>
            <w:pPr>
              <w:jc w:val="center"/>
              <w:rPr>
                <w:rFonts w:ascii="宋体" w:hAnsi="宋体"/>
                <w:color w:val="000000"/>
                <w:szCs w:val="21"/>
              </w:rPr>
            </w:pPr>
          </w:p>
        </w:tc>
        <w:tc>
          <w:tcPr>
            <w:tcW w:w="3260" w:type="dxa"/>
            <w:vAlign w:val="center"/>
          </w:tcPr>
          <w:p>
            <w:pPr>
              <w:ind w:left="210" w:hanging="210" w:hangingChars="1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6.2.7</w:t>
            </w:r>
          </w:p>
        </w:tc>
        <w:tc>
          <w:tcPr>
            <w:tcW w:w="3408" w:type="dxa"/>
            <w:vAlign w:val="top"/>
          </w:tcPr>
          <w:p>
            <w:pPr>
              <w:rPr>
                <w:rFonts w:ascii="宋体" w:hAnsi="宋体"/>
                <w:szCs w:val="21"/>
              </w:rPr>
            </w:pPr>
            <w:r>
              <w:rPr>
                <w:rFonts w:ascii="宋体" w:hAnsi="宋体"/>
                <w:szCs w:val="21"/>
              </w:rPr>
              <w:t>绿化灌溉采用节水灌溉方式，总</w:t>
            </w:r>
            <w:r>
              <w:rPr>
                <w:rFonts w:hint="eastAsia" w:ascii="宋体" w:hAnsi="宋体"/>
                <w:szCs w:val="21"/>
              </w:rPr>
              <w:t>得</w:t>
            </w:r>
            <w:r>
              <w:rPr>
                <w:rFonts w:ascii="宋体" w:hAnsi="宋体"/>
                <w:szCs w:val="21"/>
              </w:rPr>
              <w:t>分</w:t>
            </w:r>
            <w:r>
              <w:rPr>
                <w:rFonts w:hint="eastAsia" w:ascii="宋体" w:hAnsi="宋体"/>
                <w:szCs w:val="21"/>
              </w:rPr>
              <w:t>：</w:t>
            </w:r>
            <w:r>
              <w:rPr>
                <w:rFonts w:ascii="宋体" w:hAnsi="宋体"/>
                <w:szCs w:val="21"/>
              </w:rPr>
              <w:t>10分，并按 下列规则评分：</w:t>
            </w:r>
          </w:p>
          <w:p>
            <w:pPr>
              <w:rPr>
                <w:rFonts w:ascii="宋体" w:hAnsi="宋体"/>
                <w:szCs w:val="21"/>
              </w:rPr>
            </w:pPr>
            <w:r>
              <w:rPr>
                <w:rFonts w:ascii="宋体" w:hAnsi="宋体"/>
                <w:szCs w:val="21"/>
              </w:rPr>
              <w:t>①采用节水灌溉系统，得7分；在此基础上设置土壤湿度感应器、雨天关闭装置等节水控制措施，再得3分。</w:t>
            </w:r>
            <w:r>
              <w:rPr>
                <w:rFonts w:ascii="宋体" w:hAnsi="宋体"/>
                <w:szCs w:val="21"/>
              </w:rPr>
              <w:tab/>
            </w:r>
            <w:r>
              <w:rPr>
                <w:rFonts w:ascii="宋体" w:hAnsi="宋体"/>
                <w:szCs w:val="21"/>
              </w:rPr>
              <w:tab/>
            </w:r>
          </w:p>
          <w:p>
            <w:pPr>
              <w:rPr>
                <w:rFonts w:ascii="宋体" w:hAnsi="宋体"/>
                <w:szCs w:val="21"/>
              </w:rPr>
            </w:pPr>
            <w:r>
              <w:rPr>
                <w:rFonts w:ascii="宋体" w:hAnsi="宋体"/>
                <w:szCs w:val="21"/>
              </w:rPr>
              <w:t>②种植无需永久灌溉植物，得10分。</w:t>
            </w:r>
            <w:r>
              <w:rPr>
                <w:rFonts w:ascii="宋体" w:hAnsi="宋体"/>
                <w:szCs w:val="21"/>
              </w:rPr>
              <w:tab/>
            </w:r>
            <w:r>
              <w:rPr>
                <w:rFonts w:ascii="宋体" w:hAnsi="宋体"/>
                <w:szCs w:val="21"/>
              </w:rPr>
              <w:tab/>
            </w:r>
          </w:p>
        </w:tc>
        <w:tc>
          <w:tcPr>
            <w:tcW w:w="844" w:type="dxa"/>
            <w:vAlign w:val="center"/>
          </w:tcPr>
          <w:p>
            <w:pPr>
              <w:jc w:val="center"/>
              <w:rPr>
                <w:rFonts w:ascii="宋体" w:hAnsi="宋体"/>
                <w:color w:val="000000"/>
                <w:szCs w:val="21"/>
              </w:rPr>
            </w:pPr>
          </w:p>
        </w:tc>
        <w:tc>
          <w:tcPr>
            <w:tcW w:w="3260" w:type="dxa"/>
            <w:vAlign w:val="center"/>
          </w:tcPr>
          <w:p>
            <w:pPr>
              <w:ind w:left="210" w:hanging="210" w:hangingChars="1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6.2.8</w:t>
            </w:r>
          </w:p>
        </w:tc>
        <w:tc>
          <w:tcPr>
            <w:tcW w:w="3408" w:type="dxa"/>
            <w:vAlign w:val="top"/>
          </w:tcPr>
          <w:p>
            <w:pPr>
              <w:rPr>
                <w:rFonts w:hint="eastAsia" w:ascii="宋体" w:hAnsi="宋体"/>
                <w:szCs w:val="21"/>
              </w:rPr>
            </w:pPr>
            <w:r>
              <w:rPr>
                <w:rFonts w:ascii="宋体" w:hAnsi="宋体"/>
                <w:szCs w:val="21"/>
              </w:rPr>
              <w:t>空调设备或系统采用节水冷却技术，总</w:t>
            </w:r>
            <w:r>
              <w:rPr>
                <w:rFonts w:hint="eastAsia" w:ascii="宋体" w:hAnsi="宋体"/>
                <w:szCs w:val="21"/>
              </w:rPr>
              <w:t>得</w:t>
            </w:r>
            <w:r>
              <w:rPr>
                <w:rFonts w:ascii="宋体" w:hAnsi="宋体"/>
                <w:szCs w:val="21"/>
              </w:rPr>
              <w:t>分</w:t>
            </w:r>
            <w:r>
              <w:rPr>
                <w:rFonts w:hint="eastAsia" w:ascii="宋体" w:hAnsi="宋体"/>
                <w:szCs w:val="21"/>
              </w:rPr>
              <w:t>：</w:t>
            </w:r>
            <w:r>
              <w:rPr>
                <w:rFonts w:ascii="宋体" w:hAnsi="宋体"/>
                <w:szCs w:val="21"/>
              </w:rPr>
              <w:t>10分，并按下列规则评分：</w:t>
            </w:r>
            <w:r>
              <w:rPr>
                <w:rFonts w:ascii="宋体" w:hAnsi="宋体"/>
                <w:szCs w:val="21"/>
              </w:rPr>
              <w:tab/>
            </w:r>
          </w:p>
          <w:p>
            <w:pPr>
              <w:rPr>
                <w:rFonts w:ascii="宋体" w:hAnsi="宋体"/>
                <w:szCs w:val="21"/>
              </w:rPr>
            </w:pPr>
            <w:r>
              <w:rPr>
                <w:rFonts w:ascii="宋体" w:hAnsi="宋体"/>
                <w:szCs w:val="21"/>
              </w:rPr>
              <w:t>①循环冷却水系统设置水处理措施；采取加大集水盘、设置平 衡管或平衡水箱的方式，避免冷却水泵停栗时冷却水溢出，得6分；</w:t>
            </w:r>
          </w:p>
          <w:p>
            <w:pPr>
              <w:rPr>
                <w:rFonts w:ascii="宋体" w:hAnsi="宋体"/>
                <w:szCs w:val="21"/>
              </w:rPr>
            </w:pPr>
            <w:r>
              <w:rPr>
                <w:rFonts w:ascii="宋体" w:hAnsi="宋体"/>
                <w:szCs w:val="21"/>
              </w:rPr>
              <w:t>②运行时，冷却塔的蒸发耗水量占冷却水补水量的比例不 低于80%，得10分；</w:t>
            </w:r>
            <w:r>
              <w:rPr>
                <w:rFonts w:ascii="宋体" w:hAnsi="宋体"/>
                <w:szCs w:val="21"/>
              </w:rPr>
              <w:tab/>
            </w:r>
            <w:r>
              <w:rPr>
                <w:rFonts w:ascii="宋体" w:hAnsi="宋体"/>
                <w:szCs w:val="21"/>
              </w:rPr>
              <w:tab/>
            </w:r>
          </w:p>
          <w:p>
            <w:pPr>
              <w:rPr>
                <w:rFonts w:ascii="宋体" w:hAnsi="宋体"/>
                <w:szCs w:val="21"/>
              </w:rPr>
            </w:pPr>
            <w:r>
              <w:rPr>
                <w:rFonts w:ascii="宋体" w:hAnsi="宋体"/>
                <w:szCs w:val="21"/>
              </w:rPr>
              <w:t>③采用无蒸发耗水量的冷却技术，得10分。</w:t>
            </w:r>
            <w:r>
              <w:rPr>
                <w:rFonts w:ascii="宋体" w:hAnsi="宋体"/>
                <w:szCs w:val="21"/>
              </w:rPr>
              <w:tab/>
            </w:r>
            <w:r>
              <w:rPr>
                <w:rFonts w:ascii="宋体" w:hAnsi="宋体"/>
                <w:szCs w:val="21"/>
              </w:rPr>
              <w:tab/>
            </w:r>
            <w:r>
              <w:rPr>
                <w:rFonts w:ascii="宋体" w:hAnsi="宋体"/>
                <w:szCs w:val="21"/>
              </w:rPr>
              <w:tab/>
            </w:r>
          </w:p>
        </w:tc>
        <w:tc>
          <w:tcPr>
            <w:tcW w:w="844" w:type="dxa"/>
            <w:vAlign w:val="center"/>
          </w:tcPr>
          <w:p>
            <w:pPr>
              <w:jc w:val="center"/>
              <w:rPr>
                <w:rFonts w:ascii="宋体" w:hAnsi="宋体"/>
                <w:color w:val="000000"/>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6.2.9</w:t>
            </w:r>
          </w:p>
        </w:tc>
        <w:tc>
          <w:tcPr>
            <w:tcW w:w="3408" w:type="dxa"/>
            <w:vAlign w:val="top"/>
          </w:tcPr>
          <w:p>
            <w:pPr>
              <w:rPr>
                <w:rFonts w:ascii="宋体" w:hAnsi="宋体"/>
                <w:szCs w:val="21"/>
              </w:rPr>
            </w:pPr>
            <w:r>
              <w:rPr>
                <w:rFonts w:ascii="宋体" w:hAnsi="宋体"/>
                <w:szCs w:val="21"/>
              </w:rPr>
              <w:t>除卫生器具、绿化灌溉和冷却塔外的其他用水采用节水技术或措施，总</w:t>
            </w:r>
            <w:r>
              <w:rPr>
                <w:rFonts w:hint="eastAsia" w:ascii="宋体" w:hAnsi="宋体"/>
                <w:szCs w:val="21"/>
              </w:rPr>
              <w:t>得</w:t>
            </w:r>
            <w:r>
              <w:rPr>
                <w:rFonts w:ascii="宋体" w:hAnsi="宋体"/>
                <w:szCs w:val="21"/>
              </w:rPr>
              <w:t>分</w:t>
            </w:r>
            <w:r>
              <w:rPr>
                <w:rFonts w:hint="eastAsia" w:ascii="宋体" w:hAnsi="宋体"/>
                <w:szCs w:val="21"/>
              </w:rPr>
              <w:t>：</w:t>
            </w:r>
            <w:r>
              <w:rPr>
                <w:rFonts w:ascii="宋体" w:hAnsi="宋体"/>
                <w:szCs w:val="21"/>
              </w:rPr>
              <w:t>5分。</w:t>
            </w:r>
            <w:r>
              <w:rPr>
                <w:rFonts w:ascii="宋体" w:hAnsi="宋体"/>
                <w:szCs w:val="21"/>
              </w:rPr>
              <w:tab/>
            </w:r>
            <w:r>
              <w:rPr>
                <w:rFonts w:ascii="宋体" w:hAnsi="宋体"/>
                <w:szCs w:val="21"/>
              </w:rPr>
              <w:tab/>
            </w:r>
          </w:p>
          <w:p>
            <w:pPr>
              <w:rPr>
                <w:rFonts w:ascii="宋体" w:hAnsi="宋体"/>
                <w:szCs w:val="21"/>
              </w:rPr>
            </w:pPr>
            <w:r>
              <w:rPr>
                <w:rFonts w:ascii="宋体" w:hAnsi="宋体"/>
                <w:szCs w:val="21"/>
              </w:rPr>
              <w:t>①其他用水中采用节水技术或措施的比例达到50%，得3分；</w:t>
            </w:r>
          </w:p>
          <w:p>
            <w:pPr>
              <w:rPr>
                <w:rFonts w:ascii="宋体" w:hAnsi="宋体"/>
                <w:szCs w:val="21"/>
              </w:rPr>
            </w:pPr>
            <w:r>
              <w:rPr>
                <w:rFonts w:ascii="宋体" w:hAnsi="宋体"/>
                <w:szCs w:val="21"/>
              </w:rPr>
              <w:t>②达到80%，得5分。</w:t>
            </w:r>
            <w:r>
              <w:rPr>
                <w:rFonts w:ascii="宋体" w:hAnsi="宋体"/>
                <w:szCs w:val="21"/>
              </w:rPr>
              <w:tab/>
            </w:r>
            <w:r>
              <w:rPr>
                <w:rFonts w:ascii="宋体" w:hAnsi="宋体"/>
                <w:szCs w:val="21"/>
              </w:rPr>
              <w:tab/>
            </w:r>
          </w:p>
        </w:tc>
        <w:tc>
          <w:tcPr>
            <w:tcW w:w="844" w:type="dxa"/>
            <w:vAlign w:val="center"/>
          </w:tcPr>
          <w:p>
            <w:pPr>
              <w:jc w:val="center"/>
              <w:rPr>
                <w:rFonts w:ascii="宋体" w:hAnsi="宋体"/>
                <w:color w:val="000000"/>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6.2.10</w:t>
            </w:r>
          </w:p>
        </w:tc>
        <w:tc>
          <w:tcPr>
            <w:tcW w:w="3408" w:type="dxa"/>
            <w:vAlign w:val="top"/>
          </w:tcPr>
          <w:p>
            <w:pPr>
              <w:rPr>
                <w:rFonts w:ascii="宋体" w:hAnsi="宋体"/>
                <w:szCs w:val="21"/>
              </w:rPr>
            </w:pPr>
            <w:r>
              <w:rPr>
                <w:rFonts w:ascii="宋体" w:hAnsi="宋体"/>
                <w:szCs w:val="21"/>
              </w:rPr>
              <w:t>合理使用非传统水源，总</w:t>
            </w:r>
            <w:r>
              <w:rPr>
                <w:rFonts w:hint="eastAsia" w:ascii="宋体" w:hAnsi="宋体"/>
                <w:szCs w:val="21"/>
              </w:rPr>
              <w:t>得</w:t>
            </w:r>
            <w:r>
              <w:rPr>
                <w:rFonts w:ascii="宋体" w:hAnsi="宋体"/>
                <w:szCs w:val="21"/>
              </w:rPr>
              <w:t>分</w:t>
            </w:r>
            <w:r>
              <w:rPr>
                <w:rFonts w:hint="eastAsia" w:ascii="宋体" w:hAnsi="宋体"/>
                <w:szCs w:val="21"/>
              </w:rPr>
              <w:t>：</w:t>
            </w:r>
            <w:r>
              <w:rPr>
                <w:rFonts w:ascii="宋体" w:hAnsi="宋体"/>
                <w:szCs w:val="21"/>
              </w:rPr>
              <w:t>15分，并按下列规则评分：</w:t>
            </w:r>
          </w:p>
          <w:p>
            <w:pPr>
              <w:rPr>
                <w:rFonts w:ascii="宋体" w:hAnsi="宋体"/>
                <w:szCs w:val="21"/>
              </w:rPr>
            </w:pPr>
            <w:r>
              <w:rPr>
                <w:rFonts w:ascii="宋体" w:hAnsi="宋体"/>
                <w:szCs w:val="21"/>
              </w:rPr>
              <w:t>1住宅、办公、商店、旅馆类建筑：根据其按下列公式计算的非传统水源利用率，或者其非传统水源利用措施，按表6. 2. 10的规则评分。</w:t>
            </w:r>
          </w:p>
          <w:p>
            <w:pPr>
              <w:rPr>
                <w:rFonts w:ascii="宋体" w:hAnsi="宋体"/>
                <w:szCs w:val="21"/>
              </w:rPr>
            </w:pPr>
            <w:r>
              <w:rPr>
                <w:rFonts w:ascii="宋体" w:hAnsi="宋体"/>
                <w:szCs w:val="21"/>
              </w:rPr>
              <w:t>2其他类型建筑：按下列规则分别评分并累计。</w:t>
            </w:r>
            <w:r>
              <w:rPr>
                <w:rFonts w:ascii="宋体" w:hAnsi="宋体"/>
                <w:szCs w:val="21"/>
              </w:rPr>
              <w:tab/>
            </w:r>
            <w:r>
              <w:rPr>
                <w:rFonts w:ascii="宋体" w:hAnsi="宋体"/>
                <w:szCs w:val="21"/>
              </w:rPr>
              <w:tab/>
            </w:r>
          </w:p>
          <w:p>
            <w:pPr>
              <w:rPr>
                <w:rFonts w:ascii="宋体" w:hAnsi="宋体"/>
                <w:szCs w:val="21"/>
              </w:rPr>
            </w:pPr>
            <w:r>
              <w:rPr>
                <w:rFonts w:ascii="宋体" w:hAnsi="宋体"/>
                <w:szCs w:val="21"/>
              </w:rPr>
              <w:t>1)绿化灌慨、道路冲洗、洗车用水采用非传统水源的用水量占其总用水量的比例不低于80%，得7分；</w:t>
            </w:r>
          </w:p>
          <w:p>
            <w:pPr>
              <w:rPr>
                <w:rFonts w:ascii="宋体" w:hAnsi="宋体"/>
                <w:szCs w:val="21"/>
              </w:rPr>
            </w:pPr>
            <w:r>
              <w:rPr>
                <w:rFonts w:ascii="宋体" w:hAnsi="宋体"/>
                <w:szCs w:val="21"/>
              </w:rPr>
              <w:t>2)冲厕采用非传统水源的用水量占其总用水量的比例不低于50%,得8分。</w:t>
            </w:r>
            <w:r>
              <w:rPr>
                <w:rFonts w:ascii="宋体" w:hAnsi="宋体"/>
                <w:szCs w:val="21"/>
              </w:rPr>
              <w:tab/>
            </w:r>
            <w:r>
              <w:rPr>
                <w:rFonts w:ascii="宋体" w:hAnsi="宋体"/>
                <w:szCs w:val="21"/>
              </w:rPr>
              <w:tab/>
            </w:r>
          </w:p>
        </w:tc>
        <w:tc>
          <w:tcPr>
            <w:tcW w:w="844" w:type="dxa"/>
            <w:vAlign w:val="center"/>
          </w:tcPr>
          <w:p>
            <w:pPr>
              <w:jc w:val="center"/>
              <w:rPr>
                <w:rFonts w:ascii="宋体" w:hAnsi="宋体"/>
                <w:color w:val="000000"/>
                <w:szCs w:val="21"/>
              </w:rPr>
            </w:pPr>
          </w:p>
        </w:tc>
        <w:tc>
          <w:tcPr>
            <w:tcW w:w="3260" w:type="dxa"/>
            <w:vAlign w:val="center"/>
          </w:tcPr>
          <w:p>
            <w:pPr>
              <w:ind w:left="34" w:leftChars="16"/>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6.2.11</w:t>
            </w:r>
          </w:p>
        </w:tc>
        <w:tc>
          <w:tcPr>
            <w:tcW w:w="3408" w:type="dxa"/>
            <w:vAlign w:val="top"/>
          </w:tcPr>
          <w:p>
            <w:pPr>
              <w:rPr>
                <w:rFonts w:ascii="宋体" w:hAnsi="宋体"/>
                <w:szCs w:val="21"/>
              </w:rPr>
            </w:pPr>
            <w:r>
              <w:rPr>
                <w:rFonts w:ascii="宋体" w:hAnsi="宋体"/>
                <w:szCs w:val="21"/>
              </w:rPr>
              <w:t>冷却水补水使用非传统水源，总</w:t>
            </w:r>
            <w:r>
              <w:rPr>
                <w:rFonts w:hint="eastAsia" w:ascii="宋体" w:hAnsi="宋体"/>
                <w:szCs w:val="21"/>
              </w:rPr>
              <w:t>得</w:t>
            </w:r>
            <w:r>
              <w:rPr>
                <w:rFonts w:ascii="宋体" w:hAnsi="宋体"/>
                <w:szCs w:val="21"/>
              </w:rPr>
              <w:t>分</w:t>
            </w:r>
            <w:r>
              <w:rPr>
                <w:rFonts w:hint="eastAsia" w:ascii="宋体" w:hAnsi="宋体"/>
                <w:szCs w:val="21"/>
              </w:rPr>
              <w:t>：</w:t>
            </w:r>
            <w:r>
              <w:rPr>
                <w:rFonts w:ascii="宋体" w:hAnsi="宋体"/>
                <w:szCs w:val="21"/>
              </w:rPr>
              <w:t>8分，根据冷却水补水使用非传统水源的量占总用水量的比例按表6. 2. 11 的规则评分。</w:t>
            </w:r>
          </w:p>
          <w:p>
            <w:pPr>
              <w:rPr>
                <w:rFonts w:ascii="宋体" w:hAnsi="宋体"/>
                <w:szCs w:val="21"/>
              </w:rPr>
            </w:pPr>
            <w:r>
              <w:rPr>
                <w:rFonts w:ascii="宋体" w:hAnsi="宋体"/>
                <w:szCs w:val="21"/>
              </w:rPr>
              <w:t>①冷却水补水使用非传统水源的量占其总用水量的比例不低于10%，得4分；</w:t>
            </w:r>
            <w:r>
              <w:rPr>
                <w:rFonts w:ascii="宋体" w:hAnsi="宋体"/>
                <w:szCs w:val="21"/>
              </w:rPr>
              <w:tab/>
            </w:r>
            <w:r>
              <w:rPr>
                <w:rFonts w:ascii="宋体" w:hAnsi="宋体"/>
                <w:szCs w:val="21"/>
              </w:rPr>
              <w:tab/>
            </w:r>
          </w:p>
          <w:p>
            <w:pPr>
              <w:rPr>
                <w:rFonts w:ascii="宋体" w:hAnsi="宋体"/>
                <w:szCs w:val="21"/>
              </w:rPr>
            </w:pPr>
            <w:r>
              <w:rPr>
                <w:rFonts w:ascii="宋体" w:hAnsi="宋体"/>
                <w:szCs w:val="21"/>
              </w:rPr>
              <w:t>②冷却水补水使用非传统水源的量占其总用水量的比例不低于30%，得6分；</w:t>
            </w:r>
            <w:r>
              <w:rPr>
                <w:rFonts w:ascii="宋体" w:hAnsi="宋体"/>
                <w:szCs w:val="21"/>
              </w:rPr>
              <w:tab/>
            </w:r>
            <w:r>
              <w:rPr>
                <w:rFonts w:ascii="宋体" w:hAnsi="宋体"/>
                <w:szCs w:val="21"/>
              </w:rPr>
              <w:tab/>
            </w:r>
          </w:p>
          <w:p>
            <w:pPr>
              <w:rPr>
                <w:rFonts w:ascii="宋体" w:hAnsi="宋体"/>
                <w:szCs w:val="21"/>
              </w:rPr>
            </w:pPr>
            <w:r>
              <w:rPr>
                <w:rFonts w:ascii="宋体" w:hAnsi="宋体"/>
                <w:szCs w:val="21"/>
              </w:rPr>
              <w:t>③冷却水补水使用非传统水源的量占其总用水量的比例不低于50%，得8分。</w:t>
            </w:r>
            <w:r>
              <w:rPr>
                <w:rFonts w:ascii="宋体" w:hAnsi="宋体"/>
                <w:szCs w:val="21"/>
              </w:rPr>
              <w:tab/>
            </w:r>
            <w:r>
              <w:rPr>
                <w:rFonts w:ascii="宋体" w:hAnsi="宋体"/>
                <w:szCs w:val="21"/>
              </w:rPr>
              <w:tab/>
            </w:r>
            <w:r>
              <w:rPr>
                <w:rFonts w:ascii="宋体" w:hAnsi="宋体"/>
                <w:szCs w:val="21"/>
              </w:rPr>
              <w:tab/>
            </w:r>
          </w:p>
        </w:tc>
        <w:tc>
          <w:tcPr>
            <w:tcW w:w="844" w:type="dxa"/>
            <w:vAlign w:val="center"/>
          </w:tcPr>
          <w:p>
            <w:pPr>
              <w:jc w:val="center"/>
              <w:rPr>
                <w:rFonts w:ascii="宋体" w:hAnsi="宋体"/>
                <w:color w:val="000000"/>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6.2.12</w:t>
            </w:r>
          </w:p>
        </w:tc>
        <w:tc>
          <w:tcPr>
            <w:tcW w:w="3408" w:type="dxa"/>
            <w:vAlign w:val="top"/>
          </w:tcPr>
          <w:p>
            <w:pPr>
              <w:rPr>
                <w:rFonts w:ascii="宋体" w:hAnsi="宋体"/>
                <w:szCs w:val="21"/>
              </w:rPr>
            </w:pPr>
            <w:r>
              <w:rPr>
                <w:rFonts w:ascii="宋体" w:hAnsi="宋体"/>
                <w:szCs w:val="21"/>
              </w:rPr>
              <w:t>结合雨水利用设施进行景观水体设计，景观水体利用雨水的补水量大于其水体蒸发量的60%，且采用生态水处理技术保障水体水质，总</w:t>
            </w:r>
            <w:r>
              <w:rPr>
                <w:rFonts w:hint="eastAsia" w:ascii="宋体" w:hAnsi="宋体"/>
                <w:szCs w:val="21"/>
              </w:rPr>
              <w:t>得</w:t>
            </w:r>
            <w:r>
              <w:rPr>
                <w:rFonts w:ascii="宋体" w:hAnsi="宋体"/>
                <w:szCs w:val="21"/>
              </w:rPr>
              <w:t>分</w:t>
            </w:r>
            <w:r>
              <w:rPr>
                <w:rFonts w:hint="eastAsia" w:ascii="宋体" w:hAnsi="宋体"/>
                <w:szCs w:val="21"/>
              </w:rPr>
              <w:t>：</w:t>
            </w:r>
            <w:r>
              <w:rPr>
                <w:rFonts w:ascii="宋体" w:hAnsi="宋体"/>
                <w:szCs w:val="21"/>
              </w:rPr>
              <w:t>7分，并按下列规则分别评分并累</w:t>
            </w:r>
            <w:r>
              <w:rPr>
                <w:rFonts w:hint="eastAsia" w:ascii="宋体" w:hAnsi="宋体"/>
                <w:szCs w:val="21"/>
              </w:rPr>
              <w:t>计：</w:t>
            </w:r>
          </w:p>
          <w:p>
            <w:pPr>
              <w:rPr>
                <w:rFonts w:ascii="宋体" w:hAnsi="宋体"/>
                <w:szCs w:val="21"/>
              </w:rPr>
            </w:pPr>
            <w:r>
              <w:rPr>
                <w:rFonts w:ascii="宋体" w:hAnsi="宋体"/>
                <w:szCs w:val="21"/>
              </w:rPr>
              <w:t>①对进人景观水体的雨水采取控制面源污染的措施，得4分；</w:t>
            </w:r>
          </w:p>
          <w:p>
            <w:pPr>
              <w:rPr>
                <w:rFonts w:ascii="宋体" w:hAnsi="宋体"/>
                <w:szCs w:val="21"/>
              </w:rPr>
            </w:pPr>
            <w:r>
              <w:rPr>
                <w:rFonts w:ascii="宋体" w:hAnsi="宋体"/>
                <w:szCs w:val="21"/>
              </w:rPr>
              <w:t>②利用水生动、植物进行水体净化，得3分</w:t>
            </w:r>
            <w:r>
              <w:rPr>
                <w:rFonts w:hint="eastAsia" w:ascii="宋体" w:hAnsi="宋体"/>
                <w:szCs w:val="21"/>
              </w:rPr>
              <w:t>。</w:t>
            </w:r>
          </w:p>
        </w:tc>
        <w:tc>
          <w:tcPr>
            <w:tcW w:w="844" w:type="dxa"/>
            <w:vAlign w:val="center"/>
          </w:tcPr>
          <w:p>
            <w:pPr>
              <w:jc w:val="center"/>
              <w:rPr>
                <w:rFonts w:ascii="宋体" w:hAnsi="宋体"/>
                <w:szCs w:val="21"/>
              </w:rPr>
            </w:pPr>
          </w:p>
        </w:tc>
        <w:tc>
          <w:tcPr>
            <w:tcW w:w="32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4968" w:type="dxa"/>
            <w:gridSpan w:val="3"/>
            <w:vAlign w:val="center"/>
          </w:tcPr>
          <w:p>
            <w:pPr>
              <w:jc w:val="center"/>
              <w:rPr>
                <w:rFonts w:ascii="宋体" w:hAnsi="宋体"/>
                <w:b/>
                <w:bCs/>
                <w:szCs w:val="21"/>
              </w:rPr>
            </w:pPr>
            <w:r>
              <w:rPr>
                <w:rFonts w:ascii="宋体" w:hAnsi="宋体"/>
                <w:b/>
                <w:bCs/>
                <w:color w:val="000000"/>
                <w:szCs w:val="21"/>
              </w:rPr>
              <w:t>小计</w:t>
            </w:r>
          </w:p>
        </w:tc>
        <w:tc>
          <w:tcPr>
            <w:tcW w:w="4104"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072" w:type="dxa"/>
            <w:gridSpan w:val="5"/>
            <w:vAlign w:val="center"/>
          </w:tcPr>
          <w:p>
            <w:pPr>
              <w:jc w:val="center"/>
              <w:rPr>
                <w:rFonts w:ascii="宋体" w:hAnsi="宋体"/>
                <w:b/>
                <w:bCs/>
                <w:szCs w:val="21"/>
              </w:rPr>
            </w:pPr>
            <w:r>
              <w:rPr>
                <w:rFonts w:ascii="宋体" w:hAnsi="宋体"/>
                <w:b/>
                <w:bCs/>
                <w:szCs w:val="21"/>
              </w:rPr>
              <w:t>节</w:t>
            </w:r>
            <w:r>
              <w:rPr>
                <w:rFonts w:hint="eastAsia" w:ascii="宋体" w:hAnsi="宋体"/>
                <w:b/>
                <w:bCs/>
                <w:szCs w:val="21"/>
              </w:rPr>
              <w:t xml:space="preserve"> </w:t>
            </w:r>
            <w:r>
              <w:rPr>
                <w:rFonts w:ascii="宋体" w:hAnsi="宋体"/>
                <w:b/>
                <w:bCs/>
                <w:szCs w:val="21"/>
              </w:rPr>
              <w:t>材</w:t>
            </w:r>
            <w:r>
              <w:rPr>
                <w:rFonts w:hint="eastAsia" w:ascii="宋体" w:hAnsi="宋体"/>
                <w:b/>
                <w:bCs/>
                <w:szCs w:val="21"/>
              </w:rPr>
              <w:t xml:space="preserve"> </w:t>
            </w:r>
            <w:r>
              <w:rPr>
                <w:rFonts w:ascii="宋体" w:hAnsi="宋体"/>
                <w:b/>
                <w:bCs/>
                <w:szCs w:val="21"/>
              </w:rPr>
              <w:t>与</w:t>
            </w:r>
            <w:r>
              <w:rPr>
                <w:rFonts w:hint="eastAsia" w:ascii="宋体" w:hAnsi="宋体"/>
                <w:b/>
                <w:bCs/>
                <w:szCs w:val="21"/>
              </w:rPr>
              <w:t xml:space="preserve"> </w:t>
            </w:r>
            <w:r>
              <w:rPr>
                <w:rFonts w:ascii="宋体" w:hAnsi="宋体"/>
                <w:b/>
                <w:bCs/>
                <w:szCs w:val="21"/>
              </w:rPr>
              <w:t>材</w:t>
            </w:r>
            <w:r>
              <w:rPr>
                <w:rFonts w:hint="eastAsia" w:ascii="宋体" w:hAnsi="宋体"/>
                <w:b/>
                <w:bCs/>
                <w:szCs w:val="21"/>
              </w:rPr>
              <w:t xml:space="preserve"> </w:t>
            </w:r>
            <w:r>
              <w:rPr>
                <w:rFonts w:ascii="宋体" w:hAnsi="宋体"/>
                <w:b/>
                <w:bCs/>
                <w:szCs w:val="21"/>
              </w:rPr>
              <w:t>料</w:t>
            </w:r>
            <w:r>
              <w:rPr>
                <w:rFonts w:hint="eastAsia" w:ascii="宋体" w:hAnsi="宋体"/>
                <w:b/>
                <w:bCs/>
                <w:szCs w:val="21"/>
              </w:rPr>
              <w:t xml:space="preserve"> </w:t>
            </w:r>
            <w:r>
              <w:rPr>
                <w:rFonts w:ascii="宋体" w:hAnsi="宋体"/>
                <w:b/>
                <w:bCs/>
                <w:szCs w:val="21"/>
              </w:rPr>
              <w:t>资</w:t>
            </w:r>
            <w:r>
              <w:rPr>
                <w:rFonts w:hint="eastAsia" w:ascii="宋体" w:hAnsi="宋体"/>
                <w:b/>
                <w:bCs/>
                <w:szCs w:val="21"/>
              </w:rPr>
              <w:t xml:space="preserve"> </w:t>
            </w:r>
            <w:r>
              <w:rPr>
                <w:rFonts w:ascii="宋体" w:hAnsi="宋体"/>
                <w:b/>
                <w:bCs/>
                <w:szCs w:val="21"/>
              </w:rPr>
              <w:t>源</w:t>
            </w:r>
            <w:r>
              <w:rPr>
                <w:rFonts w:hint="eastAsia" w:ascii="宋体" w:hAnsi="宋体"/>
                <w:b/>
                <w:bCs/>
                <w:szCs w:val="21"/>
              </w:rPr>
              <w:t xml:space="preserve"> </w:t>
            </w:r>
            <w:r>
              <w:rPr>
                <w:rFonts w:ascii="宋体" w:hAnsi="宋体"/>
                <w:b/>
                <w:bCs/>
                <w:szCs w:val="21"/>
              </w:rPr>
              <w:t>利</w:t>
            </w:r>
            <w:r>
              <w:rPr>
                <w:rFonts w:hint="eastAsia" w:ascii="宋体" w:hAnsi="宋体"/>
                <w:b/>
                <w:bCs/>
                <w:szCs w:val="21"/>
              </w:rPr>
              <w:t xml:space="preserve"> </w:t>
            </w:r>
            <w:r>
              <w:rPr>
                <w:rFonts w:ascii="宋体" w:hAnsi="宋体"/>
                <w:b/>
                <w:bCs/>
                <w:szCs w:val="21"/>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567" w:type="dxa"/>
            <w:vAlign w:val="center"/>
          </w:tcPr>
          <w:p>
            <w:pPr>
              <w:jc w:val="center"/>
              <w:rPr>
                <w:rFonts w:ascii="宋体" w:hAnsi="宋体"/>
                <w:b/>
                <w:bCs/>
                <w:szCs w:val="21"/>
              </w:rPr>
            </w:pPr>
          </w:p>
        </w:tc>
        <w:tc>
          <w:tcPr>
            <w:tcW w:w="993" w:type="dxa"/>
            <w:vAlign w:val="center"/>
          </w:tcPr>
          <w:p>
            <w:pPr>
              <w:jc w:val="center"/>
              <w:rPr>
                <w:rFonts w:ascii="宋体" w:hAnsi="宋体"/>
                <w:b/>
                <w:bCs/>
                <w:szCs w:val="21"/>
              </w:rPr>
            </w:pPr>
            <w:r>
              <w:rPr>
                <w:rFonts w:ascii="宋体" w:hAnsi="宋体"/>
                <w:b/>
                <w:bCs/>
                <w:szCs w:val="21"/>
              </w:rPr>
              <w:t>条目号</w:t>
            </w:r>
          </w:p>
        </w:tc>
        <w:tc>
          <w:tcPr>
            <w:tcW w:w="3408" w:type="dxa"/>
            <w:vAlign w:val="center"/>
          </w:tcPr>
          <w:p>
            <w:pPr>
              <w:jc w:val="center"/>
              <w:rPr>
                <w:rFonts w:ascii="宋体" w:hAnsi="宋体"/>
                <w:b/>
                <w:bCs/>
                <w:szCs w:val="21"/>
              </w:rPr>
            </w:pPr>
            <w:r>
              <w:rPr>
                <w:rFonts w:ascii="宋体" w:hAnsi="宋体"/>
                <w:b/>
                <w:bCs/>
                <w:szCs w:val="21"/>
              </w:rPr>
              <w:t>评价标准规定</w:t>
            </w:r>
          </w:p>
        </w:tc>
        <w:tc>
          <w:tcPr>
            <w:tcW w:w="844" w:type="dxa"/>
            <w:vAlign w:val="center"/>
          </w:tcPr>
          <w:p>
            <w:pPr>
              <w:jc w:val="center"/>
              <w:rPr>
                <w:rFonts w:ascii="宋体" w:hAnsi="宋体"/>
                <w:b/>
                <w:bCs/>
                <w:szCs w:val="21"/>
              </w:rPr>
            </w:pPr>
            <w:r>
              <w:rPr>
                <w:rFonts w:hint="eastAsia" w:ascii="宋体" w:hAnsi="宋体"/>
                <w:b/>
                <w:bCs/>
                <w:szCs w:val="21"/>
              </w:rPr>
              <w:t>项目</w:t>
            </w:r>
            <w:r>
              <w:rPr>
                <w:rFonts w:ascii="宋体" w:hAnsi="宋体"/>
                <w:b/>
                <w:bCs/>
                <w:szCs w:val="21"/>
              </w:rPr>
              <w:t>达标</w:t>
            </w:r>
          </w:p>
        </w:tc>
        <w:tc>
          <w:tcPr>
            <w:tcW w:w="3260" w:type="dxa"/>
            <w:vAlign w:val="center"/>
          </w:tcPr>
          <w:p>
            <w:pPr>
              <w:jc w:val="center"/>
              <w:rPr>
                <w:rFonts w:ascii="宋体" w:hAnsi="宋体"/>
                <w:b/>
                <w:bCs/>
                <w:szCs w:val="21"/>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jc w:val="center"/>
              <w:rPr>
                <w:rFonts w:ascii="宋体" w:hAnsi="宋体"/>
                <w:b/>
                <w:bCs/>
                <w:szCs w:val="21"/>
              </w:rPr>
            </w:pPr>
            <w:r>
              <w:rPr>
                <w:rFonts w:ascii="宋体" w:hAnsi="宋体"/>
                <w:b/>
                <w:bCs/>
                <w:szCs w:val="21"/>
              </w:rPr>
              <w:t>控</w:t>
            </w:r>
          </w:p>
          <w:p>
            <w:pPr>
              <w:jc w:val="center"/>
              <w:rPr>
                <w:rFonts w:ascii="宋体" w:hAnsi="宋体"/>
                <w:b/>
                <w:bCs/>
                <w:szCs w:val="21"/>
              </w:rPr>
            </w:pPr>
            <w:r>
              <w:rPr>
                <w:rFonts w:ascii="宋体" w:hAnsi="宋体"/>
                <w:b/>
                <w:bCs/>
                <w:szCs w:val="21"/>
              </w:rPr>
              <w:t>制</w:t>
            </w:r>
          </w:p>
          <w:p>
            <w:pPr>
              <w:jc w:val="center"/>
              <w:rPr>
                <w:rFonts w:ascii="宋体" w:hAnsi="宋体"/>
                <w:b/>
                <w:bCs/>
                <w:szCs w:val="21"/>
              </w:rPr>
            </w:pPr>
            <w:r>
              <w:rPr>
                <w:rFonts w:ascii="宋体" w:hAnsi="宋体"/>
                <w:b/>
                <w:bCs/>
                <w:szCs w:val="21"/>
              </w:rPr>
              <w:t>项</w:t>
            </w:r>
          </w:p>
        </w:tc>
        <w:tc>
          <w:tcPr>
            <w:tcW w:w="993" w:type="dxa"/>
            <w:vAlign w:val="center"/>
          </w:tcPr>
          <w:p>
            <w:pPr>
              <w:jc w:val="center"/>
              <w:rPr>
                <w:rFonts w:ascii="宋体" w:hAnsi="宋体"/>
                <w:szCs w:val="21"/>
              </w:rPr>
            </w:pPr>
            <w:r>
              <w:rPr>
                <w:rFonts w:ascii="宋体" w:hAnsi="宋体"/>
                <w:szCs w:val="21"/>
              </w:rPr>
              <w:t>7.1.1</w:t>
            </w:r>
          </w:p>
        </w:tc>
        <w:tc>
          <w:tcPr>
            <w:tcW w:w="3408" w:type="dxa"/>
            <w:vAlign w:val="top"/>
          </w:tcPr>
          <w:p>
            <w:pPr>
              <w:spacing w:line="320" w:lineRule="atLeast"/>
              <w:jc w:val="left"/>
              <w:rPr>
                <w:rFonts w:ascii="宋体" w:hAnsi="宋体"/>
                <w:szCs w:val="21"/>
              </w:rPr>
            </w:pPr>
            <w:r>
              <w:rPr>
                <w:rFonts w:ascii="宋体" w:hAnsi="宋体"/>
                <w:kern w:val="0"/>
                <w:szCs w:val="21"/>
              </w:rPr>
              <w:t>不得采用国家和地方禁止和限制使用的建筑材料及制品。</w:t>
            </w:r>
          </w:p>
        </w:tc>
        <w:tc>
          <w:tcPr>
            <w:tcW w:w="844" w:type="dxa"/>
            <w:vAlign w:val="center"/>
          </w:tcPr>
          <w:p>
            <w:pPr>
              <w:jc w:val="center"/>
              <w:rPr>
                <w:rFonts w:ascii="宋体" w:hAnsi="宋体"/>
                <w:szCs w:val="21"/>
              </w:rPr>
            </w:pPr>
          </w:p>
        </w:tc>
        <w:tc>
          <w:tcPr>
            <w:tcW w:w="326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7.1.2</w:t>
            </w:r>
          </w:p>
        </w:tc>
        <w:tc>
          <w:tcPr>
            <w:tcW w:w="3408" w:type="dxa"/>
            <w:vAlign w:val="top"/>
          </w:tcPr>
          <w:p>
            <w:pPr>
              <w:autoSpaceDE w:val="0"/>
              <w:autoSpaceDN w:val="0"/>
              <w:adjustRightInd w:val="0"/>
              <w:jc w:val="left"/>
              <w:rPr>
                <w:rFonts w:ascii="宋体" w:hAnsi="宋体"/>
                <w:kern w:val="0"/>
                <w:szCs w:val="21"/>
              </w:rPr>
            </w:pPr>
            <w:r>
              <w:rPr>
                <w:rFonts w:ascii="宋体" w:hAnsi="宋体"/>
                <w:kern w:val="0"/>
                <w:szCs w:val="21"/>
              </w:rPr>
              <w:t>混凝土结构中梁、柱纵向受力普通钢筋应采用不低于4 0 0 M P a级的热</w:t>
            </w:r>
            <w:r>
              <w:rPr>
                <w:rFonts w:hint="eastAsia" w:ascii="宋体" w:hAnsi="宋体"/>
                <w:kern w:val="0"/>
                <w:szCs w:val="21"/>
              </w:rPr>
              <w:t>轧</w:t>
            </w:r>
            <w:r>
              <w:rPr>
                <w:rFonts w:ascii="宋体" w:hAnsi="宋体"/>
                <w:kern w:val="0"/>
                <w:szCs w:val="21"/>
              </w:rPr>
              <w:t>带肋钢筋。</w:t>
            </w:r>
          </w:p>
        </w:tc>
        <w:tc>
          <w:tcPr>
            <w:tcW w:w="844" w:type="dxa"/>
            <w:vAlign w:val="center"/>
          </w:tcPr>
          <w:p>
            <w:pPr>
              <w:jc w:val="center"/>
              <w:rPr>
                <w:rFonts w:ascii="宋体" w:hAnsi="宋体"/>
                <w:szCs w:val="21"/>
              </w:rPr>
            </w:pPr>
          </w:p>
        </w:tc>
        <w:tc>
          <w:tcPr>
            <w:tcW w:w="326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7.1.3</w:t>
            </w:r>
          </w:p>
        </w:tc>
        <w:tc>
          <w:tcPr>
            <w:tcW w:w="3408" w:type="dxa"/>
            <w:vAlign w:val="top"/>
          </w:tcPr>
          <w:p>
            <w:pPr>
              <w:rPr>
                <w:rFonts w:ascii="宋体" w:hAnsi="宋体"/>
                <w:color w:val="000000"/>
                <w:kern w:val="0"/>
                <w:szCs w:val="21"/>
              </w:rPr>
            </w:pPr>
            <w:r>
              <w:rPr>
                <w:rFonts w:ascii="宋体" w:hAnsi="宋体"/>
                <w:kern w:val="0"/>
                <w:szCs w:val="21"/>
              </w:rPr>
              <w:t>建筑造型要素应简约.，且无大量装饰性构件。</w:t>
            </w:r>
          </w:p>
        </w:tc>
        <w:tc>
          <w:tcPr>
            <w:tcW w:w="844" w:type="dxa"/>
            <w:vAlign w:val="center"/>
          </w:tcPr>
          <w:p>
            <w:pPr>
              <w:jc w:val="center"/>
              <w:rPr>
                <w:rFonts w:ascii="宋体" w:hAnsi="宋体"/>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jc w:val="center"/>
              <w:rPr>
                <w:rFonts w:ascii="宋体" w:hAnsi="宋体"/>
                <w:b/>
                <w:bCs/>
                <w:szCs w:val="21"/>
              </w:rPr>
            </w:pPr>
          </w:p>
          <w:p>
            <w:pPr>
              <w:jc w:val="center"/>
              <w:rPr>
                <w:rFonts w:ascii="宋体" w:hAnsi="宋体"/>
                <w:b/>
                <w:bCs/>
                <w:szCs w:val="21"/>
              </w:rPr>
            </w:pPr>
          </w:p>
          <w:p>
            <w:pPr>
              <w:rPr>
                <w:rFonts w:ascii="宋体" w:hAnsi="宋体"/>
                <w:b/>
                <w:bCs/>
                <w:szCs w:val="21"/>
              </w:rPr>
            </w:pPr>
            <w:r>
              <w:rPr>
                <w:rFonts w:ascii="宋体" w:hAnsi="宋体"/>
                <w:b/>
                <w:bCs/>
                <w:szCs w:val="21"/>
              </w:rPr>
              <w:t>评</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分</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项</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评</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分</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项</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ascii="宋体" w:hAnsi="宋体"/>
                <w:b/>
                <w:bCs/>
                <w:szCs w:val="21"/>
              </w:rPr>
            </w:pPr>
            <w:r>
              <w:rPr>
                <w:rFonts w:ascii="宋体" w:hAnsi="宋体"/>
                <w:b/>
                <w:bCs/>
                <w:szCs w:val="21"/>
              </w:rPr>
              <w:t>评</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分</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项</w:t>
            </w:r>
          </w:p>
          <w:p>
            <w:pPr>
              <w:jc w:val="center"/>
              <w:rPr>
                <w:rFonts w:ascii="宋体" w:hAnsi="宋体"/>
                <w:b/>
                <w:bCs/>
                <w:szCs w:val="21"/>
              </w:rPr>
            </w:pPr>
          </w:p>
        </w:tc>
        <w:tc>
          <w:tcPr>
            <w:tcW w:w="4401" w:type="dxa"/>
            <w:gridSpan w:val="2"/>
            <w:vAlign w:val="center"/>
          </w:tcPr>
          <w:p>
            <w:pPr>
              <w:jc w:val="center"/>
              <w:rPr>
                <w:rFonts w:ascii="宋体" w:hAnsi="宋体"/>
                <w:kern w:val="0"/>
                <w:szCs w:val="21"/>
              </w:rPr>
            </w:pPr>
            <w:r>
              <w:rPr>
                <w:rFonts w:hint="eastAsia" w:ascii="宋体" w:hAnsi="宋体"/>
                <w:b/>
                <w:bCs/>
                <w:szCs w:val="21"/>
              </w:rPr>
              <w:t>评价条文</w:t>
            </w:r>
          </w:p>
        </w:tc>
        <w:tc>
          <w:tcPr>
            <w:tcW w:w="844" w:type="dxa"/>
            <w:vAlign w:val="center"/>
          </w:tcPr>
          <w:p>
            <w:pPr>
              <w:jc w:val="center"/>
              <w:rPr>
                <w:rFonts w:ascii="宋体" w:hAnsi="宋体"/>
                <w:b/>
                <w:bCs/>
                <w:szCs w:val="21"/>
              </w:rPr>
            </w:pPr>
            <w:r>
              <w:rPr>
                <w:rFonts w:ascii="宋体" w:hAnsi="宋体"/>
                <w:b/>
                <w:bCs/>
                <w:szCs w:val="21"/>
              </w:rPr>
              <w:t>得分</w:t>
            </w:r>
          </w:p>
        </w:tc>
        <w:tc>
          <w:tcPr>
            <w:tcW w:w="3260" w:type="dxa"/>
            <w:vAlign w:val="center"/>
          </w:tcPr>
          <w:p>
            <w:pPr>
              <w:jc w:val="center"/>
              <w:rPr>
                <w:rFonts w:ascii="宋体" w:hAnsi="宋体"/>
                <w:b/>
                <w:bCs/>
                <w:szCs w:val="21"/>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7.2.1</w:t>
            </w:r>
          </w:p>
        </w:tc>
        <w:tc>
          <w:tcPr>
            <w:tcW w:w="3408" w:type="dxa"/>
            <w:vAlign w:val="top"/>
          </w:tcPr>
          <w:p>
            <w:pPr>
              <w:autoSpaceDE w:val="0"/>
              <w:autoSpaceDN w:val="0"/>
              <w:adjustRightInd w:val="0"/>
              <w:jc w:val="left"/>
              <w:rPr>
                <w:rFonts w:hint="eastAsia" w:ascii="宋体" w:hAnsi="宋体"/>
                <w:kern w:val="0"/>
                <w:szCs w:val="21"/>
              </w:rPr>
            </w:pPr>
            <w:r>
              <w:rPr>
                <w:rFonts w:ascii="宋体" w:hAnsi="宋体"/>
                <w:kern w:val="0"/>
                <w:szCs w:val="21"/>
              </w:rPr>
              <w:t>择优选用建筑形体，总</w:t>
            </w:r>
            <w:r>
              <w:rPr>
                <w:rFonts w:hint="eastAsia" w:ascii="宋体" w:hAnsi="宋体"/>
                <w:kern w:val="0"/>
                <w:szCs w:val="21"/>
              </w:rPr>
              <w:t>得</w:t>
            </w:r>
            <w:r>
              <w:rPr>
                <w:rFonts w:ascii="宋体" w:hAnsi="宋体"/>
                <w:kern w:val="0"/>
                <w:szCs w:val="21"/>
              </w:rPr>
              <w:t>分</w:t>
            </w:r>
            <w:r>
              <w:rPr>
                <w:rFonts w:hint="eastAsia" w:ascii="宋体" w:hAnsi="宋体"/>
                <w:kern w:val="0"/>
                <w:szCs w:val="21"/>
              </w:rPr>
              <w:t>：</w:t>
            </w:r>
            <w:r>
              <w:rPr>
                <w:rFonts w:ascii="宋体" w:hAnsi="宋体"/>
                <w:kern w:val="0"/>
                <w:szCs w:val="21"/>
              </w:rPr>
              <w:t>9分。</w:t>
            </w:r>
          </w:p>
          <w:p>
            <w:pPr>
              <w:autoSpaceDE w:val="0"/>
              <w:autoSpaceDN w:val="0"/>
              <w:adjustRightInd w:val="0"/>
              <w:jc w:val="left"/>
              <w:rPr>
                <w:rFonts w:hint="eastAsia" w:ascii="宋体" w:hAnsi="宋体"/>
                <w:kern w:val="0"/>
                <w:szCs w:val="21"/>
              </w:rPr>
            </w:pPr>
            <w:r>
              <w:rPr>
                <w:rFonts w:hint="eastAsia" w:ascii="宋体" w:hAnsi="宋体"/>
                <w:kern w:val="0"/>
                <w:szCs w:val="21"/>
              </w:rPr>
              <w:t>1）</w:t>
            </w:r>
            <w:r>
              <w:rPr>
                <w:rFonts w:ascii="宋体" w:hAnsi="宋体"/>
                <w:kern w:val="0"/>
                <w:szCs w:val="21"/>
              </w:rPr>
              <w:t>根据国家标准</w:t>
            </w:r>
            <w:r>
              <w:rPr>
                <w:rFonts w:ascii="宋体" w:hAnsi="宋体"/>
                <w:color w:val="000000"/>
                <w:kern w:val="0"/>
                <w:szCs w:val="21"/>
              </w:rPr>
              <w:t>《建筑抗震设计规范》G B 50011 - 2010规定的建筑形体规则</w:t>
            </w:r>
            <w:r>
              <w:rPr>
                <w:rFonts w:ascii="宋体" w:hAnsi="宋体"/>
                <w:kern w:val="0"/>
                <w:szCs w:val="21"/>
              </w:rPr>
              <w:t>性评分，建筑形体不规则，得3分；</w:t>
            </w:r>
          </w:p>
          <w:p>
            <w:pPr>
              <w:autoSpaceDE w:val="0"/>
              <w:autoSpaceDN w:val="0"/>
              <w:adjustRightInd w:val="0"/>
              <w:jc w:val="left"/>
              <w:rPr>
                <w:rFonts w:ascii="宋体" w:hAnsi="宋体"/>
                <w:kern w:val="0"/>
                <w:szCs w:val="21"/>
              </w:rPr>
            </w:pPr>
            <w:r>
              <w:rPr>
                <w:rFonts w:hint="eastAsia" w:ascii="宋体" w:hAnsi="宋体"/>
                <w:kern w:val="0"/>
                <w:szCs w:val="21"/>
              </w:rPr>
              <w:t>2）</w:t>
            </w:r>
            <w:r>
              <w:rPr>
                <w:rFonts w:ascii="宋体" w:hAnsi="宋体"/>
                <w:kern w:val="0"/>
                <w:szCs w:val="21"/>
              </w:rPr>
              <w:t>建筑形体规则，得9分。</w:t>
            </w:r>
          </w:p>
        </w:tc>
        <w:tc>
          <w:tcPr>
            <w:tcW w:w="844" w:type="dxa"/>
            <w:vAlign w:val="center"/>
          </w:tcPr>
          <w:p>
            <w:pPr>
              <w:jc w:val="center"/>
              <w:rPr>
                <w:rFonts w:ascii="宋体" w:hAnsi="宋体"/>
                <w:szCs w:val="21"/>
              </w:rPr>
            </w:pPr>
          </w:p>
        </w:tc>
        <w:tc>
          <w:tcPr>
            <w:tcW w:w="3260" w:type="dxa"/>
            <w:vAlign w:val="center"/>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7.2.2</w:t>
            </w:r>
          </w:p>
        </w:tc>
        <w:tc>
          <w:tcPr>
            <w:tcW w:w="3408" w:type="dxa"/>
            <w:vAlign w:val="top"/>
          </w:tcPr>
          <w:p>
            <w:pPr>
              <w:autoSpaceDE w:val="0"/>
              <w:autoSpaceDN w:val="0"/>
              <w:adjustRightInd w:val="0"/>
              <w:jc w:val="left"/>
              <w:rPr>
                <w:rFonts w:ascii="宋体" w:hAnsi="宋体"/>
                <w:kern w:val="0"/>
                <w:szCs w:val="21"/>
              </w:rPr>
            </w:pPr>
            <w:r>
              <w:rPr>
                <w:rFonts w:ascii="宋体" w:hAnsi="宋体"/>
                <w:kern w:val="0"/>
                <w:szCs w:val="21"/>
              </w:rPr>
              <w:t>对地基基础、结构体系、结构构件进行优化设计，达到节材效果，</w:t>
            </w:r>
            <w:r>
              <w:rPr>
                <w:rFonts w:hint="eastAsia" w:ascii="宋体" w:hAnsi="宋体"/>
                <w:kern w:val="0"/>
                <w:szCs w:val="21"/>
              </w:rPr>
              <w:t>总得</w:t>
            </w:r>
            <w:r>
              <w:rPr>
                <w:rFonts w:ascii="宋体" w:hAnsi="宋体"/>
                <w:kern w:val="0"/>
                <w:szCs w:val="21"/>
              </w:rPr>
              <w:t>分</w:t>
            </w:r>
            <w:r>
              <w:rPr>
                <w:rFonts w:hint="eastAsia" w:ascii="宋体" w:hAnsi="宋体"/>
                <w:kern w:val="0"/>
                <w:szCs w:val="21"/>
              </w:rPr>
              <w:t>：</w:t>
            </w:r>
            <w:r>
              <w:rPr>
                <w:rFonts w:ascii="宋体" w:hAnsi="宋体"/>
                <w:kern w:val="0"/>
                <w:szCs w:val="21"/>
              </w:rPr>
              <w:t>5分。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7.2.3</w:t>
            </w:r>
          </w:p>
        </w:tc>
        <w:tc>
          <w:tcPr>
            <w:tcW w:w="3408" w:type="dxa"/>
            <w:vAlign w:val="top"/>
          </w:tcPr>
          <w:p>
            <w:pPr>
              <w:autoSpaceDE w:val="0"/>
              <w:autoSpaceDN w:val="0"/>
              <w:adjustRightInd w:val="0"/>
              <w:jc w:val="left"/>
              <w:rPr>
                <w:rFonts w:ascii="宋体" w:hAnsi="宋体"/>
                <w:kern w:val="0"/>
                <w:szCs w:val="21"/>
              </w:rPr>
            </w:pPr>
            <w:r>
              <w:rPr>
                <w:rFonts w:ascii="宋体" w:hAnsi="宋体"/>
                <w:kern w:val="0"/>
                <w:szCs w:val="21"/>
              </w:rPr>
              <w:t>土建工程与装修工程一体化设计，评价总</w:t>
            </w:r>
            <w:r>
              <w:rPr>
                <w:rFonts w:hint="eastAsia" w:ascii="宋体" w:hAnsi="宋体"/>
                <w:kern w:val="0"/>
                <w:szCs w:val="21"/>
              </w:rPr>
              <w:t>得</w:t>
            </w:r>
            <w:r>
              <w:rPr>
                <w:rFonts w:ascii="宋体" w:hAnsi="宋体"/>
                <w:kern w:val="0"/>
                <w:szCs w:val="21"/>
              </w:rPr>
              <w:t>分</w:t>
            </w:r>
            <w:r>
              <w:rPr>
                <w:rFonts w:hint="eastAsia" w:ascii="宋体" w:hAnsi="宋体"/>
                <w:kern w:val="0"/>
                <w:szCs w:val="21"/>
              </w:rPr>
              <w:t>：</w:t>
            </w:r>
            <w:r>
              <w:rPr>
                <w:rFonts w:ascii="宋体" w:hAnsi="宋体"/>
                <w:kern w:val="0"/>
                <w:szCs w:val="21"/>
              </w:rPr>
              <w:t>10分</w:t>
            </w:r>
            <w:r>
              <w:rPr>
                <w:rFonts w:hint="eastAsia" w:ascii="宋体" w:hAnsi="宋体"/>
                <w:kern w:val="0"/>
                <w:szCs w:val="21"/>
              </w:rPr>
              <w:t>。</w:t>
            </w:r>
            <w:r>
              <w:rPr>
                <w:rFonts w:ascii="宋体" w:hAnsi="宋体"/>
                <w:kern w:val="0"/>
                <w:szCs w:val="21"/>
              </w:rPr>
              <w:t>并按下列规则评分：</w:t>
            </w:r>
          </w:p>
          <w:p>
            <w:pPr>
              <w:autoSpaceDE w:val="0"/>
              <w:autoSpaceDN w:val="0"/>
              <w:adjustRightInd w:val="0"/>
              <w:jc w:val="left"/>
              <w:rPr>
                <w:rFonts w:hint="eastAsia" w:ascii="宋体" w:hAnsi="宋体"/>
                <w:kern w:val="0"/>
                <w:szCs w:val="21"/>
              </w:rPr>
            </w:pPr>
            <w:r>
              <w:rPr>
                <w:rFonts w:hint="eastAsia" w:ascii="宋体" w:hAnsi="宋体"/>
                <w:kern w:val="0"/>
                <w:szCs w:val="21"/>
              </w:rPr>
              <w:t>1）</w:t>
            </w:r>
            <w:r>
              <w:rPr>
                <w:rFonts w:ascii="宋体" w:hAnsi="宋体"/>
                <w:kern w:val="0"/>
                <w:szCs w:val="21"/>
              </w:rPr>
              <w:t>公共建筑公共部位土建与装修一体化设计，得6分；</w:t>
            </w:r>
          </w:p>
          <w:p>
            <w:pPr>
              <w:autoSpaceDE w:val="0"/>
              <w:autoSpaceDN w:val="0"/>
              <w:adjustRightInd w:val="0"/>
              <w:jc w:val="left"/>
              <w:rPr>
                <w:rFonts w:ascii="宋体" w:hAnsi="宋体"/>
                <w:kern w:val="0"/>
                <w:szCs w:val="21"/>
              </w:rPr>
            </w:pPr>
            <w:r>
              <w:rPr>
                <w:rFonts w:hint="eastAsia" w:ascii="宋体" w:hAnsi="宋体"/>
                <w:kern w:val="0"/>
                <w:szCs w:val="21"/>
              </w:rPr>
              <w:t>2）</w:t>
            </w:r>
            <w:r>
              <w:rPr>
                <w:rFonts w:ascii="宋体" w:hAnsi="宋体"/>
                <w:kern w:val="0"/>
                <w:szCs w:val="21"/>
              </w:rPr>
              <w:t>所有部位均土建与装修一体化设计，得10分。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7.2.4</w:t>
            </w:r>
          </w:p>
        </w:tc>
        <w:tc>
          <w:tcPr>
            <w:tcW w:w="3408" w:type="dxa"/>
            <w:vAlign w:val="top"/>
          </w:tcPr>
          <w:p>
            <w:pPr>
              <w:jc w:val="left"/>
              <w:rPr>
                <w:rFonts w:ascii="宋体" w:hAnsi="宋体"/>
                <w:kern w:val="0"/>
                <w:szCs w:val="21"/>
              </w:rPr>
            </w:pPr>
            <w:r>
              <w:rPr>
                <w:rFonts w:ascii="宋体" w:hAnsi="宋体"/>
                <w:kern w:val="0"/>
                <w:szCs w:val="21"/>
              </w:rPr>
              <w:t>公共建筑中可变换功能的室内空间采用可重复使用的隔</w:t>
            </w:r>
            <w:r>
              <w:rPr>
                <w:rFonts w:hint="eastAsia" w:ascii="宋体" w:hAnsi="宋体"/>
                <w:kern w:val="0"/>
                <w:szCs w:val="21"/>
              </w:rPr>
              <w:t>断，</w:t>
            </w:r>
            <w:r>
              <w:rPr>
                <w:rFonts w:ascii="宋体" w:hAnsi="宋体"/>
                <w:kern w:val="0"/>
                <w:szCs w:val="21"/>
              </w:rPr>
              <w:t>总</w:t>
            </w:r>
            <w:r>
              <w:rPr>
                <w:rFonts w:hint="eastAsia" w:ascii="宋体" w:hAnsi="宋体"/>
                <w:kern w:val="0"/>
                <w:szCs w:val="21"/>
              </w:rPr>
              <w:t>得</w:t>
            </w:r>
            <w:r>
              <w:rPr>
                <w:rFonts w:ascii="宋体" w:hAnsi="宋体"/>
                <w:kern w:val="0"/>
                <w:szCs w:val="21"/>
              </w:rPr>
              <w:t>分</w:t>
            </w:r>
            <w:r>
              <w:rPr>
                <w:rFonts w:hint="eastAsia" w:ascii="宋体" w:hAnsi="宋体"/>
                <w:kern w:val="0"/>
                <w:szCs w:val="21"/>
              </w:rPr>
              <w:t>：5</w:t>
            </w:r>
            <w:r>
              <w:rPr>
                <w:rFonts w:ascii="宋体" w:hAnsi="宋体"/>
                <w:kern w:val="0"/>
                <w:szCs w:val="21"/>
              </w:rPr>
              <w:t>分</w:t>
            </w:r>
            <w:r>
              <w:rPr>
                <w:rFonts w:hint="eastAsia" w:ascii="宋体" w:hAnsi="宋体"/>
                <w:kern w:val="0"/>
                <w:szCs w:val="21"/>
              </w:rPr>
              <w:t>。</w:t>
            </w:r>
          </w:p>
          <w:p>
            <w:pPr>
              <w:jc w:val="left"/>
              <w:rPr>
                <w:rFonts w:ascii="宋体" w:hAnsi="宋体"/>
                <w:kern w:val="0"/>
                <w:szCs w:val="21"/>
              </w:rPr>
            </w:pPr>
            <w:r>
              <w:rPr>
                <w:rFonts w:ascii="宋体" w:hAnsi="宋体"/>
                <w:kern w:val="0"/>
                <w:szCs w:val="21"/>
              </w:rPr>
              <w:t>①可重复使用隔断比例不小于30% 但小于50% ，得3分；</w:t>
            </w:r>
          </w:p>
          <w:p>
            <w:pPr>
              <w:jc w:val="left"/>
              <w:rPr>
                <w:rFonts w:ascii="宋体" w:hAnsi="宋体"/>
                <w:kern w:val="0"/>
                <w:szCs w:val="21"/>
              </w:rPr>
            </w:pPr>
            <w:r>
              <w:rPr>
                <w:rFonts w:ascii="宋体" w:hAnsi="宋体"/>
                <w:kern w:val="0"/>
                <w:szCs w:val="21"/>
              </w:rPr>
              <w:t>②可重复使用隔断比例不小于50% 但小于80% ，得4分；</w:t>
            </w:r>
          </w:p>
          <w:p>
            <w:pPr>
              <w:jc w:val="left"/>
              <w:rPr>
                <w:rFonts w:ascii="宋体" w:hAnsi="宋体"/>
                <w:szCs w:val="21"/>
              </w:rPr>
            </w:pPr>
            <w:r>
              <w:rPr>
                <w:rFonts w:ascii="宋体" w:hAnsi="宋体"/>
                <w:kern w:val="0"/>
                <w:szCs w:val="21"/>
              </w:rPr>
              <w:t>③可重复使用隔断比例不小于80% ，得5分。</w:t>
            </w:r>
          </w:p>
        </w:tc>
        <w:tc>
          <w:tcPr>
            <w:tcW w:w="844" w:type="dxa"/>
            <w:vAlign w:val="center"/>
          </w:tcPr>
          <w:p>
            <w:pPr>
              <w:jc w:val="center"/>
              <w:rPr>
                <w:rFonts w:ascii="宋体" w:hAnsi="宋体"/>
                <w:szCs w:val="21"/>
              </w:rPr>
            </w:pPr>
          </w:p>
        </w:tc>
        <w:tc>
          <w:tcPr>
            <w:tcW w:w="3260" w:type="dxa"/>
            <w:vAlign w:val="center"/>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7.2.5</w:t>
            </w:r>
          </w:p>
        </w:tc>
        <w:tc>
          <w:tcPr>
            <w:tcW w:w="3408" w:type="dxa"/>
            <w:vAlign w:val="top"/>
          </w:tcPr>
          <w:p>
            <w:pPr>
              <w:jc w:val="left"/>
              <w:rPr>
                <w:rFonts w:ascii="宋体" w:hAnsi="宋体"/>
                <w:kern w:val="0"/>
                <w:szCs w:val="21"/>
              </w:rPr>
            </w:pPr>
            <w:r>
              <w:rPr>
                <w:rFonts w:ascii="宋体" w:hAnsi="宋体"/>
                <w:kern w:val="0"/>
                <w:szCs w:val="21"/>
              </w:rPr>
              <w:t>采用工厂化生产的建筑预制构、配件</w:t>
            </w:r>
            <w:r>
              <w:rPr>
                <w:rFonts w:hint="eastAsia" w:ascii="宋体" w:hAnsi="宋体"/>
                <w:kern w:val="0"/>
                <w:szCs w:val="21"/>
              </w:rPr>
              <w:t>，</w:t>
            </w:r>
            <w:r>
              <w:rPr>
                <w:rFonts w:ascii="宋体" w:hAnsi="宋体"/>
                <w:kern w:val="0"/>
                <w:szCs w:val="21"/>
              </w:rPr>
              <w:t>总</w:t>
            </w:r>
            <w:r>
              <w:rPr>
                <w:rFonts w:hint="eastAsia" w:ascii="宋体" w:hAnsi="宋体"/>
                <w:kern w:val="0"/>
                <w:szCs w:val="21"/>
              </w:rPr>
              <w:t>得</w:t>
            </w:r>
            <w:r>
              <w:rPr>
                <w:rFonts w:ascii="宋体" w:hAnsi="宋体"/>
                <w:kern w:val="0"/>
                <w:szCs w:val="21"/>
              </w:rPr>
              <w:t>分</w:t>
            </w:r>
            <w:r>
              <w:rPr>
                <w:rFonts w:hint="eastAsia" w:ascii="宋体" w:hAnsi="宋体"/>
                <w:kern w:val="0"/>
                <w:szCs w:val="21"/>
              </w:rPr>
              <w:t>：5</w:t>
            </w:r>
            <w:r>
              <w:rPr>
                <w:rFonts w:ascii="宋体" w:hAnsi="宋体"/>
                <w:kern w:val="0"/>
                <w:szCs w:val="21"/>
              </w:rPr>
              <w:t>分</w:t>
            </w:r>
            <w:r>
              <w:rPr>
                <w:rFonts w:hint="eastAsia" w:ascii="宋体" w:hAnsi="宋体"/>
                <w:kern w:val="0"/>
                <w:szCs w:val="21"/>
              </w:rPr>
              <w:t>，</w:t>
            </w:r>
            <w:r>
              <w:rPr>
                <w:rFonts w:ascii="宋体" w:hAnsi="宋体"/>
                <w:kern w:val="0"/>
                <w:szCs w:val="21"/>
              </w:rPr>
              <w:t>评分规则如下：</w:t>
            </w:r>
          </w:p>
          <w:p>
            <w:pPr>
              <w:jc w:val="left"/>
              <w:rPr>
                <w:rFonts w:ascii="宋体" w:hAnsi="宋体"/>
                <w:kern w:val="0"/>
                <w:szCs w:val="21"/>
              </w:rPr>
            </w:pPr>
            <w:r>
              <w:rPr>
                <w:rFonts w:ascii="宋体" w:hAnsi="宋体"/>
                <w:kern w:val="0"/>
                <w:szCs w:val="21"/>
              </w:rPr>
              <w:t>①预制装配率不小于15%，得3分；</w:t>
            </w:r>
          </w:p>
          <w:p>
            <w:pPr>
              <w:jc w:val="left"/>
              <w:rPr>
                <w:rFonts w:ascii="宋体" w:hAnsi="宋体"/>
                <w:kern w:val="0"/>
                <w:szCs w:val="21"/>
              </w:rPr>
            </w:pPr>
            <w:r>
              <w:rPr>
                <w:rFonts w:ascii="宋体" w:hAnsi="宋体"/>
                <w:kern w:val="0"/>
                <w:szCs w:val="21"/>
              </w:rPr>
              <w:t>②预制装配率不小于30%，得4分；</w:t>
            </w:r>
          </w:p>
          <w:p>
            <w:pPr>
              <w:jc w:val="left"/>
              <w:rPr>
                <w:rFonts w:ascii="宋体" w:hAnsi="宋体"/>
                <w:kern w:val="0"/>
                <w:szCs w:val="21"/>
              </w:rPr>
            </w:pPr>
            <w:r>
              <w:rPr>
                <w:rFonts w:ascii="宋体" w:hAnsi="宋体"/>
                <w:kern w:val="0"/>
                <w:szCs w:val="21"/>
              </w:rPr>
              <w:t>③预制装配率不小于50%，得5分。</w:t>
            </w:r>
          </w:p>
        </w:tc>
        <w:tc>
          <w:tcPr>
            <w:tcW w:w="844" w:type="dxa"/>
            <w:vAlign w:val="center"/>
          </w:tcPr>
          <w:p>
            <w:pPr>
              <w:jc w:val="center"/>
              <w:rPr>
                <w:rFonts w:hint="eastAsia" w:ascii="宋体" w:hAnsi="宋体"/>
                <w:szCs w:val="21"/>
              </w:rPr>
            </w:pPr>
          </w:p>
        </w:tc>
        <w:tc>
          <w:tcPr>
            <w:tcW w:w="3260"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7.2.6</w:t>
            </w:r>
          </w:p>
        </w:tc>
        <w:tc>
          <w:tcPr>
            <w:tcW w:w="3408" w:type="dxa"/>
            <w:vAlign w:val="center"/>
          </w:tcPr>
          <w:p>
            <w:pPr>
              <w:autoSpaceDE w:val="0"/>
              <w:autoSpaceDN w:val="0"/>
              <w:adjustRightInd w:val="0"/>
              <w:jc w:val="left"/>
              <w:rPr>
                <w:rFonts w:ascii="宋体" w:hAnsi="宋体"/>
                <w:kern w:val="0"/>
                <w:szCs w:val="21"/>
              </w:rPr>
            </w:pPr>
            <w:r>
              <w:rPr>
                <w:rFonts w:ascii="宋体" w:hAnsi="宋体"/>
                <w:kern w:val="0"/>
                <w:szCs w:val="21"/>
              </w:rPr>
              <w:t>采用整体化定型设计的厨房、卫浴间，总</w:t>
            </w:r>
            <w:r>
              <w:rPr>
                <w:rFonts w:hint="eastAsia" w:ascii="宋体" w:hAnsi="宋体"/>
                <w:kern w:val="0"/>
                <w:szCs w:val="21"/>
              </w:rPr>
              <w:t>得</w:t>
            </w:r>
            <w:r>
              <w:rPr>
                <w:rFonts w:ascii="宋体" w:hAnsi="宋体"/>
                <w:kern w:val="0"/>
                <w:szCs w:val="21"/>
              </w:rPr>
              <w:t>分</w:t>
            </w:r>
            <w:r>
              <w:rPr>
                <w:rFonts w:hint="eastAsia" w:ascii="宋体" w:hAnsi="宋体"/>
                <w:kern w:val="0"/>
                <w:szCs w:val="21"/>
              </w:rPr>
              <w:t>：6</w:t>
            </w:r>
            <w:r>
              <w:rPr>
                <w:rFonts w:ascii="宋体" w:hAnsi="宋体"/>
                <w:kern w:val="0"/>
                <w:szCs w:val="21"/>
              </w:rPr>
              <w:t>分，并按下列规则分别评分并累计：</w:t>
            </w:r>
          </w:p>
          <w:p>
            <w:pPr>
              <w:autoSpaceDE w:val="0"/>
              <w:autoSpaceDN w:val="0"/>
              <w:adjustRightInd w:val="0"/>
              <w:jc w:val="left"/>
              <w:rPr>
                <w:rFonts w:ascii="宋体" w:hAnsi="宋体"/>
                <w:kern w:val="0"/>
                <w:szCs w:val="21"/>
              </w:rPr>
            </w:pPr>
            <w:r>
              <w:rPr>
                <w:rFonts w:ascii="宋体" w:hAnsi="宋体"/>
                <w:kern w:val="0"/>
                <w:szCs w:val="21"/>
              </w:rPr>
              <w:t xml:space="preserve">1 </w:t>
            </w:r>
            <w:r>
              <w:rPr>
                <w:rFonts w:hint="eastAsia" w:ascii="宋体" w:hAnsi="宋体"/>
                <w:kern w:val="0"/>
                <w:szCs w:val="21"/>
              </w:rPr>
              <w:t>）</w:t>
            </w:r>
            <w:r>
              <w:rPr>
                <w:rFonts w:ascii="宋体" w:hAnsi="宋体"/>
                <w:kern w:val="0"/>
                <w:szCs w:val="21"/>
              </w:rPr>
              <w:t>采用整体化定型设计的厨房，得3分；</w:t>
            </w:r>
          </w:p>
          <w:p>
            <w:pPr>
              <w:autoSpaceDE w:val="0"/>
              <w:autoSpaceDN w:val="0"/>
              <w:adjustRightInd w:val="0"/>
              <w:jc w:val="left"/>
              <w:rPr>
                <w:rFonts w:ascii="宋体" w:hAnsi="宋体"/>
                <w:kern w:val="0"/>
                <w:szCs w:val="21"/>
              </w:rPr>
            </w:pPr>
            <w:r>
              <w:rPr>
                <w:rFonts w:hint="eastAsia" w:ascii="宋体" w:hAnsi="宋体"/>
                <w:kern w:val="0"/>
                <w:szCs w:val="21"/>
              </w:rPr>
              <w:t>2</w:t>
            </w:r>
            <w:r>
              <w:rPr>
                <w:rFonts w:hint="eastAsia" w:ascii="宋体" w:hAnsi="宋体"/>
                <w:b/>
                <w:bCs/>
                <w:kern w:val="0"/>
                <w:szCs w:val="21"/>
              </w:rPr>
              <w:t xml:space="preserve"> ）</w:t>
            </w:r>
            <w:r>
              <w:rPr>
                <w:rFonts w:ascii="宋体" w:hAnsi="宋体"/>
                <w:kern w:val="0"/>
                <w:szCs w:val="21"/>
              </w:rPr>
              <w:t>采用整体化定型设计的卫浴间，得3分</w:t>
            </w:r>
          </w:p>
        </w:tc>
        <w:tc>
          <w:tcPr>
            <w:tcW w:w="844" w:type="dxa"/>
            <w:vAlign w:val="center"/>
          </w:tcPr>
          <w:p>
            <w:pPr>
              <w:jc w:val="center"/>
              <w:rPr>
                <w:rFonts w:hint="eastAsia" w:ascii="宋体" w:hAnsi="宋体"/>
                <w:color w:val="FF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7.2.7</w:t>
            </w:r>
          </w:p>
        </w:tc>
        <w:tc>
          <w:tcPr>
            <w:tcW w:w="3408" w:type="dxa"/>
            <w:vAlign w:val="top"/>
          </w:tcPr>
          <w:p>
            <w:pPr>
              <w:autoSpaceDE w:val="0"/>
              <w:autoSpaceDN w:val="0"/>
              <w:adjustRightInd w:val="0"/>
              <w:jc w:val="left"/>
              <w:rPr>
                <w:rFonts w:ascii="宋体" w:hAnsi="宋体"/>
                <w:kern w:val="0"/>
                <w:szCs w:val="21"/>
              </w:rPr>
            </w:pPr>
            <w:r>
              <w:rPr>
                <w:rFonts w:ascii="宋体" w:hAnsi="宋体"/>
                <w:kern w:val="0"/>
                <w:szCs w:val="21"/>
              </w:rPr>
              <w:t>选用本地化生产的建筑材料</w:t>
            </w:r>
            <w:r>
              <w:rPr>
                <w:rFonts w:hint="eastAsia" w:ascii="宋体" w:hAnsi="宋体"/>
                <w:kern w:val="0"/>
                <w:szCs w:val="21"/>
              </w:rPr>
              <w:t>，</w:t>
            </w:r>
            <w:r>
              <w:rPr>
                <w:rFonts w:ascii="宋体" w:hAnsi="宋体"/>
                <w:kern w:val="0"/>
                <w:szCs w:val="21"/>
              </w:rPr>
              <w:t>总</w:t>
            </w:r>
            <w:r>
              <w:rPr>
                <w:rFonts w:hint="eastAsia" w:ascii="宋体" w:hAnsi="宋体"/>
                <w:kern w:val="0"/>
                <w:szCs w:val="21"/>
              </w:rPr>
              <w:t>得</w:t>
            </w:r>
            <w:r>
              <w:rPr>
                <w:rFonts w:ascii="宋体" w:hAnsi="宋体"/>
                <w:kern w:val="0"/>
                <w:szCs w:val="21"/>
              </w:rPr>
              <w:t>分</w:t>
            </w:r>
            <w:r>
              <w:rPr>
                <w:rFonts w:hint="eastAsia" w:ascii="宋体" w:hAnsi="宋体"/>
                <w:kern w:val="0"/>
                <w:szCs w:val="21"/>
              </w:rPr>
              <w:t>：10</w:t>
            </w:r>
            <w:r>
              <w:rPr>
                <w:rFonts w:ascii="宋体" w:hAnsi="宋体"/>
                <w:kern w:val="0"/>
                <w:szCs w:val="21"/>
              </w:rPr>
              <w:t>分</w:t>
            </w:r>
            <w:r>
              <w:rPr>
                <w:rFonts w:hint="eastAsia" w:ascii="宋体" w:hAnsi="宋体"/>
                <w:kern w:val="0"/>
                <w:szCs w:val="21"/>
              </w:rPr>
              <w:t>。</w:t>
            </w:r>
          </w:p>
          <w:p>
            <w:pPr>
              <w:autoSpaceDE w:val="0"/>
              <w:autoSpaceDN w:val="0"/>
              <w:adjustRightInd w:val="0"/>
              <w:jc w:val="left"/>
              <w:rPr>
                <w:rFonts w:ascii="宋体" w:hAnsi="宋体"/>
                <w:kern w:val="0"/>
                <w:szCs w:val="21"/>
              </w:rPr>
            </w:pPr>
            <w:r>
              <w:rPr>
                <w:rFonts w:ascii="宋体" w:hAnsi="宋体"/>
                <w:kern w:val="0"/>
                <w:szCs w:val="21"/>
              </w:rPr>
              <w:t>①施工现场500km以内生产的建筑材料重量占建筑材料总重量的60％以上，得6分；</w:t>
            </w:r>
          </w:p>
          <w:p>
            <w:pPr>
              <w:autoSpaceDE w:val="0"/>
              <w:autoSpaceDN w:val="0"/>
              <w:adjustRightInd w:val="0"/>
              <w:jc w:val="left"/>
              <w:rPr>
                <w:rFonts w:ascii="宋体" w:hAnsi="宋体"/>
                <w:kern w:val="0"/>
                <w:szCs w:val="21"/>
              </w:rPr>
            </w:pPr>
            <w:r>
              <w:rPr>
                <w:rFonts w:ascii="宋体" w:hAnsi="宋体"/>
                <w:kern w:val="0"/>
                <w:szCs w:val="21"/>
              </w:rPr>
              <w:t>②施工现场500km以内生产的建筑材料重量占建筑材料总重量的70％以上，得8分；</w:t>
            </w:r>
          </w:p>
          <w:p>
            <w:pPr>
              <w:autoSpaceDE w:val="0"/>
              <w:autoSpaceDN w:val="0"/>
              <w:adjustRightInd w:val="0"/>
              <w:jc w:val="left"/>
              <w:rPr>
                <w:rFonts w:ascii="宋体" w:hAnsi="宋体"/>
                <w:kern w:val="0"/>
                <w:szCs w:val="21"/>
              </w:rPr>
            </w:pPr>
            <w:r>
              <w:rPr>
                <w:rFonts w:ascii="宋体" w:hAnsi="宋体"/>
                <w:kern w:val="0"/>
                <w:szCs w:val="21"/>
              </w:rPr>
              <w:t>③施工现场500km以内生产的建筑材料重量占建筑材料总重量的90％以上，得10分。</w:t>
            </w:r>
          </w:p>
        </w:tc>
        <w:tc>
          <w:tcPr>
            <w:tcW w:w="844" w:type="dxa"/>
            <w:vAlign w:val="center"/>
          </w:tcPr>
          <w:p>
            <w:pPr>
              <w:jc w:val="center"/>
              <w:rPr>
                <w:rFonts w:ascii="宋体" w:hAnsi="宋体"/>
                <w:szCs w:val="21"/>
              </w:rPr>
            </w:pPr>
          </w:p>
        </w:tc>
        <w:tc>
          <w:tcPr>
            <w:tcW w:w="3260" w:type="dxa"/>
            <w:vAlign w:val="center"/>
          </w:tcPr>
          <w:p>
            <w:pPr>
              <w:autoSpaceDE w:val="0"/>
              <w:autoSpaceDN w:val="0"/>
              <w:adjustRightInd w:val="0"/>
              <w:ind w:left="210" w:hanging="210" w:hangingChars="1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7.2.8</w:t>
            </w:r>
          </w:p>
        </w:tc>
        <w:tc>
          <w:tcPr>
            <w:tcW w:w="3408" w:type="dxa"/>
            <w:vAlign w:val="top"/>
          </w:tcPr>
          <w:p>
            <w:pPr>
              <w:autoSpaceDE w:val="0"/>
              <w:autoSpaceDN w:val="0"/>
              <w:adjustRightInd w:val="0"/>
              <w:rPr>
                <w:rFonts w:ascii="宋体" w:hAnsi="宋体"/>
                <w:kern w:val="0"/>
                <w:szCs w:val="21"/>
              </w:rPr>
            </w:pPr>
            <w:r>
              <w:rPr>
                <w:rFonts w:ascii="宋体" w:hAnsi="宋体"/>
                <w:kern w:val="0"/>
                <w:szCs w:val="21"/>
              </w:rPr>
              <w:t>现浇混凝土采用预拌混凝土</w:t>
            </w:r>
            <w:r>
              <w:rPr>
                <w:rFonts w:hint="eastAsia" w:ascii="宋体" w:hAnsi="宋体"/>
                <w:kern w:val="0"/>
                <w:szCs w:val="21"/>
              </w:rPr>
              <w:t>，</w:t>
            </w:r>
            <w:r>
              <w:rPr>
                <w:rFonts w:ascii="宋体" w:hAnsi="宋体"/>
                <w:kern w:val="0"/>
                <w:szCs w:val="21"/>
              </w:rPr>
              <w:t>总</w:t>
            </w:r>
            <w:r>
              <w:rPr>
                <w:rFonts w:hint="eastAsia" w:ascii="宋体" w:hAnsi="宋体"/>
                <w:kern w:val="0"/>
                <w:szCs w:val="21"/>
              </w:rPr>
              <w:t>得</w:t>
            </w:r>
            <w:r>
              <w:rPr>
                <w:rFonts w:ascii="宋体" w:hAnsi="宋体"/>
                <w:kern w:val="0"/>
                <w:szCs w:val="21"/>
              </w:rPr>
              <w:t>分</w:t>
            </w:r>
            <w:r>
              <w:rPr>
                <w:rFonts w:hint="eastAsia" w:ascii="宋体" w:hAnsi="宋体"/>
                <w:kern w:val="0"/>
                <w:szCs w:val="21"/>
              </w:rPr>
              <w:t>：10</w:t>
            </w:r>
            <w:r>
              <w:rPr>
                <w:rFonts w:ascii="宋体" w:hAnsi="宋体"/>
                <w:kern w:val="0"/>
                <w:szCs w:val="21"/>
              </w:rPr>
              <w:t>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7.2.9</w:t>
            </w:r>
          </w:p>
        </w:tc>
        <w:tc>
          <w:tcPr>
            <w:tcW w:w="3408" w:type="dxa"/>
            <w:vAlign w:val="top"/>
          </w:tcPr>
          <w:p>
            <w:pPr>
              <w:jc w:val="left"/>
              <w:rPr>
                <w:rFonts w:ascii="宋体" w:hAnsi="宋体"/>
                <w:color w:val="000000"/>
                <w:kern w:val="0"/>
                <w:szCs w:val="21"/>
              </w:rPr>
            </w:pPr>
            <w:r>
              <w:rPr>
                <w:rFonts w:ascii="宋体" w:hAnsi="宋体"/>
                <w:color w:val="000000"/>
                <w:kern w:val="0"/>
                <w:szCs w:val="21"/>
              </w:rPr>
              <w:t>建筑砂浆采用预拌砂浆</w:t>
            </w:r>
            <w:r>
              <w:rPr>
                <w:rFonts w:hint="eastAsia" w:ascii="宋体" w:hAnsi="宋体"/>
                <w:color w:val="000000"/>
                <w:kern w:val="0"/>
                <w:szCs w:val="21"/>
              </w:rPr>
              <w:t>，</w:t>
            </w:r>
            <w:r>
              <w:rPr>
                <w:rFonts w:ascii="宋体" w:hAnsi="宋体"/>
                <w:kern w:val="0"/>
                <w:szCs w:val="21"/>
              </w:rPr>
              <w:t>总</w:t>
            </w:r>
            <w:r>
              <w:rPr>
                <w:rFonts w:hint="eastAsia" w:ascii="宋体" w:hAnsi="宋体"/>
                <w:kern w:val="0"/>
                <w:szCs w:val="21"/>
              </w:rPr>
              <w:t>得</w:t>
            </w:r>
            <w:r>
              <w:rPr>
                <w:rFonts w:ascii="宋体" w:hAnsi="宋体"/>
                <w:kern w:val="0"/>
                <w:szCs w:val="21"/>
              </w:rPr>
              <w:t>分</w:t>
            </w:r>
            <w:r>
              <w:rPr>
                <w:rFonts w:hint="eastAsia" w:ascii="宋体" w:hAnsi="宋体"/>
                <w:kern w:val="0"/>
                <w:szCs w:val="21"/>
              </w:rPr>
              <w:t>：5</w:t>
            </w:r>
            <w:r>
              <w:rPr>
                <w:rFonts w:ascii="宋体" w:hAnsi="宋体"/>
                <w:kern w:val="0"/>
                <w:szCs w:val="21"/>
              </w:rPr>
              <w:t>分</w:t>
            </w:r>
            <w:r>
              <w:rPr>
                <w:rFonts w:hint="eastAsia" w:ascii="宋体" w:hAnsi="宋体"/>
                <w:kern w:val="0"/>
                <w:szCs w:val="21"/>
              </w:rPr>
              <w:t>。</w:t>
            </w:r>
          </w:p>
          <w:p>
            <w:pPr>
              <w:jc w:val="left"/>
              <w:rPr>
                <w:rFonts w:ascii="宋体" w:hAnsi="宋体"/>
                <w:color w:val="000000"/>
                <w:kern w:val="0"/>
                <w:szCs w:val="21"/>
              </w:rPr>
            </w:pPr>
            <w:r>
              <w:rPr>
                <w:rFonts w:ascii="宋体" w:hAnsi="宋体"/>
                <w:color w:val="000000"/>
                <w:kern w:val="0"/>
                <w:szCs w:val="21"/>
              </w:rPr>
              <w:fldChar w:fldCharType="begin"/>
            </w:r>
            <w:r>
              <w:rPr>
                <w:rFonts w:ascii="宋体" w:hAnsi="宋体"/>
                <w:color w:val="000000"/>
                <w:kern w:val="0"/>
                <w:szCs w:val="21"/>
              </w:rPr>
              <w:instrText xml:space="preserve"> = 1 \* GB3 </w:instrText>
            </w:r>
            <w:r>
              <w:rPr>
                <w:rFonts w:ascii="宋体" w:hAnsi="宋体"/>
                <w:color w:val="000000"/>
                <w:kern w:val="0"/>
                <w:szCs w:val="21"/>
              </w:rPr>
              <w:fldChar w:fldCharType="separate"/>
            </w:r>
            <w:r>
              <w:rPr>
                <w:rFonts w:ascii="宋体" w:hAnsi="宋体"/>
                <w:color w:val="000000"/>
                <w:kern w:val="0"/>
                <w:szCs w:val="21"/>
              </w:rPr>
              <w:t>①</w:t>
            </w:r>
            <w:r>
              <w:rPr>
                <w:rFonts w:ascii="宋体" w:hAnsi="宋体"/>
                <w:color w:val="000000"/>
                <w:kern w:val="0"/>
                <w:szCs w:val="21"/>
              </w:rPr>
              <w:fldChar w:fldCharType="end"/>
            </w:r>
            <w:r>
              <w:rPr>
                <w:rFonts w:ascii="宋体" w:hAnsi="宋体"/>
                <w:color w:val="000000"/>
                <w:kern w:val="0"/>
                <w:szCs w:val="21"/>
              </w:rPr>
              <w:t>不少于50%的砂浆采用预拌砂浆，得3分</w:t>
            </w:r>
          </w:p>
          <w:p>
            <w:pPr>
              <w:jc w:val="left"/>
              <w:rPr>
                <w:rFonts w:ascii="宋体" w:hAnsi="宋体"/>
                <w:color w:val="FF0000"/>
                <w:kern w:val="0"/>
                <w:szCs w:val="21"/>
              </w:rPr>
            </w:pPr>
            <w:r>
              <w:rPr>
                <w:rFonts w:ascii="宋体" w:hAnsi="宋体"/>
                <w:color w:val="000000"/>
                <w:kern w:val="0"/>
                <w:szCs w:val="21"/>
              </w:rPr>
              <w:fldChar w:fldCharType="begin"/>
            </w:r>
            <w:r>
              <w:rPr>
                <w:rFonts w:ascii="宋体" w:hAnsi="宋体"/>
                <w:color w:val="000000"/>
                <w:kern w:val="0"/>
                <w:szCs w:val="21"/>
              </w:rPr>
              <w:instrText xml:space="preserve"> = 2 \* GB3 </w:instrText>
            </w:r>
            <w:r>
              <w:rPr>
                <w:rFonts w:ascii="宋体" w:hAnsi="宋体"/>
                <w:color w:val="000000"/>
                <w:kern w:val="0"/>
                <w:szCs w:val="21"/>
              </w:rPr>
              <w:fldChar w:fldCharType="separate"/>
            </w:r>
            <w:r>
              <w:rPr>
                <w:rFonts w:ascii="宋体" w:hAnsi="宋体"/>
                <w:color w:val="000000"/>
                <w:kern w:val="0"/>
                <w:szCs w:val="21"/>
              </w:rPr>
              <w:t>②</w:t>
            </w:r>
            <w:r>
              <w:rPr>
                <w:rFonts w:ascii="宋体" w:hAnsi="宋体"/>
                <w:color w:val="000000"/>
                <w:kern w:val="0"/>
                <w:szCs w:val="21"/>
              </w:rPr>
              <w:fldChar w:fldCharType="end"/>
            </w:r>
            <w:r>
              <w:rPr>
                <w:rFonts w:ascii="宋体" w:hAnsi="宋体"/>
                <w:color w:val="000000"/>
                <w:kern w:val="0"/>
                <w:szCs w:val="21"/>
              </w:rPr>
              <w:t>砂浆全部采用预拌砂浆，得5分。</w:t>
            </w:r>
          </w:p>
        </w:tc>
        <w:tc>
          <w:tcPr>
            <w:tcW w:w="844" w:type="dxa"/>
            <w:vAlign w:val="center"/>
          </w:tcPr>
          <w:p>
            <w:pPr>
              <w:jc w:val="center"/>
              <w:rPr>
                <w:rFonts w:ascii="宋体" w:hAnsi="宋体"/>
                <w:color w:val="FF0000"/>
                <w:szCs w:val="21"/>
              </w:rPr>
            </w:pPr>
          </w:p>
        </w:tc>
        <w:tc>
          <w:tcPr>
            <w:tcW w:w="3260" w:type="dxa"/>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7.2.10</w:t>
            </w:r>
          </w:p>
        </w:tc>
        <w:tc>
          <w:tcPr>
            <w:tcW w:w="3408" w:type="dxa"/>
            <w:vAlign w:val="top"/>
          </w:tcPr>
          <w:p>
            <w:pPr>
              <w:jc w:val="left"/>
              <w:rPr>
                <w:rFonts w:ascii="宋体" w:hAnsi="宋体"/>
                <w:kern w:val="0"/>
                <w:szCs w:val="21"/>
              </w:rPr>
            </w:pPr>
            <w:r>
              <w:rPr>
                <w:rFonts w:ascii="宋体" w:hAnsi="宋体"/>
                <w:kern w:val="0"/>
                <w:szCs w:val="21"/>
              </w:rPr>
              <w:t>合理采用高强建筑结构材料</w:t>
            </w:r>
            <w:r>
              <w:rPr>
                <w:rFonts w:hint="eastAsia" w:ascii="宋体" w:hAnsi="宋体"/>
                <w:kern w:val="0"/>
                <w:szCs w:val="21"/>
              </w:rPr>
              <w:t>，</w:t>
            </w:r>
            <w:r>
              <w:rPr>
                <w:rFonts w:ascii="宋体" w:hAnsi="宋体"/>
                <w:kern w:val="0"/>
                <w:szCs w:val="21"/>
              </w:rPr>
              <w:t>总</w:t>
            </w:r>
            <w:r>
              <w:rPr>
                <w:rFonts w:hint="eastAsia" w:ascii="宋体" w:hAnsi="宋体"/>
                <w:kern w:val="0"/>
                <w:szCs w:val="21"/>
              </w:rPr>
              <w:t>得</w:t>
            </w:r>
            <w:r>
              <w:rPr>
                <w:rFonts w:ascii="宋体" w:hAnsi="宋体"/>
                <w:kern w:val="0"/>
                <w:szCs w:val="21"/>
              </w:rPr>
              <w:t>分</w:t>
            </w:r>
            <w:r>
              <w:rPr>
                <w:rFonts w:hint="eastAsia" w:ascii="宋体" w:hAnsi="宋体"/>
                <w:kern w:val="0"/>
                <w:szCs w:val="21"/>
              </w:rPr>
              <w:t>：10</w:t>
            </w:r>
            <w:r>
              <w:rPr>
                <w:rFonts w:ascii="宋体" w:hAnsi="宋体"/>
                <w:kern w:val="0"/>
                <w:szCs w:val="21"/>
              </w:rPr>
              <w:t>分</w:t>
            </w:r>
            <w:r>
              <w:rPr>
                <w:rFonts w:hint="eastAsia" w:ascii="宋体" w:hAnsi="宋体"/>
                <w:kern w:val="0"/>
                <w:szCs w:val="21"/>
              </w:rPr>
              <w:t>，</w:t>
            </w:r>
            <w:r>
              <w:rPr>
                <w:rFonts w:ascii="宋体" w:hAnsi="宋体"/>
                <w:kern w:val="0"/>
                <w:szCs w:val="21"/>
              </w:rPr>
              <w:t>评分规则如下：</w:t>
            </w:r>
          </w:p>
          <w:p>
            <w:pPr>
              <w:jc w:val="left"/>
              <w:rPr>
                <w:rFonts w:ascii="宋体" w:hAnsi="宋体"/>
                <w:kern w:val="0"/>
                <w:szCs w:val="21"/>
              </w:rPr>
            </w:pPr>
            <w:r>
              <w:rPr>
                <w:rFonts w:hint="eastAsia" w:ascii="宋体" w:hAnsi="宋体"/>
                <w:kern w:val="0"/>
                <w:szCs w:val="21"/>
              </w:rPr>
              <w:t>1）</w:t>
            </w:r>
            <w:r>
              <w:rPr>
                <w:rFonts w:ascii="宋体" w:hAnsi="宋体"/>
                <w:kern w:val="0"/>
                <w:szCs w:val="21"/>
              </w:rPr>
              <w:t>钢筋混凝土结构</w:t>
            </w:r>
          </w:p>
          <w:p>
            <w:pPr>
              <w:jc w:val="left"/>
              <w:rPr>
                <w:rFonts w:hint="eastAsia" w:ascii="宋体" w:hAnsi="宋体"/>
                <w:kern w:val="0"/>
                <w:szCs w:val="21"/>
              </w:rPr>
            </w:pPr>
            <w:r>
              <w:rPr>
                <w:rFonts w:hint="eastAsia" w:ascii="宋体" w:hAnsi="宋体"/>
                <w:kern w:val="0"/>
                <w:szCs w:val="21"/>
              </w:rPr>
              <w:t>①-1</w:t>
            </w:r>
            <w:r>
              <w:rPr>
                <w:rFonts w:ascii="宋体" w:hAnsi="宋体"/>
                <w:kern w:val="0"/>
                <w:szCs w:val="21"/>
              </w:rPr>
              <w:t>受力普通钢筋使用不低于400MPa级钢筋占受力普通钢筋总量的30％以上，得4分；</w:t>
            </w:r>
            <w:r>
              <w:rPr>
                <w:rFonts w:hint="eastAsia" w:ascii="宋体" w:hAnsi="宋体"/>
                <w:kern w:val="0"/>
                <w:szCs w:val="21"/>
              </w:rPr>
              <w:t xml:space="preserve"> </w:t>
            </w:r>
          </w:p>
          <w:p>
            <w:pPr>
              <w:jc w:val="left"/>
              <w:rPr>
                <w:rFonts w:ascii="宋体" w:hAnsi="宋体"/>
                <w:kern w:val="0"/>
                <w:szCs w:val="21"/>
              </w:rPr>
            </w:pPr>
            <w:r>
              <w:rPr>
                <w:rFonts w:hint="eastAsia" w:ascii="宋体" w:hAnsi="宋体"/>
                <w:kern w:val="0"/>
                <w:szCs w:val="21"/>
              </w:rPr>
              <w:t>①-2</w:t>
            </w:r>
            <w:r>
              <w:rPr>
                <w:rFonts w:ascii="宋体" w:hAnsi="宋体"/>
                <w:kern w:val="0"/>
                <w:szCs w:val="21"/>
              </w:rPr>
              <w:t>受力普通钢筋使用不低于400MPa级钢筋占受力普通钢筋总量的50％以上，得6分；</w:t>
            </w:r>
          </w:p>
          <w:p>
            <w:pPr>
              <w:jc w:val="left"/>
              <w:rPr>
                <w:rFonts w:ascii="宋体" w:hAnsi="宋体"/>
                <w:kern w:val="0"/>
                <w:szCs w:val="21"/>
              </w:rPr>
            </w:pPr>
            <w:r>
              <w:rPr>
                <w:rFonts w:hint="eastAsia" w:ascii="宋体" w:hAnsi="宋体"/>
                <w:kern w:val="0"/>
                <w:szCs w:val="21"/>
              </w:rPr>
              <w:t>①-3</w:t>
            </w:r>
            <w:r>
              <w:rPr>
                <w:rFonts w:ascii="宋体" w:hAnsi="宋体"/>
                <w:kern w:val="0"/>
                <w:szCs w:val="21"/>
              </w:rPr>
              <w:t>受力普通钢筋使用不低于400MPa级钢筋占受力普通钢筋总量的70％以上，得8分；</w:t>
            </w:r>
          </w:p>
          <w:p>
            <w:pPr>
              <w:jc w:val="left"/>
              <w:rPr>
                <w:rFonts w:ascii="宋体" w:hAnsi="宋体"/>
                <w:kern w:val="0"/>
                <w:szCs w:val="21"/>
              </w:rPr>
            </w:pPr>
            <w:r>
              <w:rPr>
                <w:rFonts w:hint="eastAsia" w:ascii="宋体" w:hAnsi="宋体"/>
                <w:kern w:val="0"/>
                <w:szCs w:val="21"/>
              </w:rPr>
              <w:t>①-4</w:t>
            </w:r>
            <w:r>
              <w:rPr>
                <w:rFonts w:ascii="宋体" w:hAnsi="宋体"/>
                <w:kern w:val="0"/>
                <w:szCs w:val="21"/>
              </w:rPr>
              <w:t>受力普通钢筋使用不低于400MPa级钢筋占受力普通钢筋总量的85％以上，得10分。</w:t>
            </w:r>
          </w:p>
          <w:p>
            <w:pPr>
              <w:jc w:val="left"/>
              <w:rPr>
                <w:rFonts w:hint="eastAsia" w:ascii="宋体" w:hAnsi="宋体"/>
                <w:kern w:val="0"/>
                <w:szCs w:val="21"/>
              </w:rPr>
            </w:pPr>
            <w:r>
              <w:rPr>
                <w:rFonts w:hint="eastAsia" w:ascii="宋体" w:hAnsi="宋体"/>
                <w:kern w:val="0"/>
                <w:szCs w:val="21"/>
              </w:rPr>
              <w:t>②</w:t>
            </w:r>
            <w:r>
              <w:rPr>
                <w:rFonts w:ascii="宋体" w:hAnsi="宋体"/>
                <w:kern w:val="0"/>
                <w:szCs w:val="21"/>
              </w:rPr>
              <w:t>混凝土竖向承重结构采用强度等级不小于C50混凝土用量占竖向承重结构中混凝土总量的比例超过50％，得10分。</w:t>
            </w:r>
          </w:p>
          <w:p>
            <w:pPr>
              <w:jc w:val="left"/>
              <w:rPr>
                <w:rFonts w:hint="eastAsia" w:ascii="宋体" w:hAnsi="宋体"/>
                <w:kern w:val="0"/>
                <w:szCs w:val="21"/>
              </w:rPr>
            </w:pPr>
            <w:r>
              <w:rPr>
                <w:rFonts w:hint="eastAsia" w:ascii="宋体" w:hAnsi="宋体"/>
                <w:kern w:val="0"/>
                <w:szCs w:val="21"/>
              </w:rPr>
              <w:t>2）钢结构</w:t>
            </w:r>
          </w:p>
          <w:p>
            <w:pPr>
              <w:jc w:val="left"/>
              <w:rPr>
                <w:rFonts w:hint="eastAsia" w:ascii="宋体" w:hAnsi="宋体"/>
                <w:kern w:val="0"/>
                <w:szCs w:val="21"/>
              </w:rPr>
            </w:pPr>
            <w:r>
              <w:rPr>
                <w:rFonts w:hint="eastAsia" w:ascii="宋体" w:hAnsi="宋体"/>
                <w:kern w:val="0"/>
                <w:szCs w:val="21"/>
              </w:rPr>
              <w:t>Q345及以上高强度钢材占总量比例达50%，得8</w:t>
            </w:r>
          </w:p>
          <w:p>
            <w:pPr>
              <w:jc w:val="left"/>
              <w:rPr>
                <w:rFonts w:hint="eastAsia" w:ascii="宋体" w:hAnsi="宋体"/>
                <w:kern w:val="0"/>
                <w:szCs w:val="21"/>
              </w:rPr>
            </w:pPr>
            <w:r>
              <w:rPr>
                <w:rFonts w:hint="eastAsia" w:ascii="宋体" w:hAnsi="宋体"/>
                <w:kern w:val="0"/>
                <w:szCs w:val="21"/>
              </w:rPr>
              <w:t>分；达到70%，得10分。</w:t>
            </w:r>
          </w:p>
          <w:p>
            <w:pPr>
              <w:jc w:val="left"/>
              <w:rPr>
                <w:rFonts w:hint="eastAsia" w:ascii="宋体" w:hAnsi="宋体"/>
                <w:kern w:val="0"/>
                <w:szCs w:val="21"/>
              </w:rPr>
            </w:pPr>
            <w:r>
              <w:rPr>
                <w:rFonts w:hint="eastAsia" w:ascii="宋体" w:hAnsi="宋体"/>
                <w:kern w:val="0"/>
                <w:szCs w:val="21"/>
              </w:rPr>
              <w:t>3）混合结构</w:t>
            </w:r>
          </w:p>
          <w:p>
            <w:pPr>
              <w:jc w:val="left"/>
              <w:rPr>
                <w:rFonts w:ascii="宋体" w:hAnsi="宋体"/>
                <w:kern w:val="0"/>
                <w:szCs w:val="21"/>
              </w:rPr>
            </w:pPr>
            <w:r>
              <w:rPr>
                <w:rFonts w:hint="eastAsia" w:ascii="宋体" w:hAnsi="宋体"/>
                <w:kern w:val="0"/>
                <w:szCs w:val="21"/>
              </w:rPr>
              <w:t>对其混凝土结构部分和钢结构部分，分别按照第1款和第2款进行评价，得分取平均值。</w:t>
            </w:r>
          </w:p>
        </w:tc>
        <w:tc>
          <w:tcPr>
            <w:tcW w:w="844" w:type="dxa"/>
            <w:vAlign w:val="center"/>
          </w:tcPr>
          <w:p>
            <w:pPr>
              <w:jc w:val="center"/>
              <w:rPr>
                <w:rFonts w:ascii="宋体" w:hAnsi="宋体"/>
                <w:szCs w:val="21"/>
              </w:rPr>
            </w:pPr>
          </w:p>
        </w:tc>
        <w:tc>
          <w:tcPr>
            <w:tcW w:w="3260" w:type="dxa"/>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7.2.11</w:t>
            </w:r>
          </w:p>
        </w:tc>
        <w:tc>
          <w:tcPr>
            <w:tcW w:w="3408" w:type="dxa"/>
            <w:vAlign w:val="top"/>
          </w:tcPr>
          <w:p>
            <w:pPr>
              <w:autoSpaceDE w:val="0"/>
              <w:autoSpaceDN w:val="0"/>
              <w:adjustRightInd w:val="0"/>
              <w:jc w:val="left"/>
              <w:rPr>
                <w:rFonts w:ascii="宋体" w:hAnsi="宋体"/>
                <w:color w:val="000000"/>
                <w:kern w:val="0"/>
                <w:szCs w:val="21"/>
              </w:rPr>
            </w:pPr>
            <w:r>
              <w:rPr>
                <w:rFonts w:ascii="宋体" w:hAnsi="宋体"/>
                <w:color w:val="000000"/>
                <w:kern w:val="0"/>
                <w:szCs w:val="21"/>
              </w:rPr>
              <w:t>合理采用高耐久性建筑结构材料，</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w:t>
            </w:r>
            <w:r>
              <w:rPr>
                <w:rFonts w:ascii="宋体" w:hAnsi="宋体"/>
                <w:color w:val="000000"/>
                <w:kern w:val="0"/>
                <w:szCs w:val="21"/>
              </w:rPr>
              <w:t>5分。</w:t>
            </w:r>
          </w:p>
          <w:p>
            <w:pPr>
              <w:autoSpaceDE w:val="0"/>
              <w:autoSpaceDN w:val="0"/>
              <w:adjustRightInd w:val="0"/>
              <w:jc w:val="left"/>
              <w:rPr>
                <w:rFonts w:hint="eastAsia" w:ascii="宋体" w:hAnsi="宋体"/>
                <w:color w:val="000000"/>
                <w:kern w:val="0"/>
                <w:szCs w:val="21"/>
              </w:rPr>
            </w:pPr>
            <w:r>
              <w:rPr>
                <w:rFonts w:ascii="宋体" w:hAnsi="宋体"/>
                <w:color w:val="000000"/>
                <w:kern w:val="0"/>
                <w:szCs w:val="21"/>
              </w:rPr>
              <w:t>对混凝土结构，其中高耐久性混凝土用量占混凝土总量的比例达到50%；</w:t>
            </w:r>
          </w:p>
          <w:p>
            <w:pPr>
              <w:autoSpaceDE w:val="0"/>
              <w:autoSpaceDN w:val="0"/>
              <w:adjustRightInd w:val="0"/>
              <w:jc w:val="left"/>
              <w:rPr>
                <w:rFonts w:ascii="宋体" w:hAnsi="宋体"/>
                <w:color w:val="FF0000"/>
                <w:kern w:val="0"/>
                <w:szCs w:val="21"/>
              </w:rPr>
            </w:pPr>
            <w:r>
              <w:rPr>
                <w:rFonts w:hint="eastAsia" w:ascii="宋体" w:hAnsi="宋体"/>
                <w:color w:val="000000"/>
                <w:kern w:val="0"/>
                <w:szCs w:val="21"/>
              </w:rPr>
              <w:t>对钢结构，采用耐候结构钢或耐候型防腐涂料。</w:t>
            </w:r>
          </w:p>
        </w:tc>
        <w:tc>
          <w:tcPr>
            <w:tcW w:w="844" w:type="dxa"/>
            <w:vAlign w:val="center"/>
          </w:tcPr>
          <w:p>
            <w:pPr>
              <w:jc w:val="center"/>
              <w:rPr>
                <w:rFonts w:ascii="宋体" w:hAnsi="宋体"/>
                <w:color w:val="FF0000"/>
                <w:szCs w:val="21"/>
              </w:rPr>
            </w:pPr>
          </w:p>
        </w:tc>
        <w:tc>
          <w:tcPr>
            <w:tcW w:w="3260" w:type="dxa"/>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7.2.12</w:t>
            </w:r>
          </w:p>
        </w:tc>
        <w:tc>
          <w:tcPr>
            <w:tcW w:w="3408" w:type="dxa"/>
            <w:vAlign w:val="top"/>
          </w:tcPr>
          <w:p>
            <w:pPr>
              <w:autoSpaceDE w:val="0"/>
              <w:autoSpaceDN w:val="0"/>
              <w:adjustRightInd w:val="0"/>
              <w:jc w:val="left"/>
              <w:rPr>
                <w:rFonts w:hint="eastAsia" w:ascii="宋体" w:hAnsi="宋体"/>
                <w:kern w:val="0"/>
                <w:szCs w:val="21"/>
              </w:rPr>
            </w:pPr>
            <w:r>
              <w:rPr>
                <w:rFonts w:ascii="宋体" w:hAnsi="宋体"/>
                <w:kern w:val="0"/>
                <w:szCs w:val="21"/>
              </w:rPr>
              <w:t>采用可再利用材料和可再循环材料，总</w:t>
            </w:r>
            <w:r>
              <w:rPr>
                <w:rFonts w:hint="eastAsia" w:ascii="宋体" w:hAnsi="宋体"/>
                <w:kern w:val="0"/>
                <w:szCs w:val="21"/>
              </w:rPr>
              <w:t>得</w:t>
            </w:r>
            <w:r>
              <w:rPr>
                <w:rFonts w:ascii="宋体" w:hAnsi="宋体"/>
                <w:kern w:val="0"/>
                <w:szCs w:val="21"/>
              </w:rPr>
              <w:t>分</w:t>
            </w:r>
            <w:r>
              <w:rPr>
                <w:rFonts w:hint="eastAsia" w:ascii="宋体" w:hAnsi="宋体"/>
                <w:kern w:val="0"/>
                <w:szCs w:val="21"/>
              </w:rPr>
              <w:t>：10</w:t>
            </w:r>
            <w:r>
              <w:rPr>
                <w:rFonts w:ascii="宋体" w:hAnsi="宋体"/>
                <w:kern w:val="0"/>
                <w:szCs w:val="21"/>
              </w:rPr>
              <w:t>分，并按下列规则评分：</w:t>
            </w:r>
          </w:p>
          <w:p>
            <w:pPr>
              <w:autoSpaceDE w:val="0"/>
              <w:autoSpaceDN w:val="0"/>
              <w:adjustRightInd w:val="0"/>
              <w:jc w:val="left"/>
              <w:rPr>
                <w:rFonts w:hint="eastAsia" w:ascii="宋体" w:hAnsi="宋体"/>
                <w:kern w:val="0"/>
                <w:szCs w:val="21"/>
              </w:rPr>
            </w:pPr>
            <w:r>
              <w:rPr>
                <w:rFonts w:hint="eastAsia" w:ascii="宋体" w:hAnsi="宋体"/>
                <w:kern w:val="0"/>
                <w:szCs w:val="21"/>
              </w:rPr>
              <w:t>居住建筑</w:t>
            </w:r>
            <w:r>
              <w:rPr>
                <w:rFonts w:ascii="宋体" w:hAnsi="宋体"/>
                <w:kern w:val="0"/>
                <w:szCs w:val="21"/>
              </w:rPr>
              <w:t>中的可再利用材料和可再循环材料用量比例</w:t>
            </w:r>
            <w:r>
              <w:rPr>
                <w:rFonts w:hint="eastAsia" w:ascii="宋体" w:hAnsi="宋体"/>
                <w:kern w:val="0"/>
                <w:szCs w:val="21"/>
              </w:rPr>
              <w:t>：</w:t>
            </w:r>
          </w:p>
          <w:p>
            <w:pPr>
              <w:autoSpaceDE w:val="0"/>
              <w:autoSpaceDN w:val="0"/>
              <w:adjustRightInd w:val="0"/>
              <w:jc w:val="left"/>
              <w:rPr>
                <w:rFonts w:hint="eastAsia" w:ascii="宋体" w:hAnsi="宋体"/>
                <w:kern w:val="0"/>
                <w:szCs w:val="21"/>
              </w:rPr>
            </w:pPr>
            <w:r>
              <w:rPr>
                <w:rFonts w:hint="eastAsia" w:ascii="宋体" w:hAnsi="宋体"/>
                <w:kern w:val="0"/>
                <w:szCs w:val="21"/>
              </w:rPr>
              <w:t>1）</w:t>
            </w:r>
            <w:r>
              <w:rPr>
                <w:rFonts w:ascii="宋体" w:hAnsi="宋体"/>
                <w:kern w:val="0"/>
                <w:szCs w:val="21"/>
              </w:rPr>
              <w:t>达到</w:t>
            </w:r>
            <w:r>
              <w:rPr>
                <w:rFonts w:hint="eastAsia" w:ascii="宋体" w:hAnsi="宋体"/>
                <w:kern w:val="0"/>
                <w:szCs w:val="21"/>
              </w:rPr>
              <w:t>6</w:t>
            </w:r>
            <w:r>
              <w:rPr>
                <w:rFonts w:ascii="宋体" w:hAnsi="宋体"/>
                <w:kern w:val="0"/>
                <w:szCs w:val="21"/>
              </w:rPr>
              <w:t>%，得8分；</w:t>
            </w:r>
          </w:p>
          <w:p>
            <w:pPr>
              <w:autoSpaceDE w:val="0"/>
              <w:autoSpaceDN w:val="0"/>
              <w:adjustRightInd w:val="0"/>
              <w:jc w:val="left"/>
              <w:rPr>
                <w:rFonts w:ascii="宋体" w:hAnsi="宋体"/>
                <w:kern w:val="0"/>
                <w:szCs w:val="21"/>
              </w:rPr>
            </w:pPr>
            <w:r>
              <w:rPr>
                <w:rFonts w:hint="eastAsia" w:ascii="宋体" w:hAnsi="宋体"/>
                <w:kern w:val="0"/>
                <w:szCs w:val="21"/>
              </w:rPr>
              <w:t>2）</w:t>
            </w:r>
            <w:r>
              <w:rPr>
                <w:rFonts w:ascii="宋体" w:hAnsi="宋体"/>
                <w:kern w:val="0"/>
                <w:szCs w:val="21"/>
              </w:rPr>
              <w:t>达到1</w:t>
            </w:r>
            <w:r>
              <w:rPr>
                <w:rFonts w:hint="eastAsia" w:ascii="宋体" w:hAnsi="宋体"/>
                <w:kern w:val="0"/>
                <w:szCs w:val="21"/>
              </w:rPr>
              <w:t>0</w:t>
            </w:r>
            <w:r>
              <w:rPr>
                <w:rFonts w:ascii="宋体" w:hAnsi="宋体"/>
                <w:kern w:val="0"/>
                <w:szCs w:val="21"/>
              </w:rPr>
              <w:t>%，得10分。</w:t>
            </w:r>
          </w:p>
          <w:p>
            <w:pPr>
              <w:autoSpaceDE w:val="0"/>
              <w:autoSpaceDN w:val="0"/>
              <w:adjustRightInd w:val="0"/>
              <w:jc w:val="left"/>
              <w:rPr>
                <w:rFonts w:hint="eastAsia" w:ascii="宋体" w:hAnsi="宋体"/>
                <w:kern w:val="0"/>
                <w:szCs w:val="21"/>
              </w:rPr>
            </w:pPr>
            <w:r>
              <w:rPr>
                <w:rFonts w:ascii="宋体" w:hAnsi="宋体"/>
                <w:kern w:val="0"/>
                <w:szCs w:val="21"/>
              </w:rPr>
              <w:t>公共建筑中的可再利用材料和可再循环材料用量比例</w:t>
            </w:r>
            <w:r>
              <w:rPr>
                <w:rFonts w:hint="eastAsia" w:ascii="宋体" w:hAnsi="宋体"/>
                <w:kern w:val="0"/>
                <w:szCs w:val="21"/>
              </w:rPr>
              <w:t>：</w:t>
            </w:r>
          </w:p>
          <w:p>
            <w:pPr>
              <w:autoSpaceDE w:val="0"/>
              <w:autoSpaceDN w:val="0"/>
              <w:adjustRightInd w:val="0"/>
              <w:jc w:val="left"/>
              <w:rPr>
                <w:rFonts w:hint="eastAsia" w:ascii="宋体" w:hAnsi="宋体"/>
                <w:kern w:val="0"/>
                <w:szCs w:val="21"/>
              </w:rPr>
            </w:pPr>
            <w:r>
              <w:rPr>
                <w:rFonts w:hint="eastAsia" w:ascii="宋体" w:hAnsi="宋体"/>
                <w:kern w:val="0"/>
                <w:szCs w:val="21"/>
              </w:rPr>
              <w:t>1）</w:t>
            </w:r>
            <w:r>
              <w:rPr>
                <w:rFonts w:ascii="宋体" w:hAnsi="宋体"/>
                <w:kern w:val="0"/>
                <w:szCs w:val="21"/>
              </w:rPr>
              <w:t>达到10%，得8分；</w:t>
            </w:r>
          </w:p>
          <w:p>
            <w:pPr>
              <w:autoSpaceDE w:val="0"/>
              <w:autoSpaceDN w:val="0"/>
              <w:adjustRightInd w:val="0"/>
              <w:jc w:val="left"/>
              <w:rPr>
                <w:rFonts w:ascii="宋体" w:hAnsi="宋体"/>
                <w:kern w:val="0"/>
                <w:szCs w:val="21"/>
              </w:rPr>
            </w:pPr>
            <w:r>
              <w:rPr>
                <w:rFonts w:hint="eastAsia" w:ascii="宋体" w:hAnsi="宋体"/>
                <w:kern w:val="0"/>
                <w:szCs w:val="21"/>
              </w:rPr>
              <w:t>2）</w:t>
            </w:r>
            <w:r>
              <w:rPr>
                <w:rFonts w:ascii="宋体" w:hAnsi="宋体"/>
                <w:kern w:val="0"/>
                <w:szCs w:val="21"/>
              </w:rPr>
              <w:t>达到15%，得10分。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7.2.13</w:t>
            </w:r>
          </w:p>
        </w:tc>
        <w:tc>
          <w:tcPr>
            <w:tcW w:w="3408" w:type="dxa"/>
            <w:vAlign w:val="top"/>
          </w:tcPr>
          <w:p>
            <w:pPr>
              <w:autoSpaceDE w:val="0"/>
              <w:autoSpaceDN w:val="0"/>
              <w:adjustRightInd w:val="0"/>
              <w:jc w:val="left"/>
              <w:rPr>
                <w:rFonts w:ascii="宋体" w:hAnsi="宋体"/>
                <w:kern w:val="0"/>
                <w:szCs w:val="21"/>
              </w:rPr>
            </w:pPr>
            <w:r>
              <w:rPr>
                <w:rFonts w:ascii="宋体" w:hAnsi="宋体"/>
                <w:kern w:val="0"/>
                <w:szCs w:val="21"/>
              </w:rPr>
              <w:t>使用以废弃物为原料生产的建筑材料，</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w:t>
            </w:r>
            <w:r>
              <w:rPr>
                <w:rFonts w:ascii="宋体" w:hAnsi="宋体"/>
                <w:color w:val="000000"/>
                <w:kern w:val="0"/>
                <w:szCs w:val="21"/>
              </w:rPr>
              <w:t>5分</w:t>
            </w:r>
            <w:r>
              <w:rPr>
                <w:rFonts w:ascii="宋体" w:hAnsi="宋体"/>
                <w:kern w:val="0"/>
                <w:szCs w:val="21"/>
              </w:rPr>
              <w:t>，并按下列规则评分：</w:t>
            </w:r>
          </w:p>
          <w:p>
            <w:pPr>
              <w:autoSpaceDE w:val="0"/>
              <w:autoSpaceDN w:val="0"/>
              <w:adjustRightInd w:val="0"/>
              <w:jc w:val="left"/>
              <w:rPr>
                <w:rFonts w:ascii="宋体" w:hAnsi="宋体"/>
                <w:kern w:val="0"/>
                <w:szCs w:val="21"/>
              </w:rPr>
            </w:pPr>
            <w:r>
              <w:rPr>
                <w:rFonts w:ascii="宋体" w:hAnsi="宋体"/>
                <w:kern w:val="0"/>
                <w:szCs w:val="21"/>
              </w:rPr>
              <w:t>1</w:t>
            </w:r>
            <w:r>
              <w:rPr>
                <w:rFonts w:hint="eastAsia" w:ascii="宋体" w:hAnsi="宋体"/>
                <w:kern w:val="0"/>
                <w:szCs w:val="21"/>
              </w:rPr>
              <w:t>）</w:t>
            </w:r>
            <w:r>
              <w:rPr>
                <w:rFonts w:ascii="宋体" w:hAnsi="宋体"/>
                <w:kern w:val="0"/>
                <w:szCs w:val="21"/>
              </w:rPr>
              <w:t>采用一种以废弃物为原料生产的建筑材料，其占同类建材的用量比例达到30 %，得3分；达到50%，得5分。</w:t>
            </w:r>
          </w:p>
          <w:p>
            <w:pPr>
              <w:autoSpaceDE w:val="0"/>
              <w:autoSpaceDN w:val="0"/>
              <w:adjustRightInd w:val="0"/>
              <w:jc w:val="left"/>
              <w:rPr>
                <w:rFonts w:ascii="宋体" w:hAnsi="宋体"/>
                <w:kern w:val="0"/>
                <w:szCs w:val="21"/>
              </w:rPr>
            </w:pPr>
            <w:r>
              <w:rPr>
                <w:rFonts w:ascii="宋体" w:hAnsi="宋体"/>
                <w:kern w:val="0"/>
                <w:szCs w:val="21"/>
              </w:rPr>
              <w:t>2</w:t>
            </w:r>
            <w:r>
              <w:rPr>
                <w:rFonts w:hint="eastAsia" w:ascii="宋体" w:hAnsi="宋体"/>
                <w:kern w:val="0"/>
                <w:szCs w:val="21"/>
              </w:rPr>
              <w:t>）</w:t>
            </w:r>
            <w:r>
              <w:rPr>
                <w:rFonts w:ascii="宋体" w:hAnsi="宋体"/>
                <w:kern w:val="0"/>
                <w:szCs w:val="21"/>
              </w:rPr>
              <w:t>采用两种及以上以废弃物为原料生产的建筑材料，每一种用量比例均达到30%，得5分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szCs w:val="21"/>
              </w:rPr>
              <w:t>7.2.14</w:t>
            </w:r>
          </w:p>
        </w:tc>
        <w:tc>
          <w:tcPr>
            <w:tcW w:w="3408" w:type="dxa"/>
            <w:vAlign w:val="top"/>
          </w:tcPr>
          <w:p>
            <w:pPr>
              <w:autoSpaceDE w:val="0"/>
              <w:autoSpaceDN w:val="0"/>
              <w:adjustRightInd w:val="0"/>
              <w:jc w:val="left"/>
              <w:rPr>
                <w:rFonts w:ascii="宋体" w:hAnsi="宋体"/>
                <w:kern w:val="0"/>
                <w:szCs w:val="21"/>
              </w:rPr>
            </w:pPr>
            <w:r>
              <w:rPr>
                <w:rFonts w:ascii="宋体" w:hAnsi="宋体"/>
                <w:kern w:val="0"/>
                <w:szCs w:val="21"/>
              </w:rPr>
              <w:t>合理采用耐久性好、易维护的装饰装修建筑材料，</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w:t>
            </w:r>
            <w:r>
              <w:rPr>
                <w:rFonts w:ascii="宋体" w:hAnsi="宋体"/>
                <w:color w:val="000000"/>
                <w:kern w:val="0"/>
                <w:szCs w:val="21"/>
              </w:rPr>
              <w:t>5分</w:t>
            </w:r>
            <w:r>
              <w:rPr>
                <w:rFonts w:ascii="宋体" w:hAnsi="宋体"/>
                <w:kern w:val="0"/>
                <w:szCs w:val="21"/>
              </w:rPr>
              <w:t>，并按下列规则分别评分并累计：</w:t>
            </w:r>
          </w:p>
          <w:p>
            <w:pPr>
              <w:autoSpaceDE w:val="0"/>
              <w:autoSpaceDN w:val="0"/>
              <w:adjustRightInd w:val="0"/>
              <w:jc w:val="left"/>
              <w:rPr>
                <w:rFonts w:ascii="宋体" w:hAnsi="宋体"/>
                <w:kern w:val="0"/>
                <w:szCs w:val="21"/>
              </w:rPr>
            </w:pPr>
            <w:r>
              <w:rPr>
                <w:rFonts w:ascii="宋体" w:hAnsi="宋体"/>
                <w:kern w:val="0"/>
                <w:szCs w:val="21"/>
              </w:rPr>
              <w:t>1</w:t>
            </w:r>
            <w:r>
              <w:rPr>
                <w:rFonts w:hint="eastAsia" w:ascii="宋体" w:hAnsi="宋体"/>
                <w:kern w:val="0"/>
                <w:szCs w:val="21"/>
              </w:rPr>
              <w:t>）</w:t>
            </w:r>
            <w:r>
              <w:rPr>
                <w:rFonts w:ascii="宋体" w:hAnsi="宋体"/>
                <w:kern w:val="0"/>
                <w:szCs w:val="21"/>
              </w:rPr>
              <w:t>合理采用清水混凝土，得2分；</w:t>
            </w:r>
          </w:p>
          <w:p>
            <w:pPr>
              <w:autoSpaceDE w:val="0"/>
              <w:autoSpaceDN w:val="0"/>
              <w:adjustRightInd w:val="0"/>
              <w:jc w:val="left"/>
              <w:rPr>
                <w:rFonts w:ascii="宋体" w:hAnsi="宋体"/>
                <w:kern w:val="0"/>
                <w:szCs w:val="21"/>
              </w:rPr>
            </w:pPr>
            <w:r>
              <w:rPr>
                <w:rFonts w:ascii="宋体" w:hAnsi="宋体"/>
                <w:kern w:val="0"/>
                <w:szCs w:val="21"/>
              </w:rPr>
              <w:t>2</w:t>
            </w:r>
            <w:r>
              <w:rPr>
                <w:rFonts w:hint="eastAsia" w:ascii="宋体" w:hAnsi="宋体"/>
                <w:kern w:val="0"/>
                <w:szCs w:val="21"/>
              </w:rPr>
              <w:t>）</w:t>
            </w:r>
            <w:r>
              <w:rPr>
                <w:rFonts w:ascii="宋体" w:hAnsi="宋体"/>
                <w:kern w:val="0"/>
                <w:szCs w:val="21"/>
              </w:rPr>
              <w:t>采用耐久性好、易维护的外立面材料，得2分；</w:t>
            </w:r>
          </w:p>
          <w:p>
            <w:pPr>
              <w:autoSpaceDE w:val="0"/>
              <w:autoSpaceDN w:val="0"/>
              <w:adjustRightInd w:val="0"/>
              <w:jc w:val="left"/>
              <w:rPr>
                <w:rFonts w:ascii="宋体" w:hAnsi="宋体"/>
                <w:kern w:val="0"/>
                <w:szCs w:val="21"/>
              </w:rPr>
            </w:pPr>
            <w:r>
              <w:rPr>
                <w:rFonts w:ascii="宋体" w:hAnsi="宋体"/>
                <w:kern w:val="0"/>
                <w:szCs w:val="21"/>
              </w:rPr>
              <w:t>3</w:t>
            </w:r>
            <w:r>
              <w:rPr>
                <w:rFonts w:hint="eastAsia" w:ascii="宋体" w:hAnsi="宋体"/>
                <w:kern w:val="0"/>
                <w:szCs w:val="21"/>
              </w:rPr>
              <w:t>）</w:t>
            </w:r>
            <w:r>
              <w:rPr>
                <w:rFonts w:ascii="宋体" w:hAnsi="宋体"/>
                <w:kern w:val="0"/>
                <w:szCs w:val="21"/>
              </w:rPr>
              <w:t>采用耐久性好、易维护的室内装饰装修材料，得1分。</w:t>
            </w:r>
          </w:p>
        </w:tc>
        <w:tc>
          <w:tcPr>
            <w:tcW w:w="844" w:type="dxa"/>
            <w:vAlign w:val="center"/>
          </w:tcPr>
          <w:p>
            <w:pPr>
              <w:jc w:val="center"/>
              <w:rPr>
                <w:rFonts w:ascii="宋体" w:hAnsi="宋体"/>
                <w:szCs w:val="21"/>
              </w:rPr>
            </w:pPr>
          </w:p>
        </w:tc>
        <w:tc>
          <w:tcPr>
            <w:tcW w:w="3260" w:type="dxa"/>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567" w:type="dxa"/>
            <w:vAlign w:val="center"/>
          </w:tcPr>
          <w:p>
            <w:pPr>
              <w:jc w:val="center"/>
              <w:rPr>
                <w:rFonts w:ascii="宋体" w:hAnsi="宋体"/>
                <w:b/>
                <w:bCs/>
                <w:szCs w:val="21"/>
              </w:rPr>
            </w:pPr>
          </w:p>
        </w:tc>
        <w:tc>
          <w:tcPr>
            <w:tcW w:w="4401" w:type="dxa"/>
            <w:gridSpan w:val="2"/>
            <w:vAlign w:val="center"/>
          </w:tcPr>
          <w:p>
            <w:pPr>
              <w:autoSpaceDE w:val="0"/>
              <w:autoSpaceDN w:val="0"/>
              <w:adjustRightInd w:val="0"/>
              <w:rPr>
                <w:rFonts w:ascii="宋体" w:hAnsi="宋体"/>
                <w:kern w:val="0"/>
                <w:szCs w:val="21"/>
              </w:rPr>
            </w:pPr>
            <w:r>
              <w:rPr>
                <w:rFonts w:hint="eastAsia" w:ascii="宋体" w:hAnsi="宋体"/>
                <w:b/>
                <w:bCs/>
                <w:kern w:val="0"/>
                <w:szCs w:val="21"/>
              </w:rPr>
              <w:t xml:space="preserve">                               </w:t>
            </w:r>
            <w:r>
              <w:rPr>
                <w:rFonts w:ascii="宋体" w:hAnsi="宋体"/>
                <w:b/>
                <w:bCs/>
                <w:kern w:val="0"/>
                <w:szCs w:val="21"/>
              </w:rPr>
              <w:t>小计</w:t>
            </w:r>
          </w:p>
        </w:tc>
        <w:tc>
          <w:tcPr>
            <w:tcW w:w="4104" w:type="dxa"/>
            <w:gridSpan w:val="2"/>
            <w:vAlign w:val="center"/>
          </w:tcPr>
          <w:p>
            <w:pP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072" w:type="dxa"/>
            <w:gridSpan w:val="5"/>
            <w:vAlign w:val="center"/>
          </w:tcPr>
          <w:p>
            <w:pPr>
              <w:jc w:val="center"/>
              <w:rPr>
                <w:rFonts w:ascii="宋体" w:hAnsi="宋体"/>
                <w:b/>
                <w:bCs/>
                <w:szCs w:val="21"/>
              </w:rPr>
            </w:pPr>
            <w:r>
              <w:rPr>
                <w:rFonts w:ascii="宋体" w:hAnsi="宋体"/>
                <w:b/>
                <w:bCs/>
                <w:szCs w:val="21"/>
              </w:rPr>
              <w:t>室</w:t>
            </w:r>
            <w:r>
              <w:rPr>
                <w:rFonts w:hint="eastAsia" w:ascii="宋体" w:hAnsi="宋体"/>
                <w:b/>
                <w:bCs/>
                <w:szCs w:val="21"/>
              </w:rPr>
              <w:t xml:space="preserve"> </w:t>
            </w:r>
            <w:r>
              <w:rPr>
                <w:rFonts w:ascii="宋体" w:hAnsi="宋体"/>
                <w:b/>
                <w:bCs/>
                <w:szCs w:val="21"/>
              </w:rPr>
              <w:t>内</w:t>
            </w:r>
            <w:r>
              <w:rPr>
                <w:rFonts w:hint="eastAsia" w:ascii="宋体" w:hAnsi="宋体"/>
                <w:b/>
                <w:bCs/>
                <w:szCs w:val="21"/>
              </w:rPr>
              <w:t xml:space="preserve"> </w:t>
            </w:r>
            <w:r>
              <w:rPr>
                <w:rFonts w:ascii="宋体" w:hAnsi="宋体"/>
                <w:b/>
                <w:bCs/>
                <w:szCs w:val="21"/>
              </w:rPr>
              <w:t>环</w:t>
            </w:r>
            <w:r>
              <w:rPr>
                <w:rFonts w:hint="eastAsia" w:ascii="宋体" w:hAnsi="宋体"/>
                <w:b/>
                <w:bCs/>
                <w:szCs w:val="21"/>
              </w:rPr>
              <w:t xml:space="preserve"> </w:t>
            </w:r>
            <w:r>
              <w:rPr>
                <w:rFonts w:ascii="宋体" w:hAnsi="宋体"/>
                <w:b/>
                <w:bCs/>
                <w:szCs w:val="21"/>
              </w:rPr>
              <w:t>境</w:t>
            </w:r>
            <w:r>
              <w:rPr>
                <w:rFonts w:hint="eastAsia" w:ascii="宋体" w:hAnsi="宋体"/>
                <w:b/>
                <w:bCs/>
                <w:szCs w:val="21"/>
              </w:rPr>
              <w:t xml:space="preserve"> </w:t>
            </w:r>
            <w:r>
              <w:rPr>
                <w:rFonts w:ascii="宋体" w:hAnsi="宋体"/>
                <w:b/>
                <w:bCs/>
                <w:szCs w:val="21"/>
              </w:rPr>
              <w:t>质</w:t>
            </w:r>
            <w:r>
              <w:rPr>
                <w:rFonts w:hint="eastAsia" w:ascii="宋体" w:hAnsi="宋体"/>
                <w:b/>
                <w:bCs/>
                <w:szCs w:val="21"/>
              </w:rPr>
              <w:t xml:space="preserve"> </w:t>
            </w:r>
            <w:r>
              <w:rPr>
                <w:rFonts w:ascii="宋体" w:hAnsi="宋体"/>
                <w:b/>
                <w:bCs/>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67" w:type="dxa"/>
            <w:vAlign w:val="center"/>
          </w:tcPr>
          <w:p>
            <w:pPr>
              <w:jc w:val="center"/>
              <w:rPr>
                <w:rFonts w:ascii="宋体" w:hAnsi="宋体"/>
                <w:b/>
                <w:bCs/>
                <w:szCs w:val="21"/>
              </w:rPr>
            </w:pPr>
          </w:p>
        </w:tc>
        <w:tc>
          <w:tcPr>
            <w:tcW w:w="993" w:type="dxa"/>
            <w:vAlign w:val="center"/>
          </w:tcPr>
          <w:p>
            <w:pPr>
              <w:jc w:val="center"/>
              <w:rPr>
                <w:rFonts w:ascii="宋体" w:hAnsi="宋体"/>
                <w:b/>
                <w:bCs/>
                <w:szCs w:val="21"/>
              </w:rPr>
            </w:pPr>
            <w:r>
              <w:rPr>
                <w:rFonts w:ascii="宋体" w:hAnsi="宋体"/>
                <w:b/>
                <w:bCs/>
                <w:szCs w:val="21"/>
              </w:rPr>
              <w:t>条目号</w:t>
            </w:r>
          </w:p>
        </w:tc>
        <w:tc>
          <w:tcPr>
            <w:tcW w:w="3408" w:type="dxa"/>
            <w:vAlign w:val="center"/>
          </w:tcPr>
          <w:p>
            <w:pPr>
              <w:jc w:val="center"/>
              <w:rPr>
                <w:rFonts w:ascii="宋体" w:hAnsi="宋体"/>
                <w:b/>
                <w:bCs/>
                <w:szCs w:val="21"/>
              </w:rPr>
            </w:pPr>
            <w:r>
              <w:rPr>
                <w:rFonts w:ascii="宋体" w:hAnsi="宋体"/>
                <w:b/>
                <w:bCs/>
                <w:szCs w:val="21"/>
              </w:rPr>
              <w:t>评价标准规定</w:t>
            </w:r>
          </w:p>
        </w:tc>
        <w:tc>
          <w:tcPr>
            <w:tcW w:w="844" w:type="dxa"/>
            <w:vAlign w:val="center"/>
          </w:tcPr>
          <w:p>
            <w:pPr>
              <w:jc w:val="center"/>
              <w:rPr>
                <w:rFonts w:ascii="宋体" w:hAnsi="宋体"/>
                <w:b/>
                <w:bCs/>
                <w:szCs w:val="21"/>
              </w:rPr>
            </w:pPr>
            <w:r>
              <w:rPr>
                <w:rFonts w:ascii="宋体" w:hAnsi="宋体"/>
                <w:b/>
                <w:bCs/>
                <w:szCs w:val="21"/>
              </w:rPr>
              <w:t>达标</w:t>
            </w:r>
          </w:p>
        </w:tc>
        <w:tc>
          <w:tcPr>
            <w:tcW w:w="3260" w:type="dxa"/>
            <w:vAlign w:val="center"/>
          </w:tcPr>
          <w:p>
            <w:pPr>
              <w:jc w:val="center"/>
              <w:rPr>
                <w:rFonts w:ascii="宋体" w:hAnsi="宋体"/>
                <w:b/>
                <w:bCs/>
                <w:szCs w:val="21"/>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jc w:val="left"/>
              <w:rPr>
                <w:rFonts w:ascii="宋体" w:hAnsi="宋体"/>
                <w:b/>
                <w:bCs/>
                <w:szCs w:val="21"/>
              </w:rPr>
            </w:pPr>
            <w:r>
              <w:rPr>
                <w:rFonts w:hint="eastAsia" w:ascii="宋体" w:hAnsi="宋体"/>
                <w:b/>
                <w:bCs/>
                <w:szCs w:val="21"/>
              </w:rPr>
              <w:t xml:space="preserve">  </w:t>
            </w:r>
            <w:r>
              <w:rPr>
                <w:rFonts w:ascii="宋体" w:hAnsi="宋体"/>
                <w:b/>
                <w:bCs/>
                <w:szCs w:val="21"/>
              </w:rPr>
              <w:t>控</w:t>
            </w:r>
          </w:p>
          <w:p>
            <w:pPr>
              <w:jc w:val="center"/>
              <w:rPr>
                <w:rFonts w:ascii="宋体" w:hAnsi="宋体"/>
                <w:b/>
                <w:bCs/>
                <w:szCs w:val="21"/>
              </w:rPr>
            </w:pPr>
            <w:r>
              <w:rPr>
                <w:rFonts w:ascii="宋体" w:hAnsi="宋体"/>
                <w:b/>
                <w:bCs/>
                <w:szCs w:val="21"/>
              </w:rPr>
              <w:t>制</w:t>
            </w:r>
          </w:p>
          <w:p>
            <w:pPr>
              <w:jc w:val="center"/>
              <w:rPr>
                <w:rFonts w:ascii="宋体" w:hAnsi="宋体"/>
                <w:b/>
                <w:bCs/>
                <w:szCs w:val="21"/>
              </w:rPr>
            </w:pPr>
            <w:r>
              <w:rPr>
                <w:rFonts w:ascii="宋体" w:hAnsi="宋体"/>
                <w:b/>
                <w:bCs/>
                <w:szCs w:val="21"/>
              </w:rPr>
              <w:t>项</w:t>
            </w:r>
          </w:p>
        </w:tc>
        <w:tc>
          <w:tcPr>
            <w:tcW w:w="993" w:type="dxa"/>
            <w:vAlign w:val="center"/>
          </w:tcPr>
          <w:p>
            <w:pPr>
              <w:jc w:val="center"/>
              <w:rPr>
                <w:rFonts w:ascii="宋体" w:hAnsi="宋体"/>
                <w:color w:val="000000"/>
                <w:szCs w:val="21"/>
              </w:rPr>
            </w:pPr>
            <w:r>
              <w:rPr>
                <w:rFonts w:ascii="宋体" w:hAnsi="宋体"/>
                <w:color w:val="000000"/>
                <w:szCs w:val="21"/>
              </w:rPr>
              <w:t>8.1.1</w:t>
            </w:r>
          </w:p>
        </w:tc>
        <w:tc>
          <w:tcPr>
            <w:tcW w:w="3408" w:type="dxa"/>
            <w:vAlign w:val="top"/>
          </w:tcPr>
          <w:p>
            <w:pPr>
              <w:jc w:val="left"/>
              <w:rPr>
                <w:rFonts w:ascii="宋体" w:hAnsi="宋体"/>
                <w:color w:val="000000"/>
                <w:szCs w:val="21"/>
              </w:rPr>
            </w:pPr>
            <w:r>
              <w:rPr>
                <w:rFonts w:ascii="宋体" w:hAnsi="宋体"/>
                <w:color w:val="000000"/>
                <w:szCs w:val="21"/>
              </w:rPr>
              <w:t>主要功能房间的室内噪声级满足现行国家标准《民用建筑隔声设计规范》GB50118中的低限要求。</w:t>
            </w:r>
          </w:p>
        </w:tc>
        <w:tc>
          <w:tcPr>
            <w:tcW w:w="844" w:type="dxa"/>
            <w:vAlign w:val="center"/>
          </w:tcPr>
          <w:p>
            <w:pPr>
              <w:jc w:val="center"/>
              <w:rPr>
                <w:rFonts w:ascii="宋体" w:hAnsi="宋体"/>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8.1.2</w:t>
            </w:r>
          </w:p>
        </w:tc>
        <w:tc>
          <w:tcPr>
            <w:tcW w:w="3408" w:type="dxa"/>
            <w:vAlign w:val="top"/>
          </w:tcPr>
          <w:p>
            <w:pPr>
              <w:rPr>
                <w:rFonts w:ascii="宋体" w:hAnsi="宋体"/>
                <w:color w:val="000000"/>
                <w:szCs w:val="21"/>
              </w:rPr>
            </w:pPr>
            <w:r>
              <w:rPr>
                <w:rFonts w:ascii="宋体" w:hAnsi="宋体"/>
                <w:color w:val="000000"/>
                <w:szCs w:val="21"/>
              </w:rPr>
              <w:t>主要功能房间的外墙、隔墙、楼板和门窗的隔声性能，或相邻两房间之间的空气隔声性能、楼板撞击声隔声性能满足现行国家标准《民用建筑隔声设计规范》GB50018中的低限要求。</w:t>
            </w:r>
          </w:p>
        </w:tc>
        <w:tc>
          <w:tcPr>
            <w:tcW w:w="844" w:type="dxa"/>
            <w:vAlign w:val="center"/>
          </w:tcPr>
          <w:p>
            <w:pPr>
              <w:jc w:val="center"/>
              <w:rPr>
                <w:rFonts w:ascii="宋体" w:hAnsi="宋体"/>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8.1.3</w:t>
            </w:r>
          </w:p>
        </w:tc>
        <w:tc>
          <w:tcPr>
            <w:tcW w:w="3408" w:type="dxa"/>
            <w:vAlign w:val="top"/>
          </w:tcPr>
          <w:p>
            <w:pPr>
              <w:rPr>
                <w:rFonts w:ascii="宋体" w:hAnsi="宋体"/>
                <w:color w:val="000000"/>
                <w:szCs w:val="21"/>
              </w:rPr>
            </w:pPr>
            <w:r>
              <w:rPr>
                <w:rFonts w:ascii="宋体" w:hAnsi="宋体"/>
                <w:color w:val="000000"/>
                <w:szCs w:val="21"/>
              </w:rPr>
              <w:t>建筑照明数量和质量指标符合现行国家标准《建筑照明设计标准》GB50034的规定。</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8.1.4</w:t>
            </w:r>
          </w:p>
        </w:tc>
        <w:tc>
          <w:tcPr>
            <w:tcW w:w="3408" w:type="dxa"/>
            <w:vAlign w:val="top"/>
          </w:tcPr>
          <w:p>
            <w:pPr>
              <w:rPr>
                <w:rFonts w:ascii="宋体" w:hAnsi="宋体"/>
                <w:color w:val="000000"/>
                <w:szCs w:val="21"/>
              </w:rPr>
            </w:pPr>
            <w:r>
              <w:rPr>
                <w:rFonts w:ascii="宋体" w:hAnsi="宋体"/>
                <w:color w:val="000000"/>
                <w:szCs w:val="21"/>
              </w:rPr>
              <w:t>采用集中供暖空调系统的建筑，房间内的温度、湿度、新风量等设计参数符合现行国家标准《民用建筑供暖通风与空气调节设计规范》GB50736的规定。</w:t>
            </w:r>
          </w:p>
        </w:tc>
        <w:tc>
          <w:tcPr>
            <w:tcW w:w="844" w:type="dxa"/>
            <w:vAlign w:val="center"/>
          </w:tcPr>
          <w:p>
            <w:pPr>
              <w:jc w:val="center"/>
              <w:rPr>
                <w:rFonts w:ascii="宋体" w:hAnsi="宋体"/>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8.1.5</w:t>
            </w:r>
          </w:p>
        </w:tc>
        <w:tc>
          <w:tcPr>
            <w:tcW w:w="3408" w:type="dxa"/>
            <w:vAlign w:val="top"/>
          </w:tcPr>
          <w:p>
            <w:pPr>
              <w:rPr>
                <w:rFonts w:ascii="宋体" w:hAnsi="宋体"/>
                <w:color w:val="000000"/>
                <w:szCs w:val="21"/>
              </w:rPr>
            </w:pPr>
            <w:r>
              <w:rPr>
                <w:rFonts w:ascii="宋体" w:hAnsi="宋体"/>
                <w:color w:val="000000"/>
                <w:szCs w:val="21"/>
              </w:rPr>
              <w:t>在室内设计温、湿度条件下，建筑围护结构内表面不结露。</w:t>
            </w:r>
          </w:p>
        </w:tc>
        <w:tc>
          <w:tcPr>
            <w:tcW w:w="844" w:type="dxa"/>
            <w:vAlign w:val="center"/>
          </w:tcPr>
          <w:p>
            <w:pPr>
              <w:jc w:val="center"/>
              <w:rPr>
                <w:rFonts w:ascii="宋体" w:hAnsi="宋体"/>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8.1.6</w:t>
            </w:r>
          </w:p>
        </w:tc>
        <w:tc>
          <w:tcPr>
            <w:tcW w:w="3408" w:type="dxa"/>
            <w:vAlign w:val="top"/>
          </w:tcPr>
          <w:p>
            <w:pPr>
              <w:rPr>
                <w:rFonts w:ascii="宋体" w:hAnsi="宋体"/>
                <w:color w:val="000000"/>
                <w:szCs w:val="21"/>
              </w:rPr>
            </w:pPr>
            <w:r>
              <w:rPr>
                <w:rFonts w:ascii="宋体" w:hAnsi="宋体"/>
                <w:color w:val="000000"/>
                <w:szCs w:val="21"/>
              </w:rPr>
              <w:t>屋顶和东、西外墙隔热性能满足现行国家标准《民用建筑热工设计规范》GB50176的要求</w:t>
            </w:r>
          </w:p>
        </w:tc>
        <w:tc>
          <w:tcPr>
            <w:tcW w:w="844" w:type="dxa"/>
            <w:vAlign w:val="center"/>
          </w:tcPr>
          <w:p>
            <w:pPr>
              <w:jc w:val="center"/>
              <w:rPr>
                <w:rFonts w:ascii="宋体" w:hAnsi="宋体"/>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8.1.7</w:t>
            </w:r>
          </w:p>
        </w:tc>
        <w:tc>
          <w:tcPr>
            <w:tcW w:w="3408" w:type="dxa"/>
            <w:vAlign w:val="top"/>
          </w:tcPr>
          <w:p>
            <w:pPr>
              <w:rPr>
                <w:rFonts w:ascii="宋体" w:hAnsi="宋体"/>
                <w:color w:val="000000"/>
                <w:szCs w:val="21"/>
              </w:rPr>
            </w:pPr>
            <w:r>
              <w:rPr>
                <w:rFonts w:ascii="宋体" w:hAnsi="宋体"/>
                <w:color w:val="000000"/>
                <w:szCs w:val="21"/>
              </w:rPr>
              <w:t>室内空气和的氨、甲醛、苯、总挥发性有机物、氡等污染物浓度符合现行国家标准《室内空气质量标准》GB/T18883的有关规定。</w:t>
            </w:r>
          </w:p>
        </w:tc>
        <w:tc>
          <w:tcPr>
            <w:tcW w:w="844" w:type="dxa"/>
            <w:vAlign w:val="center"/>
          </w:tcPr>
          <w:p>
            <w:pPr>
              <w:jc w:val="center"/>
              <w:rPr>
                <w:rFonts w:hint="eastAsia" w:ascii="宋体" w:hAnsi="宋体"/>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67" w:type="dxa"/>
            <w:vMerge w:val="restart"/>
            <w:vAlign w:val="center"/>
          </w:tcPr>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评</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分</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项</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rPr>
                <w:rFonts w:hint="eastAsia" w:ascii="宋体" w:hAnsi="宋体"/>
                <w:b/>
                <w:bCs/>
                <w:szCs w:val="21"/>
              </w:rPr>
            </w:pPr>
            <w:r>
              <w:rPr>
                <w:rFonts w:hint="eastAsia" w:ascii="宋体" w:hAnsi="宋体"/>
                <w:b/>
                <w:bCs/>
                <w:szCs w:val="21"/>
              </w:rPr>
              <w:t xml:space="preserve"> </w:t>
            </w: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hint="eastAsia" w:ascii="宋体" w:hAnsi="宋体"/>
                <w:b/>
                <w:bCs/>
                <w:szCs w:val="21"/>
              </w:rPr>
            </w:pPr>
          </w:p>
          <w:p>
            <w:pPr>
              <w:jc w:val="center"/>
              <w:rPr>
                <w:rFonts w:ascii="宋体" w:hAnsi="宋体"/>
                <w:b/>
                <w:bCs/>
                <w:szCs w:val="21"/>
              </w:rPr>
            </w:pPr>
            <w:r>
              <w:rPr>
                <w:rFonts w:ascii="宋体" w:hAnsi="宋体"/>
                <w:b/>
                <w:bCs/>
                <w:szCs w:val="21"/>
              </w:rPr>
              <w:t>评</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r>
              <w:rPr>
                <w:rFonts w:ascii="宋体" w:hAnsi="宋体"/>
                <w:b/>
                <w:bCs/>
                <w:szCs w:val="21"/>
              </w:rPr>
              <w:t>分</w:t>
            </w:r>
          </w:p>
          <w:p>
            <w:pPr>
              <w:jc w:val="center"/>
              <w:rPr>
                <w:rFonts w:ascii="宋体" w:hAnsi="宋体"/>
                <w:b/>
                <w:bCs/>
                <w:szCs w:val="21"/>
              </w:rPr>
            </w:pPr>
          </w:p>
          <w:p>
            <w:pPr>
              <w:jc w:val="center"/>
              <w:rPr>
                <w:rFonts w:ascii="宋体" w:hAnsi="宋体"/>
                <w:b/>
                <w:bCs/>
                <w:szCs w:val="21"/>
              </w:rPr>
            </w:pPr>
          </w:p>
          <w:p>
            <w:pPr>
              <w:jc w:val="center"/>
              <w:rPr>
                <w:rFonts w:hint="eastAsia" w:ascii="宋体" w:hAnsi="宋体"/>
                <w:b/>
                <w:bCs/>
                <w:szCs w:val="21"/>
              </w:rPr>
            </w:pPr>
            <w:r>
              <w:rPr>
                <w:rFonts w:ascii="宋体" w:hAnsi="宋体"/>
                <w:b/>
                <w:bCs/>
                <w:szCs w:val="21"/>
              </w:rPr>
              <w:t>项</w:t>
            </w:r>
          </w:p>
        </w:tc>
        <w:tc>
          <w:tcPr>
            <w:tcW w:w="4401" w:type="dxa"/>
            <w:gridSpan w:val="2"/>
            <w:vAlign w:val="center"/>
          </w:tcPr>
          <w:p>
            <w:pPr>
              <w:jc w:val="center"/>
              <w:rPr>
                <w:rFonts w:ascii="宋体" w:hAnsi="宋体"/>
                <w:kern w:val="0"/>
                <w:szCs w:val="21"/>
              </w:rPr>
            </w:pPr>
            <w:r>
              <w:rPr>
                <w:rFonts w:hint="eastAsia" w:ascii="宋体" w:hAnsi="宋体"/>
                <w:b/>
                <w:bCs/>
                <w:szCs w:val="21"/>
              </w:rPr>
              <w:t>评价条文</w:t>
            </w:r>
          </w:p>
        </w:tc>
        <w:tc>
          <w:tcPr>
            <w:tcW w:w="844" w:type="dxa"/>
            <w:vAlign w:val="center"/>
          </w:tcPr>
          <w:p>
            <w:pPr>
              <w:jc w:val="center"/>
              <w:rPr>
                <w:rFonts w:ascii="宋体" w:hAnsi="宋体"/>
                <w:b/>
                <w:color w:val="000000"/>
                <w:szCs w:val="21"/>
              </w:rPr>
            </w:pPr>
            <w:r>
              <w:rPr>
                <w:rFonts w:hint="eastAsia" w:ascii="宋体" w:hAnsi="宋体"/>
                <w:b/>
                <w:color w:val="000000"/>
                <w:szCs w:val="21"/>
              </w:rPr>
              <w:t>得分</w:t>
            </w:r>
          </w:p>
        </w:tc>
        <w:tc>
          <w:tcPr>
            <w:tcW w:w="3260" w:type="dxa"/>
            <w:vAlign w:val="center"/>
          </w:tcPr>
          <w:p>
            <w:pPr>
              <w:jc w:val="center"/>
              <w:rPr>
                <w:rFonts w:ascii="宋体" w:hAnsi="宋体"/>
                <w:color w:val="000000"/>
                <w:szCs w:val="21"/>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hint="eastAsia" w:ascii="宋体" w:hAnsi="宋体"/>
                <w:b/>
                <w:bCs/>
                <w:szCs w:val="21"/>
              </w:rPr>
            </w:pPr>
          </w:p>
        </w:tc>
        <w:tc>
          <w:tcPr>
            <w:tcW w:w="993" w:type="dxa"/>
            <w:vAlign w:val="top"/>
          </w:tcPr>
          <w:p>
            <w:pPr>
              <w:jc w:val="center"/>
              <w:rPr>
                <w:rFonts w:ascii="宋体" w:hAnsi="宋体"/>
                <w:color w:val="000000"/>
                <w:szCs w:val="21"/>
              </w:rPr>
            </w:pPr>
            <w:r>
              <w:rPr>
                <w:rFonts w:ascii="宋体" w:hAnsi="宋体"/>
                <w:color w:val="000000"/>
                <w:szCs w:val="21"/>
              </w:rPr>
              <w:t>8.2.1</w:t>
            </w:r>
          </w:p>
        </w:tc>
        <w:tc>
          <w:tcPr>
            <w:tcW w:w="3408" w:type="dxa"/>
            <w:vAlign w:val="top"/>
          </w:tcPr>
          <w:p>
            <w:pPr>
              <w:autoSpaceDE w:val="0"/>
              <w:autoSpaceDN w:val="0"/>
              <w:adjustRightInd w:val="0"/>
              <w:jc w:val="left"/>
              <w:rPr>
                <w:rFonts w:hint="eastAsia" w:ascii="宋体" w:hAnsi="宋体"/>
                <w:color w:val="000000"/>
                <w:kern w:val="0"/>
                <w:szCs w:val="21"/>
              </w:rPr>
            </w:pPr>
            <w:r>
              <w:rPr>
                <w:rFonts w:ascii="宋体" w:hAnsi="宋体"/>
                <w:kern w:val="0"/>
                <w:szCs w:val="21"/>
              </w:rPr>
              <w:t>主要功能房间的室内噪声级，</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：6</w:t>
            </w:r>
            <w:r>
              <w:rPr>
                <w:rFonts w:ascii="宋体" w:hAnsi="宋体"/>
                <w:color w:val="000000"/>
                <w:kern w:val="0"/>
                <w:szCs w:val="21"/>
              </w:rPr>
              <w:t>分</w:t>
            </w:r>
            <w:r>
              <w:rPr>
                <w:rFonts w:hint="eastAsia" w:ascii="宋体" w:hAnsi="宋体"/>
                <w:color w:val="000000"/>
                <w:kern w:val="0"/>
                <w:szCs w:val="21"/>
              </w:rPr>
              <w:t>。</w:t>
            </w:r>
          </w:p>
          <w:p>
            <w:pPr>
              <w:autoSpaceDE w:val="0"/>
              <w:autoSpaceDN w:val="0"/>
              <w:adjustRightInd w:val="0"/>
              <w:jc w:val="left"/>
              <w:rPr>
                <w:rFonts w:ascii="宋体" w:hAnsi="宋体"/>
                <w:kern w:val="0"/>
                <w:szCs w:val="21"/>
              </w:rPr>
            </w:pPr>
            <w:r>
              <w:rPr>
                <w:rFonts w:ascii="宋体" w:hAnsi="宋体"/>
                <w:kern w:val="0"/>
                <w:szCs w:val="21"/>
              </w:rPr>
              <w:t>①噪声级达到现行国家标准《民用建筑隔声设计规范》GB 50118中的低限标准限值和高要求标准限值的平均值，得3分。</w:t>
            </w:r>
            <w:r>
              <w:rPr>
                <w:rFonts w:ascii="宋体" w:hAnsi="宋体"/>
                <w:kern w:val="0"/>
                <w:szCs w:val="21"/>
              </w:rPr>
              <w:tab/>
            </w:r>
          </w:p>
          <w:p>
            <w:pPr>
              <w:rPr>
                <w:rFonts w:ascii="宋体" w:hAnsi="宋体"/>
                <w:szCs w:val="21"/>
              </w:rPr>
            </w:pPr>
            <w:r>
              <w:rPr>
                <w:rFonts w:ascii="宋体" w:hAnsi="宋体"/>
                <w:kern w:val="0"/>
                <w:szCs w:val="21"/>
              </w:rPr>
              <w:t>②噪声级达到或低于高要求标准的数值，得6分</w:t>
            </w:r>
            <w:r>
              <w:rPr>
                <w:rFonts w:hint="eastAsia" w:ascii="宋体" w:hAnsi="宋体"/>
                <w:kern w:val="0"/>
                <w:szCs w:val="21"/>
              </w:rPr>
              <w:t>。</w:t>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8.2.2</w:t>
            </w:r>
          </w:p>
        </w:tc>
        <w:tc>
          <w:tcPr>
            <w:tcW w:w="3408" w:type="dxa"/>
            <w:vAlign w:val="top"/>
          </w:tcPr>
          <w:p>
            <w:pPr>
              <w:rPr>
                <w:rFonts w:ascii="宋体" w:hAnsi="宋体"/>
                <w:szCs w:val="21"/>
              </w:rPr>
            </w:pPr>
            <w:r>
              <w:rPr>
                <w:rFonts w:ascii="宋体" w:hAnsi="宋体"/>
                <w:szCs w:val="21"/>
              </w:rPr>
              <w:t>主要功能房间的隔声性能良好，</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：9</w:t>
            </w:r>
            <w:r>
              <w:rPr>
                <w:rFonts w:ascii="宋体" w:hAnsi="宋体"/>
                <w:color w:val="000000"/>
                <w:kern w:val="0"/>
                <w:szCs w:val="21"/>
              </w:rPr>
              <w:t>分</w:t>
            </w:r>
            <w:r>
              <w:rPr>
                <w:rFonts w:ascii="宋体" w:hAnsi="宋体"/>
                <w:szCs w:val="21"/>
              </w:rPr>
              <w:t>，并按下列规则分别评分并累计：</w:t>
            </w:r>
            <w:r>
              <w:rPr>
                <w:rFonts w:ascii="宋体" w:hAnsi="宋体"/>
                <w:szCs w:val="21"/>
              </w:rPr>
              <w:tab/>
            </w:r>
            <w:r>
              <w:rPr>
                <w:rFonts w:ascii="宋体" w:hAnsi="宋体"/>
                <w:szCs w:val="21"/>
              </w:rPr>
              <w:tab/>
            </w:r>
          </w:p>
          <w:p>
            <w:pPr>
              <w:rPr>
                <w:rFonts w:ascii="宋体" w:hAnsi="宋体"/>
                <w:szCs w:val="21"/>
              </w:rPr>
            </w:pPr>
            <w:r>
              <w:rPr>
                <w:rFonts w:ascii="宋体" w:hAnsi="宋体"/>
                <w:szCs w:val="21"/>
              </w:rPr>
              <w:t>①构件及相邻房间之间的空气声隔声性能达到现行国家标准《民用建筑隔声设计规范》GB 50118中的低限标准限值和高 要求标准限值的平均值，得3分；达到高要求标准限值，得 5分；</w:t>
            </w:r>
          </w:p>
          <w:p>
            <w:pPr>
              <w:rPr>
                <w:rFonts w:ascii="宋体" w:hAnsi="宋体"/>
                <w:szCs w:val="21"/>
              </w:rPr>
            </w:pPr>
            <w:r>
              <w:rPr>
                <w:rFonts w:ascii="宋体" w:hAnsi="宋体"/>
                <w:szCs w:val="21"/>
              </w:rPr>
              <w:t>②楼板的撞击声隔声性能达到现行国家标准《民用建筑隔 声设计规范》GB 50118中的低限标准限值和高要求标准限值的 平均值，得3分；达到高要求标准限值，得4分。</w:t>
            </w:r>
          </w:p>
        </w:tc>
        <w:tc>
          <w:tcPr>
            <w:tcW w:w="844" w:type="dxa"/>
            <w:vAlign w:val="center"/>
          </w:tcPr>
          <w:p>
            <w:pPr>
              <w:jc w:val="center"/>
              <w:rPr>
                <w:rFonts w:ascii="宋体" w:hAnsi="宋体"/>
                <w:color w:val="000000"/>
                <w:szCs w:val="21"/>
              </w:rPr>
            </w:pPr>
          </w:p>
        </w:tc>
        <w:tc>
          <w:tcPr>
            <w:tcW w:w="3260" w:type="dxa"/>
            <w:vAlign w:val="center"/>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8.2.3</w:t>
            </w:r>
          </w:p>
        </w:tc>
        <w:tc>
          <w:tcPr>
            <w:tcW w:w="3408" w:type="dxa"/>
            <w:vAlign w:val="top"/>
          </w:tcPr>
          <w:p>
            <w:pPr>
              <w:rPr>
                <w:rFonts w:hint="eastAsia" w:ascii="宋体" w:hAnsi="宋体"/>
                <w:color w:val="000000"/>
                <w:kern w:val="0"/>
                <w:szCs w:val="21"/>
              </w:rPr>
            </w:pPr>
            <w:r>
              <w:rPr>
                <w:rFonts w:ascii="宋体" w:hAnsi="宋体"/>
                <w:color w:val="000000"/>
                <w:kern w:val="0"/>
                <w:szCs w:val="21"/>
              </w:rPr>
              <w:t>采取减少噪声干扰的措施，</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：4</w:t>
            </w:r>
            <w:r>
              <w:rPr>
                <w:rFonts w:ascii="宋体" w:hAnsi="宋体"/>
                <w:color w:val="000000"/>
                <w:kern w:val="0"/>
                <w:szCs w:val="21"/>
              </w:rPr>
              <w:t>分，并按下列规则分别评分并累计：</w:t>
            </w:r>
          </w:p>
          <w:p>
            <w:pPr>
              <w:rPr>
                <w:rFonts w:ascii="宋体" w:hAnsi="宋体"/>
                <w:color w:val="000000"/>
                <w:kern w:val="0"/>
                <w:szCs w:val="21"/>
              </w:rPr>
            </w:pPr>
            <w:r>
              <w:rPr>
                <w:rFonts w:ascii="宋体" w:hAnsi="宋体"/>
                <w:color w:val="000000"/>
                <w:kern w:val="0"/>
                <w:szCs w:val="21"/>
              </w:rPr>
              <w:t>①建筑平面、空间布局合理，没有明显的噪声干扰问题，得2分；</w:t>
            </w:r>
          </w:p>
          <w:p>
            <w:pPr>
              <w:rPr>
                <w:rFonts w:ascii="宋体" w:hAnsi="宋体"/>
                <w:szCs w:val="21"/>
              </w:rPr>
            </w:pPr>
            <w:r>
              <w:rPr>
                <w:rFonts w:ascii="宋体" w:hAnsi="宋体"/>
                <w:szCs w:val="21"/>
              </w:rPr>
              <w:t>②</w:t>
            </w:r>
            <w:r>
              <w:rPr>
                <w:rFonts w:ascii="宋体" w:hAnsi="宋体"/>
                <w:color w:val="000000"/>
                <w:kern w:val="0"/>
                <w:szCs w:val="21"/>
              </w:rPr>
              <w:t>采用同层排水或其他降低排水噪声的有效措施，使用率不小于50% ，得2分。</w:t>
            </w:r>
            <w:r>
              <w:rPr>
                <w:rFonts w:ascii="宋体" w:hAnsi="宋体"/>
                <w:szCs w:val="21"/>
              </w:rPr>
              <w:tab/>
            </w:r>
            <w:r>
              <w:rPr>
                <w:rFonts w:ascii="宋体" w:hAnsi="宋体"/>
                <w:szCs w:val="21"/>
              </w:rPr>
              <w:tab/>
            </w:r>
            <w:r>
              <w:rPr>
                <w:rFonts w:ascii="宋体" w:hAnsi="宋体"/>
                <w:szCs w:val="21"/>
              </w:rPr>
              <w:tab/>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8.2.4</w:t>
            </w:r>
          </w:p>
        </w:tc>
        <w:tc>
          <w:tcPr>
            <w:tcW w:w="3408" w:type="dxa"/>
            <w:vAlign w:val="top"/>
          </w:tcPr>
          <w:p>
            <w:pPr>
              <w:rPr>
                <w:rFonts w:ascii="宋体" w:hAnsi="宋体"/>
                <w:color w:val="000000"/>
                <w:kern w:val="0"/>
                <w:szCs w:val="21"/>
              </w:rPr>
            </w:pPr>
            <w:r>
              <w:rPr>
                <w:rFonts w:ascii="宋体" w:hAnsi="宋体"/>
                <w:color w:val="000000"/>
                <w:kern w:val="0"/>
                <w:szCs w:val="21"/>
              </w:rPr>
              <w:t>公共建筑中的多功能厅、接待大厅、大型会议室和其他有声学要求的重要房间进行专项声学设计，满足相应功能要求，</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：3</w:t>
            </w:r>
            <w:r>
              <w:rPr>
                <w:rFonts w:ascii="宋体" w:hAnsi="宋体"/>
                <w:color w:val="000000"/>
                <w:kern w:val="0"/>
                <w:szCs w:val="21"/>
              </w:rPr>
              <w:t>分。</w:t>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szCs w:val="21"/>
              </w:rPr>
              <w:t>8.2.5</w:t>
            </w:r>
          </w:p>
        </w:tc>
        <w:tc>
          <w:tcPr>
            <w:tcW w:w="3408" w:type="dxa"/>
            <w:vAlign w:val="center"/>
          </w:tcPr>
          <w:p>
            <w:pPr>
              <w:rPr>
                <w:rFonts w:hint="eastAsia" w:ascii="宋体" w:hAnsi="宋体"/>
                <w:color w:val="000000"/>
                <w:kern w:val="0"/>
                <w:szCs w:val="21"/>
              </w:rPr>
            </w:pPr>
            <w:r>
              <w:rPr>
                <w:rFonts w:ascii="宋体" w:hAnsi="宋体"/>
                <w:color w:val="000000"/>
                <w:kern w:val="0"/>
                <w:szCs w:val="21"/>
              </w:rPr>
              <w:t>建筑主要功能房间具有良好的户外视野，</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：3</w:t>
            </w:r>
            <w:r>
              <w:rPr>
                <w:rFonts w:ascii="宋体" w:hAnsi="宋体"/>
                <w:color w:val="000000"/>
                <w:kern w:val="0"/>
                <w:szCs w:val="21"/>
              </w:rPr>
              <w:t>分。</w:t>
            </w:r>
          </w:p>
          <w:p>
            <w:pPr>
              <w:rPr>
                <w:rFonts w:hint="eastAsia"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对居住建筑，其与相邻建筑的直接间距超过18m;</w:t>
            </w:r>
          </w:p>
          <w:p>
            <w:pPr>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对公共建筑，其主要功能房间能通过外窗看到室外自然景观，无明显视线干扰。</w:t>
            </w:r>
          </w:p>
        </w:tc>
        <w:tc>
          <w:tcPr>
            <w:tcW w:w="844" w:type="dxa"/>
            <w:vAlign w:val="center"/>
          </w:tcPr>
          <w:p>
            <w:pPr>
              <w:jc w:val="center"/>
              <w:rPr>
                <w:rFonts w:hint="eastAsia"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szCs w:val="21"/>
              </w:rPr>
            </w:pPr>
            <w:r>
              <w:rPr>
                <w:rFonts w:ascii="宋体" w:hAnsi="宋体"/>
                <w:color w:val="000000"/>
                <w:szCs w:val="21"/>
              </w:rPr>
              <w:t>8.2.6</w:t>
            </w:r>
          </w:p>
        </w:tc>
        <w:tc>
          <w:tcPr>
            <w:tcW w:w="3408" w:type="dxa"/>
            <w:vAlign w:val="top"/>
          </w:tcPr>
          <w:p>
            <w:pPr>
              <w:rPr>
                <w:rFonts w:ascii="宋体" w:hAnsi="宋体"/>
                <w:szCs w:val="21"/>
              </w:rPr>
            </w:pPr>
            <w:r>
              <w:rPr>
                <w:rFonts w:ascii="宋体" w:hAnsi="宋体"/>
                <w:szCs w:val="21"/>
              </w:rPr>
              <w:t>主要功能房间的采光系数满足现行国家标准《建筑采光 设计标准》GB50033的要求，</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：8</w:t>
            </w:r>
            <w:r>
              <w:rPr>
                <w:rFonts w:ascii="宋体" w:hAnsi="宋体"/>
                <w:color w:val="000000"/>
                <w:kern w:val="0"/>
                <w:szCs w:val="21"/>
              </w:rPr>
              <w:t>分</w:t>
            </w:r>
            <w:r>
              <w:rPr>
                <w:rFonts w:ascii="宋体" w:hAnsi="宋体"/>
                <w:szCs w:val="21"/>
              </w:rPr>
              <w:t>，并按下列规则评分：</w:t>
            </w:r>
          </w:p>
          <w:p>
            <w:pPr>
              <w:rPr>
                <w:rFonts w:ascii="宋体" w:hAnsi="宋体"/>
                <w:szCs w:val="21"/>
              </w:rPr>
            </w:pPr>
            <w:r>
              <w:rPr>
                <w:rFonts w:ascii="宋体" w:hAnsi="宋体"/>
                <w:szCs w:val="21"/>
              </w:rPr>
              <w:t>1居住建筑：卧室</w:t>
            </w:r>
            <w:r>
              <w:rPr>
                <w:rFonts w:hint="eastAsia" w:ascii="宋体" w:hAnsi="宋体"/>
                <w:szCs w:val="21"/>
              </w:rPr>
              <w:t>、</w:t>
            </w:r>
            <w:r>
              <w:rPr>
                <w:rFonts w:ascii="宋体" w:hAnsi="宋体"/>
                <w:szCs w:val="21"/>
              </w:rPr>
              <w:t>起居室的窗地面积比达到1/6，得6分；达到1/5，得8分。</w:t>
            </w:r>
          </w:p>
          <w:p>
            <w:pPr>
              <w:rPr>
                <w:rFonts w:hint="eastAsia" w:ascii="宋体" w:hAnsi="宋体"/>
                <w:szCs w:val="21"/>
              </w:rPr>
            </w:pPr>
            <w:r>
              <w:rPr>
                <w:rFonts w:ascii="宋体" w:hAnsi="宋体"/>
                <w:szCs w:val="21"/>
              </w:rPr>
              <w:t>2公共建筑：根据主要功能房间采光系数满足现行国家标准《建筑采光设计标准》GB50033要求的面积比例</w:t>
            </w:r>
            <w:r>
              <w:rPr>
                <w:rFonts w:hint="eastAsia" w:ascii="宋体" w:hAnsi="宋体"/>
                <w:szCs w:val="21"/>
              </w:rPr>
              <w:t>Ra</w:t>
            </w:r>
            <w:r>
              <w:rPr>
                <w:rFonts w:ascii="宋体" w:hAnsi="宋体"/>
                <w:szCs w:val="21"/>
              </w:rPr>
              <w:t>，最高得8分。</w:t>
            </w:r>
          </w:p>
          <w:p>
            <w:pPr>
              <w:numPr>
                <w:ilvl w:val="0"/>
                <w:numId w:val="4"/>
              </w:numPr>
              <w:jc w:val="left"/>
              <w:rPr>
                <w:rFonts w:hint="eastAsia" w:ascii="宋体" w:hAnsi="宋体"/>
                <w:szCs w:val="21"/>
              </w:rPr>
            </w:pPr>
            <w:r>
              <w:rPr>
                <w:rFonts w:hint="eastAsia" w:ascii="宋体" w:hAnsi="宋体"/>
                <w:szCs w:val="21"/>
              </w:rPr>
              <w:t>60%≤Ra＜65%，</w:t>
            </w:r>
            <w:r>
              <w:rPr>
                <w:rFonts w:ascii="宋体" w:hAnsi="宋体"/>
                <w:szCs w:val="21"/>
              </w:rPr>
              <w:t>得</w:t>
            </w:r>
            <w:r>
              <w:rPr>
                <w:rFonts w:hint="eastAsia" w:ascii="宋体" w:hAnsi="宋体"/>
                <w:szCs w:val="21"/>
              </w:rPr>
              <w:t>4</w:t>
            </w:r>
            <w:r>
              <w:rPr>
                <w:rFonts w:ascii="宋体" w:hAnsi="宋体"/>
                <w:szCs w:val="21"/>
              </w:rPr>
              <w:t>分</w:t>
            </w:r>
            <w:r>
              <w:rPr>
                <w:rFonts w:hint="eastAsia" w:ascii="宋体" w:hAnsi="宋体"/>
                <w:szCs w:val="21"/>
              </w:rPr>
              <w:t>；</w:t>
            </w:r>
          </w:p>
          <w:p>
            <w:pPr>
              <w:numPr>
                <w:ilvl w:val="0"/>
                <w:numId w:val="4"/>
              </w:numPr>
              <w:jc w:val="left"/>
              <w:rPr>
                <w:rFonts w:hint="eastAsia" w:ascii="宋体" w:hAnsi="宋体"/>
                <w:szCs w:val="21"/>
              </w:rPr>
            </w:pPr>
            <w:r>
              <w:rPr>
                <w:rFonts w:hint="eastAsia" w:ascii="宋体" w:hAnsi="宋体"/>
                <w:szCs w:val="21"/>
              </w:rPr>
              <w:t>65%≤Ra＜70%，</w:t>
            </w:r>
            <w:r>
              <w:rPr>
                <w:rFonts w:ascii="宋体" w:hAnsi="宋体"/>
                <w:szCs w:val="21"/>
              </w:rPr>
              <w:t>得</w:t>
            </w:r>
            <w:r>
              <w:rPr>
                <w:rFonts w:hint="eastAsia" w:ascii="宋体" w:hAnsi="宋体"/>
                <w:szCs w:val="21"/>
              </w:rPr>
              <w:t>5</w:t>
            </w:r>
            <w:r>
              <w:rPr>
                <w:rFonts w:ascii="宋体" w:hAnsi="宋体"/>
                <w:szCs w:val="21"/>
              </w:rPr>
              <w:t>分</w:t>
            </w:r>
            <w:r>
              <w:rPr>
                <w:rFonts w:hint="eastAsia" w:ascii="宋体" w:hAnsi="宋体"/>
                <w:szCs w:val="21"/>
              </w:rPr>
              <w:t>；</w:t>
            </w:r>
          </w:p>
          <w:p>
            <w:pPr>
              <w:numPr>
                <w:ilvl w:val="0"/>
                <w:numId w:val="4"/>
              </w:numPr>
              <w:jc w:val="left"/>
              <w:rPr>
                <w:rFonts w:hint="eastAsia" w:ascii="宋体" w:hAnsi="宋体"/>
                <w:szCs w:val="21"/>
              </w:rPr>
            </w:pPr>
            <w:r>
              <w:rPr>
                <w:rFonts w:hint="eastAsia" w:ascii="宋体" w:hAnsi="宋体"/>
                <w:szCs w:val="21"/>
              </w:rPr>
              <w:t>70%≤Ra＜75%，</w:t>
            </w:r>
            <w:r>
              <w:rPr>
                <w:rFonts w:ascii="宋体" w:hAnsi="宋体"/>
                <w:szCs w:val="21"/>
              </w:rPr>
              <w:t>得</w:t>
            </w:r>
            <w:r>
              <w:rPr>
                <w:rFonts w:hint="eastAsia" w:ascii="宋体" w:hAnsi="宋体"/>
                <w:szCs w:val="21"/>
              </w:rPr>
              <w:t>6</w:t>
            </w:r>
            <w:r>
              <w:rPr>
                <w:rFonts w:ascii="宋体" w:hAnsi="宋体"/>
                <w:szCs w:val="21"/>
              </w:rPr>
              <w:t>分</w:t>
            </w:r>
            <w:r>
              <w:rPr>
                <w:rFonts w:hint="eastAsia" w:ascii="宋体" w:hAnsi="宋体"/>
                <w:szCs w:val="21"/>
              </w:rPr>
              <w:t>；</w:t>
            </w:r>
          </w:p>
          <w:p>
            <w:pPr>
              <w:numPr>
                <w:ilvl w:val="0"/>
                <w:numId w:val="4"/>
              </w:numPr>
              <w:jc w:val="left"/>
              <w:rPr>
                <w:rFonts w:hint="eastAsia" w:ascii="宋体" w:hAnsi="宋体"/>
                <w:szCs w:val="21"/>
              </w:rPr>
            </w:pPr>
            <w:r>
              <w:rPr>
                <w:rFonts w:hint="eastAsia" w:ascii="宋体" w:hAnsi="宋体"/>
                <w:szCs w:val="21"/>
              </w:rPr>
              <w:t>75%≤Ra＜80%，</w:t>
            </w:r>
            <w:r>
              <w:rPr>
                <w:rFonts w:ascii="宋体" w:hAnsi="宋体"/>
                <w:szCs w:val="21"/>
              </w:rPr>
              <w:t>得</w:t>
            </w:r>
            <w:r>
              <w:rPr>
                <w:rFonts w:hint="eastAsia" w:ascii="宋体" w:hAnsi="宋体"/>
                <w:szCs w:val="21"/>
              </w:rPr>
              <w:t>7</w:t>
            </w:r>
            <w:r>
              <w:rPr>
                <w:rFonts w:ascii="宋体" w:hAnsi="宋体"/>
                <w:szCs w:val="21"/>
              </w:rPr>
              <w:t>分</w:t>
            </w:r>
            <w:r>
              <w:rPr>
                <w:rFonts w:hint="eastAsia" w:ascii="宋体" w:hAnsi="宋体"/>
                <w:szCs w:val="21"/>
              </w:rPr>
              <w:t>；</w:t>
            </w:r>
          </w:p>
          <w:p>
            <w:pPr>
              <w:numPr>
                <w:ilvl w:val="0"/>
                <w:numId w:val="4"/>
              </w:numPr>
              <w:jc w:val="left"/>
              <w:rPr>
                <w:rFonts w:ascii="宋体" w:hAnsi="宋体"/>
                <w:szCs w:val="21"/>
              </w:rPr>
            </w:pPr>
            <w:r>
              <w:rPr>
                <w:rFonts w:hint="eastAsia" w:ascii="宋体" w:hAnsi="宋体"/>
                <w:szCs w:val="21"/>
              </w:rPr>
              <w:t>Ra≥80%，</w:t>
            </w:r>
            <w:r>
              <w:rPr>
                <w:rFonts w:ascii="宋体" w:hAnsi="宋体"/>
                <w:szCs w:val="21"/>
              </w:rPr>
              <w:t>得</w:t>
            </w:r>
            <w:r>
              <w:rPr>
                <w:rFonts w:hint="eastAsia" w:ascii="宋体" w:hAnsi="宋体"/>
                <w:szCs w:val="21"/>
              </w:rPr>
              <w:t>8</w:t>
            </w:r>
            <w:r>
              <w:rPr>
                <w:rFonts w:ascii="宋体" w:hAnsi="宋体"/>
                <w:szCs w:val="21"/>
              </w:rPr>
              <w:t>分</w:t>
            </w:r>
            <w:r>
              <w:rPr>
                <w:rFonts w:hint="eastAsia" w:ascii="宋体" w:hAnsi="宋体"/>
                <w:szCs w:val="21"/>
              </w:rPr>
              <w:t>。</w:t>
            </w:r>
          </w:p>
        </w:tc>
        <w:tc>
          <w:tcPr>
            <w:tcW w:w="844" w:type="dxa"/>
            <w:vAlign w:val="center"/>
          </w:tcPr>
          <w:p>
            <w:pPr>
              <w:jc w:val="center"/>
              <w:rPr>
                <w:rFonts w:ascii="宋体" w:hAnsi="宋体"/>
                <w:color w:val="000000"/>
                <w:szCs w:val="21"/>
              </w:rPr>
            </w:pPr>
          </w:p>
        </w:tc>
        <w:tc>
          <w:tcPr>
            <w:tcW w:w="3260" w:type="dxa"/>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8.2.7</w:t>
            </w:r>
          </w:p>
        </w:tc>
        <w:tc>
          <w:tcPr>
            <w:tcW w:w="3408" w:type="dxa"/>
            <w:vAlign w:val="top"/>
          </w:tcPr>
          <w:p>
            <w:pPr>
              <w:rPr>
                <w:rFonts w:ascii="宋体" w:hAnsi="宋体"/>
                <w:szCs w:val="21"/>
              </w:rPr>
            </w:pPr>
            <w:r>
              <w:rPr>
                <w:rFonts w:ascii="宋体" w:hAnsi="宋体"/>
                <w:szCs w:val="21"/>
              </w:rPr>
              <w:t>改善建筑室内天然采光效果，</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：14</w:t>
            </w:r>
            <w:r>
              <w:rPr>
                <w:rFonts w:ascii="宋体" w:hAnsi="宋体"/>
                <w:color w:val="000000"/>
                <w:kern w:val="0"/>
                <w:szCs w:val="21"/>
              </w:rPr>
              <w:t>分</w:t>
            </w:r>
            <w:r>
              <w:rPr>
                <w:rFonts w:ascii="宋体" w:hAnsi="宋体"/>
                <w:szCs w:val="21"/>
              </w:rPr>
              <w:t>，并按 下列规则分别评分并累计：</w:t>
            </w:r>
          </w:p>
          <w:p>
            <w:pPr>
              <w:rPr>
                <w:rFonts w:ascii="宋体" w:hAnsi="宋体"/>
                <w:szCs w:val="21"/>
              </w:rPr>
            </w:pPr>
            <w:r>
              <w:rPr>
                <w:rFonts w:hint="eastAsia" w:ascii="宋体" w:hAnsi="宋体"/>
                <w:szCs w:val="21"/>
              </w:rPr>
              <w:t>1）</w:t>
            </w:r>
            <w:r>
              <w:rPr>
                <w:rFonts w:ascii="宋体" w:hAnsi="宋体"/>
                <w:szCs w:val="21"/>
              </w:rPr>
              <w:t>主要功能房间有合理的控制眩光措施，得6分；</w:t>
            </w:r>
            <w:r>
              <w:rPr>
                <w:rFonts w:ascii="宋体" w:hAnsi="宋体"/>
                <w:szCs w:val="21"/>
              </w:rPr>
              <w:tab/>
            </w:r>
            <w:r>
              <w:rPr>
                <w:rFonts w:ascii="宋体" w:hAnsi="宋体"/>
                <w:szCs w:val="21"/>
              </w:rPr>
              <w:tab/>
            </w:r>
          </w:p>
          <w:p>
            <w:pPr>
              <w:rPr>
                <w:rFonts w:ascii="宋体" w:hAnsi="宋体"/>
                <w:szCs w:val="21"/>
              </w:rPr>
            </w:pPr>
            <w:r>
              <w:rPr>
                <w:rFonts w:hint="eastAsia" w:ascii="宋体" w:hAnsi="宋体"/>
                <w:szCs w:val="21"/>
              </w:rPr>
              <w:t>2）</w:t>
            </w:r>
            <w:r>
              <w:rPr>
                <w:rFonts w:ascii="宋体" w:hAnsi="宋体"/>
                <w:szCs w:val="21"/>
              </w:rPr>
              <w:t>内区采光系数满足采光要求的面积比例达到60%，得 4分；</w:t>
            </w:r>
          </w:p>
          <w:p>
            <w:pPr>
              <w:rPr>
                <w:rFonts w:hint="eastAsia" w:ascii="宋体" w:hAnsi="宋体"/>
                <w:szCs w:val="21"/>
              </w:rPr>
            </w:pPr>
            <w:r>
              <w:rPr>
                <w:rFonts w:hint="eastAsia" w:ascii="宋体" w:hAnsi="宋体"/>
                <w:szCs w:val="21"/>
              </w:rPr>
              <w:t>3）</w:t>
            </w:r>
            <w:r>
              <w:rPr>
                <w:rFonts w:ascii="宋体" w:hAnsi="宋体"/>
                <w:szCs w:val="21"/>
              </w:rPr>
              <w:t>根据地下空间平均采光系数不小于0.5%的面积与首层地下室面积的比例</w:t>
            </w:r>
            <w:r>
              <w:rPr>
                <w:rFonts w:hint="eastAsia" w:ascii="宋体" w:hAnsi="宋体"/>
                <w:szCs w:val="21"/>
              </w:rPr>
              <w:t>Ra</w:t>
            </w:r>
            <w:r>
              <w:rPr>
                <w:rFonts w:ascii="宋体" w:hAnsi="宋体"/>
                <w:szCs w:val="21"/>
              </w:rPr>
              <w:t>，最高得4分。</w:t>
            </w:r>
          </w:p>
          <w:p>
            <w:pPr>
              <w:numPr>
                <w:ilvl w:val="0"/>
                <w:numId w:val="5"/>
              </w:numPr>
              <w:jc w:val="left"/>
              <w:rPr>
                <w:rFonts w:hint="eastAsia" w:ascii="宋体" w:hAnsi="宋体"/>
                <w:szCs w:val="21"/>
              </w:rPr>
            </w:pPr>
            <w:r>
              <w:rPr>
                <w:rFonts w:hint="eastAsia" w:ascii="宋体" w:hAnsi="宋体"/>
                <w:szCs w:val="21"/>
              </w:rPr>
              <w:t>5%≤Ra＜10%，</w:t>
            </w:r>
            <w:r>
              <w:rPr>
                <w:rFonts w:ascii="宋体" w:hAnsi="宋体"/>
                <w:szCs w:val="21"/>
              </w:rPr>
              <w:t>得</w:t>
            </w:r>
            <w:r>
              <w:rPr>
                <w:rFonts w:hint="eastAsia" w:ascii="宋体" w:hAnsi="宋体"/>
                <w:szCs w:val="21"/>
              </w:rPr>
              <w:t>1</w:t>
            </w:r>
            <w:r>
              <w:rPr>
                <w:rFonts w:ascii="宋体" w:hAnsi="宋体"/>
                <w:szCs w:val="21"/>
              </w:rPr>
              <w:t>分</w:t>
            </w:r>
            <w:r>
              <w:rPr>
                <w:rFonts w:hint="eastAsia" w:ascii="宋体" w:hAnsi="宋体"/>
                <w:szCs w:val="21"/>
              </w:rPr>
              <w:t>；</w:t>
            </w:r>
          </w:p>
          <w:p>
            <w:pPr>
              <w:numPr>
                <w:ilvl w:val="0"/>
                <w:numId w:val="5"/>
              </w:numPr>
              <w:jc w:val="left"/>
              <w:rPr>
                <w:rFonts w:hint="eastAsia" w:ascii="宋体" w:hAnsi="宋体"/>
                <w:szCs w:val="21"/>
              </w:rPr>
            </w:pPr>
            <w:r>
              <w:rPr>
                <w:rFonts w:hint="eastAsia" w:ascii="宋体" w:hAnsi="宋体"/>
                <w:szCs w:val="21"/>
              </w:rPr>
              <w:t>10%≤Ra＜15%，</w:t>
            </w:r>
            <w:r>
              <w:rPr>
                <w:rFonts w:ascii="宋体" w:hAnsi="宋体"/>
                <w:szCs w:val="21"/>
              </w:rPr>
              <w:t>得</w:t>
            </w:r>
            <w:r>
              <w:rPr>
                <w:rFonts w:hint="eastAsia" w:ascii="宋体" w:hAnsi="宋体"/>
                <w:szCs w:val="21"/>
              </w:rPr>
              <w:t>2</w:t>
            </w:r>
            <w:r>
              <w:rPr>
                <w:rFonts w:ascii="宋体" w:hAnsi="宋体"/>
                <w:szCs w:val="21"/>
              </w:rPr>
              <w:t>分</w:t>
            </w:r>
            <w:r>
              <w:rPr>
                <w:rFonts w:hint="eastAsia" w:ascii="宋体" w:hAnsi="宋体"/>
                <w:szCs w:val="21"/>
              </w:rPr>
              <w:t>；</w:t>
            </w:r>
          </w:p>
          <w:p>
            <w:pPr>
              <w:numPr>
                <w:ilvl w:val="0"/>
                <w:numId w:val="5"/>
              </w:numPr>
              <w:jc w:val="left"/>
              <w:rPr>
                <w:rFonts w:hint="eastAsia" w:ascii="宋体" w:hAnsi="宋体"/>
                <w:szCs w:val="21"/>
              </w:rPr>
            </w:pPr>
            <w:r>
              <w:rPr>
                <w:rFonts w:hint="eastAsia" w:ascii="宋体" w:hAnsi="宋体"/>
                <w:szCs w:val="21"/>
              </w:rPr>
              <w:t>15%≤Ra＜20%，</w:t>
            </w:r>
            <w:r>
              <w:rPr>
                <w:rFonts w:ascii="宋体" w:hAnsi="宋体"/>
                <w:szCs w:val="21"/>
              </w:rPr>
              <w:t>得</w:t>
            </w:r>
            <w:r>
              <w:rPr>
                <w:rFonts w:hint="eastAsia" w:ascii="宋体" w:hAnsi="宋体"/>
                <w:szCs w:val="21"/>
              </w:rPr>
              <w:t>3</w:t>
            </w:r>
            <w:r>
              <w:rPr>
                <w:rFonts w:ascii="宋体" w:hAnsi="宋体"/>
                <w:szCs w:val="21"/>
              </w:rPr>
              <w:t>分</w:t>
            </w:r>
            <w:r>
              <w:rPr>
                <w:rFonts w:hint="eastAsia" w:ascii="宋体" w:hAnsi="宋体"/>
                <w:szCs w:val="21"/>
              </w:rPr>
              <w:t>；</w:t>
            </w:r>
          </w:p>
          <w:p>
            <w:pPr>
              <w:numPr>
                <w:ilvl w:val="0"/>
                <w:numId w:val="5"/>
              </w:numPr>
              <w:rPr>
                <w:rFonts w:ascii="宋体" w:hAnsi="宋体"/>
                <w:szCs w:val="21"/>
              </w:rPr>
            </w:pPr>
            <w:r>
              <w:rPr>
                <w:rFonts w:hint="eastAsia" w:ascii="宋体" w:hAnsi="宋体"/>
                <w:szCs w:val="21"/>
              </w:rPr>
              <w:t>Ra≥20%，</w:t>
            </w:r>
            <w:r>
              <w:rPr>
                <w:rFonts w:ascii="宋体" w:hAnsi="宋体"/>
                <w:szCs w:val="21"/>
              </w:rPr>
              <w:t>得</w:t>
            </w:r>
            <w:r>
              <w:rPr>
                <w:rFonts w:hint="eastAsia" w:ascii="宋体" w:hAnsi="宋体"/>
                <w:szCs w:val="21"/>
              </w:rPr>
              <w:t>4</w:t>
            </w:r>
            <w:r>
              <w:rPr>
                <w:rFonts w:ascii="宋体" w:hAnsi="宋体"/>
                <w:szCs w:val="21"/>
              </w:rPr>
              <w:t>分</w:t>
            </w:r>
            <w:r>
              <w:rPr>
                <w:rFonts w:hint="eastAsia" w:ascii="宋体" w:hAnsi="宋体"/>
                <w:szCs w:val="21"/>
              </w:rPr>
              <w:t>。</w:t>
            </w:r>
          </w:p>
        </w:tc>
        <w:tc>
          <w:tcPr>
            <w:tcW w:w="844" w:type="dxa"/>
            <w:vAlign w:val="center"/>
          </w:tcPr>
          <w:p>
            <w:pPr>
              <w:jc w:val="center"/>
              <w:rPr>
                <w:rFonts w:hint="eastAsia" w:ascii="宋体" w:hAnsi="宋体"/>
                <w:color w:val="000000"/>
                <w:szCs w:val="21"/>
              </w:rPr>
            </w:pPr>
          </w:p>
        </w:tc>
        <w:tc>
          <w:tcPr>
            <w:tcW w:w="32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8.2.8</w:t>
            </w:r>
          </w:p>
        </w:tc>
        <w:tc>
          <w:tcPr>
            <w:tcW w:w="3408" w:type="dxa"/>
            <w:vAlign w:val="top"/>
          </w:tcPr>
          <w:p>
            <w:pPr>
              <w:rPr>
                <w:rFonts w:ascii="宋体" w:hAnsi="宋体"/>
                <w:szCs w:val="21"/>
              </w:rPr>
            </w:pPr>
            <w:r>
              <w:rPr>
                <w:rFonts w:ascii="宋体" w:hAnsi="宋体"/>
                <w:szCs w:val="21"/>
              </w:rPr>
              <w:t>采取可调节遮阳措施，降低夏季太阳辐射得热，</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：12</w:t>
            </w:r>
            <w:r>
              <w:rPr>
                <w:rFonts w:ascii="宋体" w:hAnsi="宋体"/>
                <w:color w:val="000000"/>
                <w:kern w:val="0"/>
                <w:szCs w:val="21"/>
              </w:rPr>
              <w:t>分</w:t>
            </w:r>
            <w:r>
              <w:rPr>
                <w:rFonts w:ascii="宋体" w:hAnsi="宋体"/>
                <w:szCs w:val="21"/>
              </w:rPr>
              <w:t>。</w:t>
            </w:r>
          </w:p>
          <w:p>
            <w:pPr>
              <w:rPr>
                <w:rFonts w:hint="eastAsia" w:ascii="宋体" w:hAnsi="宋体"/>
                <w:szCs w:val="21"/>
              </w:rPr>
            </w:pPr>
            <w:r>
              <w:rPr>
                <w:rFonts w:ascii="宋体" w:hAnsi="宋体"/>
                <w:szCs w:val="21"/>
              </w:rPr>
              <w:t>①外窗和幕墙透明部分中，有可控遮阳调节措施的面积比例达到25%，得6分；</w:t>
            </w:r>
          </w:p>
          <w:p>
            <w:pPr>
              <w:rPr>
                <w:rFonts w:ascii="宋体" w:hAnsi="宋体"/>
                <w:szCs w:val="21"/>
              </w:rPr>
            </w:pPr>
            <w:r>
              <w:rPr>
                <w:rFonts w:ascii="宋体" w:hAnsi="宋体"/>
                <w:szCs w:val="21"/>
              </w:rPr>
              <w:t>②达到50%，得12分。</w:t>
            </w:r>
            <w:r>
              <w:rPr>
                <w:rFonts w:ascii="宋体" w:hAnsi="宋体"/>
                <w:szCs w:val="21"/>
              </w:rPr>
              <w:tab/>
            </w:r>
            <w:r>
              <w:rPr>
                <w:rFonts w:ascii="宋体" w:hAnsi="宋体"/>
                <w:szCs w:val="21"/>
              </w:rPr>
              <w:tab/>
            </w:r>
          </w:p>
        </w:tc>
        <w:tc>
          <w:tcPr>
            <w:tcW w:w="844" w:type="dxa"/>
            <w:vAlign w:val="center"/>
          </w:tcPr>
          <w:p>
            <w:pPr>
              <w:jc w:val="center"/>
              <w:rPr>
                <w:rFonts w:ascii="宋体" w:hAnsi="宋体"/>
                <w:color w:val="000000"/>
                <w:szCs w:val="21"/>
              </w:rPr>
            </w:pPr>
          </w:p>
        </w:tc>
        <w:tc>
          <w:tcPr>
            <w:tcW w:w="3260" w:type="dxa"/>
            <w:vAlign w:val="center"/>
          </w:tcPr>
          <w:p>
            <w:pPr>
              <w:ind w:left="210" w:hanging="210" w:hangingChars="100"/>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8.2.9</w:t>
            </w:r>
          </w:p>
        </w:tc>
        <w:tc>
          <w:tcPr>
            <w:tcW w:w="3408" w:type="dxa"/>
            <w:vAlign w:val="top"/>
          </w:tcPr>
          <w:p>
            <w:pPr>
              <w:rPr>
                <w:rFonts w:ascii="宋体" w:hAnsi="宋体"/>
                <w:szCs w:val="21"/>
              </w:rPr>
            </w:pPr>
            <w:r>
              <w:rPr>
                <w:rFonts w:ascii="宋体" w:hAnsi="宋体"/>
                <w:szCs w:val="21"/>
              </w:rPr>
              <w:t>供暖空调系统末端现场可独立调节，</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：8</w:t>
            </w:r>
            <w:r>
              <w:rPr>
                <w:rFonts w:ascii="宋体" w:hAnsi="宋体"/>
                <w:color w:val="000000"/>
                <w:kern w:val="0"/>
                <w:szCs w:val="21"/>
              </w:rPr>
              <w:t>分</w:t>
            </w:r>
            <w:r>
              <w:rPr>
                <w:rFonts w:ascii="宋体" w:hAnsi="宋体"/>
                <w:szCs w:val="21"/>
              </w:rPr>
              <w:t>。</w:t>
            </w:r>
            <w:r>
              <w:rPr>
                <w:rFonts w:ascii="宋体" w:hAnsi="宋体"/>
                <w:szCs w:val="21"/>
              </w:rPr>
              <w:tab/>
            </w:r>
          </w:p>
          <w:p>
            <w:pPr>
              <w:rPr>
                <w:rFonts w:hint="eastAsia" w:ascii="宋体" w:hAnsi="宋体"/>
                <w:szCs w:val="21"/>
              </w:rPr>
            </w:pPr>
            <w:r>
              <w:rPr>
                <w:rFonts w:hint="eastAsia" w:ascii="宋体" w:hAnsi="宋体"/>
                <w:szCs w:val="21"/>
              </w:rPr>
              <w:t>1）</w:t>
            </w:r>
            <w:r>
              <w:rPr>
                <w:rFonts w:ascii="宋体" w:hAnsi="宋体"/>
                <w:szCs w:val="21"/>
              </w:rPr>
              <w:t>供暖、空调末端装置可独立启停的主要功能房间数量比例达到70%,得4分；</w:t>
            </w:r>
          </w:p>
          <w:p>
            <w:pPr>
              <w:rPr>
                <w:rFonts w:ascii="宋体" w:hAnsi="宋体"/>
                <w:szCs w:val="21"/>
              </w:rPr>
            </w:pPr>
            <w:r>
              <w:rPr>
                <w:rFonts w:hint="eastAsia" w:ascii="宋体" w:hAnsi="宋体"/>
                <w:szCs w:val="21"/>
              </w:rPr>
              <w:t>2）</w:t>
            </w:r>
            <w:r>
              <w:rPr>
                <w:rFonts w:ascii="宋体" w:hAnsi="宋体"/>
                <w:szCs w:val="21"/>
              </w:rPr>
              <w:t>达到90%，得8分。</w:t>
            </w:r>
            <w:r>
              <w:rPr>
                <w:rFonts w:ascii="宋体" w:hAnsi="宋体"/>
                <w:szCs w:val="21"/>
              </w:rPr>
              <w:tab/>
            </w:r>
            <w:r>
              <w:rPr>
                <w:rFonts w:ascii="宋体" w:hAnsi="宋体"/>
                <w:szCs w:val="21"/>
              </w:rPr>
              <w:tab/>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8.2.10</w:t>
            </w:r>
          </w:p>
        </w:tc>
        <w:tc>
          <w:tcPr>
            <w:tcW w:w="3408" w:type="dxa"/>
            <w:vAlign w:val="top"/>
          </w:tcPr>
          <w:p>
            <w:pPr>
              <w:rPr>
                <w:rFonts w:ascii="宋体" w:hAnsi="宋体"/>
                <w:szCs w:val="21"/>
              </w:rPr>
            </w:pPr>
            <w:r>
              <w:rPr>
                <w:rFonts w:ascii="宋体" w:hAnsi="宋体"/>
                <w:szCs w:val="21"/>
              </w:rPr>
              <w:t>优化建筑空间、平面布局和构造设计，改善自然通风效果，</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：13</w:t>
            </w:r>
            <w:r>
              <w:rPr>
                <w:rFonts w:ascii="宋体" w:hAnsi="宋体"/>
                <w:color w:val="000000"/>
                <w:kern w:val="0"/>
                <w:szCs w:val="21"/>
              </w:rPr>
              <w:t>分</w:t>
            </w:r>
            <w:r>
              <w:rPr>
                <w:rFonts w:ascii="宋体" w:hAnsi="宋体"/>
                <w:szCs w:val="21"/>
              </w:rPr>
              <w:t>，并按下列规则评分：</w:t>
            </w:r>
          </w:p>
          <w:p>
            <w:pPr>
              <w:rPr>
                <w:rFonts w:hint="eastAsia" w:ascii="宋体" w:hAnsi="宋体"/>
                <w:szCs w:val="21"/>
              </w:rPr>
            </w:pPr>
            <w:r>
              <w:rPr>
                <w:rFonts w:ascii="宋体" w:hAnsi="宋体"/>
                <w:szCs w:val="21"/>
              </w:rPr>
              <w:t>公共建筑：根据在过渡季典型工况下主要功能房间平均 自然通风换气次数不小于2次/h的面积比例</w:t>
            </w:r>
            <w:r>
              <w:rPr>
                <w:rFonts w:hint="eastAsia" w:ascii="宋体" w:hAnsi="宋体"/>
                <w:szCs w:val="21"/>
              </w:rPr>
              <w:t>Rr</w:t>
            </w:r>
            <w:r>
              <w:rPr>
                <w:rFonts w:ascii="宋体" w:hAnsi="宋体"/>
                <w:szCs w:val="21"/>
              </w:rPr>
              <w:t>，最髙得13分。</w:t>
            </w:r>
          </w:p>
          <w:p>
            <w:pPr>
              <w:numPr>
                <w:ilvl w:val="0"/>
                <w:numId w:val="6"/>
              </w:numPr>
              <w:jc w:val="left"/>
              <w:rPr>
                <w:rFonts w:hint="eastAsia" w:ascii="宋体" w:hAnsi="宋体"/>
                <w:szCs w:val="21"/>
              </w:rPr>
            </w:pPr>
            <w:r>
              <w:rPr>
                <w:rFonts w:hint="eastAsia" w:ascii="宋体" w:hAnsi="宋体"/>
                <w:szCs w:val="21"/>
              </w:rPr>
              <w:t>60%≤Rr＜65%，</w:t>
            </w:r>
            <w:r>
              <w:rPr>
                <w:rFonts w:ascii="宋体" w:hAnsi="宋体"/>
                <w:szCs w:val="21"/>
              </w:rPr>
              <w:t>得</w:t>
            </w:r>
            <w:r>
              <w:rPr>
                <w:rFonts w:hint="eastAsia" w:ascii="宋体" w:hAnsi="宋体"/>
                <w:szCs w:val="21"/>
              </w:rPr>
              <w:t>6</w:t>
            </w:r>
            <w:r>
              <w:rPr>
                <w:rFonts w:ascii="宋体" w:hAnsi="宋体"/>
                <w:szCs w:val="21"/>
              </w:rPr>
              <w:t>分</w:t>
            </w:r>
            <w:r>
              <w:rPr>
                <w:rFonts w:hint="eastAsia" w:ascii="宋体" w:hAnsi="宋体"/>
                <w:szCs w:val="21"/>
              </w:rPr>
              <w:t>；</w:t>
            </w:r>
          </w:p>
          <w:p>
            <w:pPr>
              <w:numPr>
                <w:ilvl w:val="0"/>
                <w:numId w:val="6"/>
              </w:numPr>
              <w:jc w:val="left"/>
              <w:rPr>
                <w:rFonts w:hint="eastAsia" w:ascii="宋体" w:hAnsi="宋体"/>
                <w:szCs w:val="21"/>
              </w:rPr>
            </w:pPr>
            <w:r>
              <w:rPr>
                <w:rFonts w:hint="eastAsia" w:ascii="宋体" w:hAnsi="宋体"/>
                <w:szCs w:val="21"/>
              </w:rPr>
              <w:t>65%≤Rr＜70%，</w:t>
            </w:r>
            <w:r>
              <w:rPr>
                <w:rFonts w:ascii="宋体" w:hAnsi="宋体"/>
                <w:szCs w:val="21"/>
              </w:rPr>
              <w:t>得</w:t>
            </w:r>
            <w:r>
              <w:rPr>
                <w:rFonts w:hint="eastAsia" w:ascii="宋体" w:hAnsi="宋体"/>
                <w:szCs w:val="21"/>
              </w:rPr>
              <w:t>7</w:t>
            </w:r>
            <w:r>
              <w:rPr>
                <w:rFonts w:ascii="宋体" w:hAnsi="宋体"/>
                <w:szCs w:val="21"/>
              </w:rPr>
              <w:t>分</w:t>
            </w:r>
            <w:r>
              <w:rPr>
                <w:rFonts w:hint="eastAsia" w:ascii="宋体" w:hAnsi="宋体"/>
                <w:szCs w:val="21"/>
              </w:rPr>
              <w:t>；</w:t>
            </w:r>
          </w:p>
          <w:p>
            <w:pPr>
              <w:numPr>
                <w:ilvl w:val="0"/>
                <w:numId w:val="6"/>
              </w:numPr>
              <w:jc w:val="left"/>
              <w:rPr>
                <w:rFonts w:hint="eastAsia" w:ascii="宋体" w:hAnsi="宋体"/>
                <w:szCs w:val="21"/>
              </w:rPr>
            </w:pPr>
            <w:r>
              <w:rPr>
                <w:rFonts w:hint="eastAsia" w:ascii="宋体" w:hAnsi="宋体"/>
                <w:szCs w:val="21"/>
              </w:rPr>
              <w:t>70%≤Rr＜75%，</w:t>
            </w:r>
            <w:r>
              <w:rPr>
                <w:rFonts w:ascii="宋体" w:hAnsi="宋体"/>
                <w:szCs w:val="21"/>
              </w:rPr>
              <w:t>得</w:t>
            </w:r>
            <w:r>
              <w:rPr>
                <w:rFonts w:hint="eastAsia" w:ascii="宋体" w:hAnsi="宋体"/>
                <w:szCs w:val="21"/>
              </w:rPr>
              <w:t>8</w:t>
            </w:r>
            <w:r>
              <w:rPr>
                <w:rFonts w:ascii="宋体" w:hAnsi="宋体"/>
                <w:szCs w:val="21"/>
              </w:rPr>
              <w:t>分</w:t>
            </w:r>
            <w:r>
              <w:rPr>
                <w:rFonts w:hint="eastAsia" w:ascii="宋体" w:hAnsi="宋体"/>
                <w:szCs w:val="21"/>
              </w:rPr>
              <w:t>；</w:t>
            </w:r>
          </w:p>
          <w:p>
            <w:pPr>
              <w:numPr>
                <w:ilvl w:val="0"/>
                <w:numId w:val="6"/>
              </w:numPr>
              <w:jc w:val="left"/>
              <w:rPr>
                <w:rFonts w:hint="eastAsia" w:ascii="宋体" w:hAnsi="宋体"/>
                <w:szCs w:val="21"/>
              </w:rPr>
            </w:pPr>
            <w:r>
              <w:rPr>
                <w:rFonts w:hint="eastAsia" w:ascii="宋体" w:hAnsi="宋体"/>
                <w:szCs w:val="21"/>
              </w:rPr>
              <w:t>75%≤Ra＜80%，</w:t>
            </w:r>
            <w:r>
              <w:rPr>
                <w:rFonts w:ascii="宋体" w:hAnsi="宋体"/>
                <w:szCs w:val="21"/>
              </w:rPr>
              <w:t>得</w:t>
            </w:r>
            <w:r>
              <w:rPr>
                <w:rFonts w:hint="eastAsia" w:ascii="宋体" w:hAnsi="宋体"/>
                <w:szCs w:val="21"/>
              </w:rPr>
              <w:t>9</w:t>
            </w:r>
            <w:r>
              <w:rPr>
                <w:rFonts w:ascii="宋体" w:hAnsi="宋体"/>
                <w:szCs w:val="21"/>
              </w:rPr>
              <w:t>分</w:t>
            </w:r>
            <w:r>
              <w:rPr>
                <w:rFonts w:hint="eastAsia" w:ascii="宋体" w:hAnsi="宋体"/>
                <w:szCs w:val="21"/>
              </w:rPr>
              <w:t>；</w:t>
            </w:r>
          </w:p>
          <w:p>
            <w:pPr>
              <w:numPr>
                <w:ilvl w:val="0"/>
                <w:numId w:val="6"/>
              </w:numPr>
              <w:jc w:val="left"/>
              <w:rPr>
                <w:rFonts w:hint="eastAsia" w:ascii="宋体" w:hAnsi="宋体"/>
                <w:szCs w:val="21"/>
              </w:rPr>
            </w:pPr>
            <w:r>
              <w:rPr>
                <w:rFonts w:hint="eastAsia" w:ascii="宋体" w:hAnsi="宋体"/>
                <w:szCs w:val="21"/>
              </w:rPr>
              <w:t>80%≤Ra＜85%，</w:t>
            </w:r>
            <w:r>
              <w:rPr>
                <w:rFonts w:ascii="宋体" w:hAnsi="宋体"/>
                <w:szCs w:val="21"/>
              </w:rPr>
              <w:t>得</w:t>
            </w:r>
            <w:r>
              <w:rPr>
                <w:rFonts w:hint="eastAsia" w:ascii="宋体" w:hAnsi="宋体"/>
                <w:szCs w:val="21"/>
              </w:rPr>
              <w:t>10</w:t>
            </w:r>
            <w:r>
              <w:rPr>
                <w:rFonts w:ascii="宋体" w:hAnsi="宋体"/>
                <w:szCs w:val="21"/>
              </w:rPr>
              <w:t>分</w:t>
            </w:r>
            <w:r>
              <w:rPr>
                <w:rFonts w:hint="eastAsia" w:ascii="宋体" w:hAnsi="宋体"/>
                <w:szCs w:val="21"/>
              </w:rPr>
              <w:t>；</w:t>
            </w:r>
          </w:p>
          <w:p>
            <w:pPr>
              <w:numPr>
                <w:ilvl w:val="0"/>
                <w:numId w:val="6"/>
              </w:numPr>
              <w:jc w:val="left"/>
              <w:rPr>
                <w:rFonts w:hint="eastAsia" w:ascii="宋体" w:hAnsi="宋体"/>
                <w:szCs w:val="21"/>
              </w:rPr>
            </w:pPr>
            <w:r>
              <w:rPr>
                <w:rFonts w:hint="eastAsia" w:ascii="宋体" w:hAnsi="宋体"/>
                <w:szCs w:val="21"/>
              </w:rPr>
              <w:t>85%≤Ra＜90%，</w:t>
            </w:r>
            <w:r>
              <w:rPr>
                <w:rFonts w:ascii="宋体" w:hAnsi="宋体"/>
                <w:szCs w:val="21"/>
              </w:rPr>
              <w:t>得</w:t>
            </w:r>
            <w:r>
              <w:rPr>
                <w:rFonts w:hint="eastAsia" w:ascii="宋体" w:hAnsi="宋体"/>
                <w:szCs w:val="21"/>
              </w:rPr>
              <w:t>11</w:t>
            </w:r>
            <w:r>
              <w:rPr>
                <w:rFonts w:ascii="宋体" w:hAnsi="宋体"/>
                <w:szCs w:val="21"/>
              </w:rPr>
              <w:t>分</w:t>
            </w:r>
            <w:r>
              <w:rPr>
                <w:rFonts w:hint="eastAsia" w:ascii="宋体" w:hAnsi="宋体"/>
                <w:szCs w:val="21"/>
              </w:rPr>
              <w:t>；</w:t>
            </w:r>
          </w:p>
          <w:p>
            <w:pPr>
              <w:numPr>
                <w:ilvl w:val="0"/>
                <w:numId w:val="6"/>
              </w:numPr>
              <w:jc w:val="left"/>
              <w:rPr>
                <w:rFonts w:hint="eastAsia" w:ascii="宋体" w:hAnsi="宋体"/>
                <w:szCs w:val="21"/>
              </w:rPr>
            </w:pPr>
            <w:r>
              <w:rPr>
                <w:rFonts w:hint="eastAsia" w:ascii="宋体" w:hAnsi="宋体"/>
                <w:szCs w:val="21"/>
              </w:rPr>
              <w:t>90%≤Ra＜95%，</w:t>
            </w:r>
            <w:r>
              <w:rPr>
                <w:rFonts w:ascii="宋体" w:hAnsi="宋体"/>
                <w:szCs w:val="21"/>
              </w:rPr>
              <w:t>得</w:t>
            </w:r>
            <w:r>
              <w:rPr>
                <w:rFonts w:hint="eastAsia" w:ascii="宋体" w:hAnsi="宋体"/>
                <w:szCs w:val="21"/>
              </w:rPr>
              <w:t>12</w:t>
            </w:r>
            <w:r>
              <w:rPr>
                <w:rFonts w:ascii="宋体" w:hAnsi="宋体"/>
                <w:szCs w:val="21"/>
              </w:rPr>
              <w:t>分</w:t>
            </w:r>
            <w:r>
              <w:rPr>
                <w:rFonts w:hint="eastAsia" w:ascii="宋体" w:hAnsi="宋体"/>
                <w:szCs w:val="21"/>
              </w:rPr>
              <w:t>；</w:t>
            </w:r>
          </w:p>
          <w:p>
            <w:pPr>
              <w:numPr>
                <w:ilvl w:val="0"/>
                <w:numId w:val="6"/>
              </w:numPr>
              <w:rPr>
                <w:rFonts w:ascii="宋体" w:hAnsi="宋体"/>
                <w:szCs w:val="21"/>
              </w:rPr>
            </w:pPr>
            <w:r>
              <w:rPr>
                <w:rFonts w:hint="eastAsia" w:ascii="宋体" w:hAnsi="宋体"/>
                <w:szCs w:val="21"/>
              </w:rPr>
              <w:t>Ra≥95%，</w:t>
            </w:r>
            <w:r>
              <w:rPr>
                <w:rFonts w:ascii="宋体" w:hAnsi="宋体"/>
                <w:szCs w:val="21"/>
              </w:rPr>
              <w:t>得</w:t>
            </w:r>
            <w:r>
              <w:rPr>
                <w:rFonts w:hint="eastAsia" w:ascii="宋体" w:hAnsi="宋体"/>
                <w:szCs w:val="21"/>
              </w:rPr>
              <w:t>13</w:t>
            </w:r>
            <w:r>
              <w:rPr>
                <w:rFonts w:ascii="宋体" w:hAnsi="宋体"/>
                <w:szCs w:val="21"/>
              </w:rPr>
              <w:t>分</w:t>
            </w:r>
            <w:r>
              <w:rPr>
                <w:rFonts w:hint="eastAsia" w:ascii="宋体" w:hAnsi="宋体"/>
                <w:szCs w:val="21"/>
              </w:rPr>
              <w:t>。</w:t>
            </w:r>
          </w:p>
        </w:tc>
        <w:tc>
          <w:tcPr>
            <w:tcW w:w="844" w:type="dxa"/>
            <w:vAlign w:val="center"/>
          </w:tcPr>
          <w:p>
            <w:pPr>
              <w:jc w:val="center"/>
              <w:rPr>
                <w:rFonts w:ascii="宋体" w:hAnsi="宋体"/>
                <w:color w:val="000000"/>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8.2.11</w:t>
            </w:r>
          </w:p>
        </w:tc>
        <w:tc>
          <w:tcPr>
            <w:tcW w:w="3408" w:type="dxa"/>
            <w:vAlign w:val="top"/>
          </w:tcPr>
          <w:p>
            <w:pPr>
              <w:rPr>
                <w:rFonts w:ascii="宋体" w:hAnsi="宋体"/>
                <w:szCs w:val="21"/>
              </w:rPr>
            </w:pPr>
            <w:r>
              <w:rPr>
                <w:rFonts w:ascii="宋体" w:hAnsi="宋体"/>
                <w:szCs w:val="21"/>
              </w:rPr>
              <w:t>气流组织合理，</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：7</w:t>
            </w:r>
            <w:r>
              <w:rPr>
                <w:rFonts w:ascii="宋体" w:hAnsi="宋体"/>
                <w:color w:val="000000"/>
                <w:kern w:val="0"/>
                <w:szCs w:val="21"/>
              </w:rPr>
              <w:t>分</w:t>
            </w:r>
            <w:r>
              <w:rPr>
                <w:rFonts w:ascii="宋体" w:hAnsi="宋体"/>
                <w:szCs w:val="21"/>
              </w:rPr>
              <w:t>，并按下列规则分别 评分并累计：</w:t>
            </w:r>
            <w:r>
              <w:rPr>
                <w:rFonts w:ascii="宋体" w:hAnsi="宋体"/>
                <w:szCs w:val="21"/>
              </w:rPr>
              <w:tab/>
            </w:r>
          </w:p>
          <w:p>
            <w:pPr>
              <w:rPr>
                <w:rFonts w:ascii="宋体" w:hAnsi="宋体"/>
                <w:szCs w:val="21"/>
              </w:rPr>
            </w:pPr>
            <w:r>
              <w:rPr>
                <w:rFonts w:ascii="宋体" w:hAnsi="宋体"/>
                <w:szCs w:val="21"/>
              </w:rPr>
              <w:t>①重要功能区域供暖、通风与空调工况下的气流组织满足热环境设计参数要求，得4分；</w:t>
            </w:r>
            <w:r>
              <w:rPr>
                <w:rFonts w:ascii="宋体" w:hAnsi="宋体"/>
                <w:szCs w:val="21"/>
              </w:rPr>
              <w:tab/>
            </w:r>
            <w:r>
              <w:rPr>
                <w:rFonts w:ascii="宋体" w:hAnsi="宋体"/>
                <w:szCs w:val="21"/>
              </w:rPr>
              <w:tab/>
            </w:r>
          </w:p>
          <w:p>
            <w:pPr>
              <w:rPr>
                <w:rFonts w:ascii="宋体" w:hAnsi="宋体"/>
                <w:szCs w:val="21"/>
              </w:rPr>
            </w:pPr>
            <w:r>
              <w:rPr>
                <w:rFonts w:ascii="宋体" w:hAnsi="宋体"/>
                <w:szCs w:val="21"/>
              </w:rPr>
              <w:t>②避免卫生间、餐厅、地下车库等区域的空气和污染物串通到其他空间或室外活动场所，得3分。</w:t>
            </w:r>
          </w:p>
        </w:tc>
        <w:tc>
          <w:tcPr>
            <w:tcW w:w="844" w:type="dxa"/>
            <w:vAlign w:val="center"/>
          </w:tcPr>
          <w:p>
            <w:pPr>
              <w:jc w:val="center"/>
              <w:rPr>
                <w:rFonts w:ascii="宋体" w:hAnsi="宋体"/>
                <w:color w:val="000000"/>
                <w:szCs w:val="21"/>
              </w:rPr>
            </w:pPr>
          </w:p>
        </w:tc>
        <w:tc>
          <w:tcPr>
            <w:tcW w:w="32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8.2.12</w:t>
            </w:r>
          </w:p>
        </w:tc>
        <w:tc>
          <w:tcPr>
            <w:tcW w:w="3408" w:type="dxa"/>
            <w:vAlign w:val="top"/>
          </w:tcPr>
          <w:p>
            <w:pPr>
              <w:rPr>
                <w:rFonts w:ascii="宋体" w:hAnsi="宋体"/>
                <w:szCs w:val="21"/>
              </w:rPr>
            </w:pPr>
            <w:r>
              <w:rPr>
                <w:rFonts w:ascii="宋体" w:hAnsi="宋体"/>
                <w:szCs w:val="21"/>
              </w:rPr>
              <w:t>主要功能房间中人员密度较高且随时间变化大的区域设置室内空气质量监控系统，</w:t>
            </w:r>
            <w:r>
              <w:rPr>
                <w:rFonts w:hint="eastAsia" w:ascii="宋体" w:hAnsi="宋体"/>
                <w:color w:val="000000"/>
                <w:kern w:val="0"/>
                <w:szCs w:val="21"/>
              </w:rPr>
              <w:t>总得</w:t>
            </w:r>
            <w:r>
              <w:rPr>
                <w:rFonts w:ascii="宋体" w:hAnsi="宋体"/>
                <w:color w:val="000000"/>
                <w:kern w:val="0"/>
                <w:szCs w:val="21"/>
              </w:rPr>
              <w:t>分</w:t>
            </w:r>
            <w:r>
              <w:rPr>
                <w:rFonts w:hint="eastAsia" w:ascii="宋体" w:hAnsi="宋体"/>
                <w:color w:val="000000"/>
                <w:kern w:val="0"/>
                <w:szCs w:val="21"/>
              </w:rPr>
              <w:t>：8</w:t>
            </w:r>
            <w:r>
              <w:rPr>
                <w:rFonts w:ascii="宋体" w:hAnsi="宋体"/>
                <w:color w:val="000000"/>
                <w:kern w:val="0"/>
                <w:szCs w:val="21"/>
              </w:rPr>
              <w:t>分</w:t>
            </w:r>
            <w:r>
              <w:rPr>
                <w:rFonts w:ascii="宋体" w:hAnsi="宋体"/>
                <w:szCs w:val="21"/>
              </w:rPr>
              <w:t>，并按下列规则分别评分并累计：</w:t>
            </w:r>
          </w:p>
          <w:p>
            <w:pPr>
              <w:rPr>
                <w:rFonts w:hint="eastAsia" w:ascii="宋体" w:hAnsi="宋体"/>
                <w:szCs w:val="21"/>
              </w:rPr>
            </w:pPr>
            <w:r>
              <w:rPr>
                <w:rFonts w:ascii="宋体" w:hAnsi="宋体"/>
                <w:szCs w:val="21"/>
              </w:rPr>
              <w:t>①对室内的二氧化碳浓度进行数据采集、分析，并与通风系统联动，得5分；</w:t>
            </w:r>
          </w:p>
          <w:p>
            <w:pPr>
              <w:rPr>
                <w:rFonts w:ascii="宋体" w:hAnsi="宋体"/>
                <w:szCs w:val="21"/>
              </w:rPr>
            </w:pPr>
            <w:r>
              <w:rPr>
                <w:rFonts w:ascii="宋体" w:hAnsi="宋体"/>
                <w:szCs w:val="21"/>
              </w:rPr>
              <w:t>②实现室内污染物浓度超标实时报警，并与通风系统联动，得3分。</w:t>
            </w:r>
          </w:p>
        </w:tc>
        <w:tc>
          <w:tcPr>
            <w:tcW w:w="844" w:type="dxa"/>
            <w:vAlign w:val="center"/>
          </w:tcPr>
          <w:p>
            <w:pPr>
              <w:jc w:val="center"/>
              <w:rPr>
                <w:rFonts w:ascii="宋体" w:hAnsi="宋体"/>
                <w:color w:val="000000"/>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ascii="宋体" w:hAnsi="宋体"/>
                <w:color w:val="000000"/>
                <w:szCs w:val="21"/>
              </w:rPr>
              <w:t>8.2.13</w:t>
            </w:r>
          </w:p>
        </w:tc>
        <w:tc>
          <w:tcPr>
            <w:tcW w:w="3408" w:type="dxa"/>
            <w:vAlign w:val="top"/>
          </w:tcPr>
          <w:p>
            <w:pPr>
              <w:rPr>
                <w:rFonts w:ascii="宋体" w:hAnsi="宋体"/>
                <w:szCs w:val="21"/>
              </w:rPr>
            </w:pPr>
            <w:r>
              <w:rPr>
                <w:rFonts w:ascii="宋体" w:hAnsi="宋体"/>
                <w:szCs w:val="21"/>
              </w:rPr>
              <w:t xml:space="preserve">地下车库设置与排风设备联动的一氧化碳浓度监测装置，评价分值为5分。 </w:t>
            </w:r>
          </w:p>
        </w:tc>
        <w:tc>
          <w:tcPr>
            <w:tcW w:w="844" w:type="dxa"/>
            <w:vAlign w:val="center"/>
          </w:tcPr>
          <w:p>
            <w:pPr>
              <w:jc w:val="center"/>
              <w:rPr>
                <w:rFonts w:ascii="宋体" w:hAnsi="宋体"/>
                <w:color w:val="000000"/>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4968" w:type="dxa"/>
            <w:gridSpan w:val="3"/>
            <w:vAlign w:val="center"/>
          </w:tcPr>
          <w:p>
            <w:pPr>
              <w:jc w:val="center"/>
              <w:rPr>
                <w:rFonts w:ascii="宋体" w:hAnsi="宋体"/>
                <w:b/>
                <w:bCs/>
                <w:szCs w:val="21"/>
              </w:rPr>
            </w:pPr>
            <w:r>
              <w:rPr>
                <w:rFonts w:ascii="宋体" w:hAnsi="宋体"/>
                <w:b/>
                <w:bCs/>
                <w:color w:val="000000"/>
                <w:szCs w:val="21"/>
              </w:rPr>
              <w:t>小计</w:t>
            </w:r>
          </w:p>
        </w:tc>
        <w:tc>
          <w:tcPr>
            <w:tcW w:w="4104" w:type="dxa"/>
            <w:gridSpan w:val="2"/>
            <w:vAlign w:val="center"/>
          </w:tcPr>
          <w:p>
            <w:pPr>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072" w:type="dxa"/>
            <w:gridSpan w:val="5"/>
            <w:vAlign w:val="center"/>
          </w:tcPr>
          <w:p>
            <w:pPr>
              <w:jc w:val="center"/>
              <w:rPr>
                <w:rFonts w:ascii="宋体" w:hAnsi="宋体"/>
                <w:b/>
                <w:bCs/>
                <w:szCs w:val="21"/>
              </w:rPr>
            </w:pPr>
            <w:r>
              <w:rPr>
                <w:rFonts w:hint="eastAsia" w:ascii="宋体" w:hAnsi="宋体"/>
                <w:b/>
                <w:bCs/>
                <w:szCs w:val="21"/>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67" w:type="dxa"/>
            <w:vAlign w:val="center"/>
          </w:tcPr>
          <w:p>
            <w:pPr>
              <w:jc w:val="center"/>
              <w:rPr>
                <w:rFonts w:ascii="宋体" w:hAnsi="宋体"/>
                <w:b/>
                <w:bCs/>
                <w:szCs w:val="21"/>
              </w:rPr>
            </w:pPr>
          </w:p>
        </w:tc>
        <w:tc>
          <w:tcPr>
            <w:tcW w:w="993" w:type="dxa"/>
            <w:vAlign w:val="center"/>
          </w:tcPr>
          <w:p>
            <w:pPr>
              <w:jc w:val="center"/>
              <w:rPr>
                <w:rFonts w:ascii="宋体" w:hAnsi="宋体"/>
                <w:b/>
                <w:bCs/>
                <w:szCs w:val="21"/>
              </w:rPr>
            </w:pPr>
            <w:r>
              <w:rPr>
                <w:rFonts w:ascii="宋体" w:hAnsi="宋体"/>
                <w:b/>
                <w:bCs/>
                <w:szCs w:val="21"/>
              </w:rPr>
              <w:t>条目号</w:t>
            </w:r>
          </w:p>
        </w:tc>
        <w:tc>
          <w:tcPr>
            <w:tcW w:w="3408" w:type="dxa"/>
            <w:vAlign w:val="center"/>
          </w:tcPr>
          <w:p>
            <w:pPr>
              <w:jc w:val="center"/>
              <w:rPr>
                <w:rFonts w:ascii="宋体" w:hAnsi="宋体"/>
                <w:b/>
                <w:bCs/>
                <w:szCs w:val="21"/>
              </w:rPr>
            </w:pPr>
            <w:r>
              <w:rPr>
                <w:rFonts w:ascii="宋体" w:hAnsi="宋体"/>
                <w:b/>
                <w:bCs/>
                <w:szCs w:val="21"/>
              </w:rPr>
              <w:t>评价标准规定</w:t>
            </w:r>
          </w:p>
        </w:tc>
        <w:tc>
          <w:tcPr>
            <w:tcW w:w="844" w:type="dxa"/>
            <w:vAlign w:val="center"/>
          </w:tcPr>
          <w:p>
            <w:pPr>
              <w:jc w:val="center"/>
              <w:rPr>
                <w:rFonts w:ascii="宋体" w:hAnsi="宋体"/>
                <w:b/>
                <w:bCs/>
                <w:szCs w:val="21"/>
              </w:rPr>
            </w:pPr>
            <w:r>
              <w:rPr>
                <w:rFonts w:ascii="宋体" w:hAnsi="宋体"/>
                <w:b/>
                <w:bCs/>
                <w:szCs w:val="21"/>
              </w:rPr>
              <w:t>达标</w:t>
            </w:r>
          </w:p>
        </w:tc>
        <w:tc>
          <w:tcPr>
            <w:tcW w:w="3260" w:type="dxa"/>
            <w:vAlign w:val="center"/>
          </w:tcPr>
          <w:p>
            <w:pPr>
              <w:jc w:val="center"/>
              <w:rPr>
                <w:rFonts w:ascii="宋体" w:hAnsi="宋体"/>
                <w:b/>
                <w:bCs/>
                <w:szCs w:val="21"/>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jc w:val="left"/>
              <w:rPr>
                <w:rFonts w:ascii="宋体" w:hAnsi="宋体"/>
                <w:b/>
                <w:bCs/>
                <w:szCs w:val="21"/>
              </w:rPr>
            </w:pPr>
            <w:r>
              <w:rPr>
                <w:rFonts w:hint="eastAsia" w:ascii="宋体" w:hAnsi="宋体"/>
                <w:b/>
                <w:bCs/>
                <w:szCs w:val="21"/>
              </w:rPr>
              <w:t xml:space="preserve">  一般规定</w:t>
            </w:r>
          </w:p>
        </w:tc>
        <w:tc>
          <w:tcPr>
            <w:tcW w:w="993" w:type="dxa"/>
            <w:vAlign w:val="center"/>
          </w:tcPr>
          <w:p>
            <w:pPr>
              <w:jc w:val="center"/>
              <w:rPr>
                <w:rFonts w:ascii="宋体" w:hAnsi="宋体"/>
                <w:color w:val="000000"/>
                <w:szCs w:val="21"/>
              </w:rPr>
            </w:pPr>
            <w:r>
              <w:rPr>
                <w:rFonts w:hint="eastAsia" w:ascii="宋体" w:hAnsi="宋体"/>
                <w:color w:val="000000"/>
                <w:szCs w:val="21"/>
              </w:rPr>
              <w:t>11</w:t>
            </w:r>
            <w:r>
              <w:rPr>
                <w:rFonts w:ascii="宋体" w:hAnsi="宋体"/>
                <w:color w:val="000000"/>
                <w:szCs w:val="21"/>
              </w:rPr>
              <w:t>.1.1</w:t>
            </w:r>
          </w:p>
        </w:tc>
        <w:tc>
          <w:tcPr>
            <w:tcW w:w="3408" w:type="dxa"/>
            <w:vAlign w:val="top"/>
          </w:tcPr>
          <w:p>
            <w:pPr>
              <w:jc w:val="left"/>
              <w:rPr>
                <w:rFonts w:ascii="宋体" w:hAnsi="宋体"/>
                <w:color w:val="000000"/>
                <w:szCs w:val="21"/>
              </w:rPr>
            </w:pPr>
            <w:r>
              <w:rPr>
                <w:rFonts w:ascii="宋体" w:hAnsi="宋体"/>
                <w:color w:val="000000"/>
                <w:szCs w:val="21"/>
              </w:rPr>
              <w:t>主要功能房间的室内噪声级满足现行国家标准《民用建筑隔声设计规范》GB50118中的低限要求。</w:t>
            </w:r>
          </w:p>
        </w:tc>
        <w:tc>
          <w:tcPr>
            <w:tcW w:w="844" w:type="dxa"/>
            <w:vAlign w:val="center"/>
          </w:tcPr>
          <w:p>
            <w:pPr>
              <w:jc w:val="center"/>
              <w:rPr>
                <w:rFonts w:ascii="宋体" w:hAnsi="宋体"/>
                <w:szCs w:val="21"/>
              </w:rPr>
            </w:pPr>
          </w:p>
        </w:tc>
        <w:tc>
          <w:tcPr>
            <w:tcW w:w="3260"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trPr>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hint="eastAsia" w:ascii="宋体" w:hAnsi="宋体"/>
                <w:color w:val="000000"/>
                <w:szCs w:val="21"/>
              </w:rPr>
              <w:t>11</w:t>
            </w:r>
            <w:r>
              <w:rPr>
                <w:rFonts w:ascii="宋体" w:hAnsi="宋体"/>
                <w:color w:val="000000"/>
                <w:szCs w:val="21"/>
              </w:rPr>
              <w:t>.1.2</w:t>
            </w:r>
          </w:p>
        </w:tc>
        <w:tc>
          <w:tcPr>
            <w:tcW w:w="3408" w:type="dxa"/>
            <w:vAlign w:val="top"/>
          </w:tcPr>
          <w:p>
            <w:pPr>
              <w:rPr>
                <w:rFonts w:ascii="宋体" w:hAnsi="宋体"/>
                <w:color w:val="000000"/>
                <w:szCs w:val="21"/>
              </w:rPr>
            </w:pPr>
            <w:r>
              <w:rPr>
                <w:rFonts w:ascii="宋体" w:hAnsi="宋体"/>
                <w:color w:val="000000"/>
                <w:szCs w:val="21"/>
              </w:rPr>
              <w:t>主要功能房间的外墙、隔墙、楼板和门窗的隔声性能，或相邻两房间之间的空气隔声性能、楼板撞击声隔声性能满足现行国家标准《民用建筑隔声设计规范》GB50018中的低限要求。</w:t>
            </w:r>
          </w:p>
        </w:tc>
        <w:tc>
          <w:tcPr>
            <w:tcW w:w="844" w:type="dxa"/>
            <w:vAlign w:val="center"/>
          </w:tcPr>
          <w:p>
            <w:pPr>
              <w:jc w:val="center"/>
              <w:rPr>
                <w:rFonts w:ascii="宋体" w:hAnsi="宋体"/>
                <w:szCs w:val="21"/>
              </w:rPr>
            </w:pPr>
          </w:p>
        </w:tc>
        <w:tc>
          <w:tcPr>
            <w:tcW w:w="3260"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567" w:type="dxa"/>
            <w:vMerge w:val="restart"/>
            <w:vAlign w:val="center"/>
          </w:tcPr>
          <w:p>
            <w:pPr>
              <w:jc w:val="center"/>
              <w:rPr>
                <w:rFonts w:hint="eastAsia" w:ascii="宋体" w:hAnsi="宋体"/>
                <w:b/>
                <w:bCs/>
                <w:szCs w:val="21"/>
              </w:rPr>
            </w:pPr>
          </w:p>
          <w:p>
            <w:pPr>
              <w:jc w:val="center"/>
              <w:rPr>
                <w:rFonts w:ascii="宋体" w:hAnsi="宋体"/>
                <w:b/>
                <w:bCs/>
                <w:szCs w:val="21"/>
              </w:rPr>
            </w:pPr>
            <w:r>
              <w:rPr>
                <w:rFonts w:hint="eastAsia" w:ascii="宋体" w:hAnsi="宋体"/>
                <w:b/>
                <w:bCs/>
                <w:szCs w:val="21"/>
              </w:rPr>
              <w:t>加分项</w:t>
            </w:r>
          </w:p>
        </w:tc>
        <w:tc>
          <w:tcPr>
            <w:tcW w:w="4401" w:type="dxa"/>
            <w:gridSpan w:val="2"/>
            <w:vAlign w:val="center"/>
          </w:tcPr>
          <w:p>
            <w:pPr>
              <w:jc w:val="center"/>
              <w:rPr>
                <w:rFonts w:ascii="宋体" w:hAnsi="宋体"/>
                <w:b/>
                <w:color w:val="000000"/>
                <w:szCs w:val="21"/>
              </w:rPr>
            </w:pPr>
            <w:r>
              <w:rPr>
                <w:rFonts w:hint="eastAsia" w:ascii="宋体" w:hAnsi="宋体"/>
                <w:b/>
                <w:color w:val="000000"/>
                <w:szCs w:val="21"/>
              </w:rPr>
              <w:t>评价条文</w:t>
            </w:r>
          </w:p>
        </w:tc>
        <w:tc>
          <w:tcPr>
            <w:tcW w:w="844" w:type="dxa"/>
            <w:vAlign w:val="center"/>
          </w:tcPr>
          <w:p>
            <w:pPr>
              <w:jc w:val="center"/>
              <w:rPr>
                <w:rFonts w:ascii="宋体" w:hAnsi="宋体"/>
                <w:b/>
                <w:szCs w:val="21"/>
              </w:rPr>
            </w:pPr>
            <w:r>
              <w:rPr>
                <w:rFonts w:hint="eastAsia" w:ascii="宋体" w:hAnsi="宋体"/>
                <w:b/>
                <w:szCs w:val="21"/>
              </w:rPr>
              <w:t>得分</w:t>
            </w:r>
          </w:p>
        </w:tc>
        <w:tc>
          <w:tcPr>
            <w:tcW w:w="3260" w:type="dxa"/>
            <w:vAlign w:val="center"/>
          </w:tcPr>
          <w:p>
            <w:pPr>
              <w:jc w:val="center"/>
              <w:rPr>
                <w:rFonts w:eastAsia="仿宋_GB2312"/>
                <w:b/>
                <w:sz w:val="18"/>
                <w:szCs w:val="18"/>
              </w:rPr>
            </w:pPr>
            <w:r>
              <w:rPr>
                <w:rFonts w:ascii="宋体" w:hAnsi="宋体"/>
                <w:b/>
                <w:bCs/>
                <w:szCs w:val="21"/>
              </w:rPr>
              <w:t>具体实施措施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hint="eastAsia" w:ascii="宋体" w:hAnsi="宋体"/>
                <w:color w:val="000000"/>
                <w:szCs w:val="21"/>
              </w:rPr>
              <w:t>11.2.1</w:t>
            </w:r>
          </w:p>
        </w:tc>
        <w:tc>
          <w:tcPr>
            <w:tcW w:w="3408" w:type="dxa"/>
            <w:vAlign w:val="top"/>
          </w:tcPr>
          <w:p>
            <w:pPr>
              <w:rPr>
                <w:rFonts w:ascii="宋体" w:hAnsi="宋体"/>
                <w:color w:val="000000"/>
                <w:szCs w:val="21"/>
              </w:rPr>
            </w:pPr>
            <w:r>
              <w:rPr>
                <w:rFonts w:hint="eastAsia" w:ascii="宋体" w:hAnsi="宋体"/>
                <w:color w:val="000000"/>
                <w:szCs w:val="21"/>
              </w:rPr>
              <w:t>围护结构热工性能比国家现行相关建筑节能设计标准规定的高20%，得5分；或者供暖空调全年计算负荷降低幅度达到15% ，得2分。</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hint="eastAsia" w:ascii="宋体" w:hAnsi="宋体"/>
                <w:color w:val="000000"/>
                <w:szCs w:val="21"/>
              </w:rPr>
              <w:t>11.2.2</w:t>
            </w:r>
          </w:p>
        </w:tc>
        <w:tc>
          <w:tcPr>
            <w:tcW w:w="3408" w:type="dxa"/>
            <w:vAlign w:val="top"/>
          </w:tcPr>
          <w:p>
            <w:pPr>
              <w:rPr>
                <w:rFonts w:ascii="宋体" w:hAnsi="宋体"/>
                <w:color w:val="000000"/>
                <w:szCs w:val="21"/>
              </w:rPr>
            </w:pPr>
            <w:r>
              <w:rPr>
                <w:rFonts w:hint="eastAsia" w:ascii="宋体" w:hAnsi="宋体"/>
                <w:color w:val="000000"/>
                <w:szCs w:val="21"/>
              </w:rPr>
              <w:t>供暖空调系统的冷、热源机组能效均优于现行国家标准《公共建筑节能设计标准》GB50189的规定以及现行有关国家标准能效限定值的要求（续表11.2.2），得1分。</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hint="eastAsia" w:ascii="宋体" w:hAnsi="宋体"/>
                <w:color w:val="000000"/>
                <w:szCs w:val="21"/>
              </w:rPr>
            </w:pPr>
            <w:r>
              <w:rPr>
                <w:rFonts w:hint="eastAsia" w:ascii="宋体" w:hAnsi="宋体"/>
                <w:color w:val="000000"/>
                <w:szCs w:val="21"/>
              </w:rPr>
              <w:t>11.2.3</w:t>
            </w:r>
          </w:p>
        </w:tc>
        <w:tc>
          <w:tcPr>
            <w:tcW w:w="3408" w:type="dxa"/>
            <w:vAlign w:val="top"/>
          </w:tcPr>
          <w:p>
            <w:pPr>
              <w:rPr>
                <w:rFonts w:ascii="宋体" w:hAnsi="宋体"/>
                <w:color w:val="000000"/>
                <w:szCs w:val="21"/>
              </w:rPr>
            </w:pPr>
            <w:r>
              <w:rPr>
                <w:rFonts w:hint="eastAsia" w:ascii="宋体" w:hAnsi="宋体"/>
                <w:color w:val="000000"/>
                <w:szCs w:val="21"/>
              </w:rPr>
              <w:t>采用分布式热电冷联供技术，系统全年能源综合利用率不低于70%，得1分。</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rPr>
                <w:rFonts w:ascii="宋体" w:hAnsi="宋体"/>
                <w:szCs w:val="21"/>
              </w:rPr>
            </w:pPr>
            <w:r>
              <w:rPr>
                <w:rFonts w:ascii="宋体" w:hAnsi="宋体"/>
                <w:szCs w:val="21"/>
              </w:rPr>
              <w:t>11.2.4</w:t>
            </w:r>
          </w:p>
        </w:tc>
        <w:tc>
          <w:tcPr>
            <w:tcW w:w="3408" w:type="dxa"/>
            <w:vAlign w:val="center"/>
          </w:tcPr>
          <w:p>
            <w:pPr>
              <w:rPr>
                <w:rFonts w:ascii="宋体" w:hAnsi="宋体"/>
                <w:szCs w:val="21"/>
              </w:rPr>
            </w:pPr>
            <w:r>
              <w:rPr>
                <w:rFonts w:hint="eastAsia" w:ascii="宋体" w:hAnsi="宋体"/>
                <w:szCs w:val="21"/>
              </w:rPr>
              <w:t>卫生器具的用水效率均为国家现行有关卫生器具用水等级标准规定的</w:t>
            </w:r>
            <w:r>
              <w:rPr>
                <w:rFonts w:ascii="宋体" w:hAnsi="宋体"/>
                <w:szCs w:val="21"/>
              </w:rPr>
              <w:t>1</w:t>
            </w:r>
            <w:r>
              <w:rPr>
                <w:rFonts w:hint="eastAsia" w:ascii="宋体" w:hAnsi="宋体"/>
                <w:szCs w:val="21"/>
              </w:rPr>
              <w:t>级，得1分。</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hint="eastAsia" w:ascii="宋体" w:hAnsi="宋体"/>
                <w:color w:val="000000"/>
                <w:szCs w:val="21"/>
              </w:rPr>
            </w:pPr>
            <w:r>
              <w:rPr>
                <w:rFonts w:hint="eastAsia" w:ascii="宋体" w:hAnsi="宋体"/>
                <w:color w:val="000000"/>
                <w:szCs w:val="21"/>
              </w:rPr>
              <w:t>11.2.5</w:t>
            </w:r>
          </w:p>
        </w:tc>
        <w:tc>
          <w:tcPr>
            <w:tcW w:w="3408" w:type="dxa"/>
            <w:vAlign w:val="top"/>
          </w:tcPr>
          <w:p>
            <w:pPr>
              <w:rPr>
                <w:rFonts w:hint="eastAsia" w:ascii="宋体" w:hAnsi="宋体"/>
                <w:color w:val="000000"/>
                <w:szCs w:val="21"/>
              </w:rPr>
            </w:pPr>
            <w:r>
              <w:rPr>
                <w:rFonts w:hint="eastAsia" w:ascii="宋体" w:hAnsi="宋体"/>
                <w:color w:val="000000"/>
                <w:szCs w:val="21"/>
              </w:rPr>
              <w:t>采用资源消耗少和环境影响小的建筑结构，得1分。</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rPr>
                <w:rFonts w:ascii="宋体" w:hAnsi="宋体"/>
                <w:szCs w:val="21"/>
              </w:rPr>
            </w:pPr>
            <w:r>
              <w:rPr>
                <w:rFonts w:ascii="宋体" w:hAnsi="宋体"/>
                <w:szCs w:val="21"/>
              </w:rPr>
              <w:t>11.2.6</w:t>
            </w:r>
          </w:p>
        </w:tc>
        <w:tc>
          <w:tcPr>
            <w:tcW w:w="3408" w:type="dxa"/>
            <w:vAlign w:val="center"/>
          </w:tcPr>
          <w:p>
            <w:pPr>
              <w:rPr>
                <w:rFonts w:ascii="宋体" w:hAnsi="宋体"/>
                <w:szCs w:val="21"/>
              </w:rPr>
            </w:pPr>
            <w:r>
              <w:rPr>
                <w:rFonts w:hint="eastAsia" w:ascii="宋体" w:hAnsi="宋体"/>
                <w:szCs w:val="21"/>
              </w:rPr>
              <w:t>对主要功能房间采取有效的空气处理措施。</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hint="eastAsia" w:ascii="宋体" w:hAnsi="宋体"/>
                <w:color w:val="000000"/>
                <w:szCs w:val="21"/>
              </w:rPr>
            </w:pPr>
            <w:r>
              <w:rPr>
                <w:rFonts w:hint="eastAsia" w:ascii="宋体" w:hAnsi="宋体"/>
                <w:color w:val="000000"/>
                <w:szCs w:val="21"/>
              </w:rPr>
              <w:t>11.2.7</w:t>
            </w:r>
          </w:p>
        </w:tc>
        <w:tc>
          <w:tcPr>
            <w:tcW w:w="3408" w:type="dxa"/>
            <w:vAlign w:val="top"/>
          </w:tcPr>
          <w:p>
            <w:pPr>
              <w:rPr>
                <w:rFonts w:hint="eastAsia" w:ascii="宋体" w:hAnsi="宋体"/>
                <w:color w:val="000000"/>
                <w:szCs w:val="21"/>
              </w:rPr>
            </w:pPr>
            <w:r>
              <w:rPr>
                <w:rFonts w:hint="eastAsia" w:ascii="宋体" w:hAnsi="宋体"/>
                <w:color w:val="000000"/>
                <w:szCs w:val="21"/>
              </w:rPr>
              <w:t>室内空气和的氨、甲醛、苯、总挥发性有机物、氡等污染物浓度不高于现行国家标准《室内空气质量标准》GB/T18883的有关规定限制的70%，得1分。</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hint="eastAsia" w:ascii="宋体" w:hAnsi="宋体"/>
                <w:color w:val="000000"/>
                <w:szCs w:val="21"/>
              </w:rPr>
            </w:pPr>
            <w:r>
              <w:rPr>
                <w:rFonts w:hint="eastAsia" w:ascii="宋体" w:hAnsi="宋体"/>
                <w:color w:val="000000"/>
                <w:szCs w:val="21"/>
              </w:rPr>
              <w:t>11.2.8</w:t>
            </w:r>
          </w:p>
        </w:tc>
        <w:tc>
          <w:tcPr>
            <w:tcW w:w="3408" w:type="dxa"/>
            <w:vAlign w:val="top"/>
          </w:tcPr>
          <w:p>
            <w:pPr>
              <w:rPr>
                <w:rFonts w:hint="eastAsia" w:ascii="宋体" w:hAnsi="宋体"/>
                <w:color w:val="000000"/>
                <w:szCs w:val="21"/>
              </w:rPr>
            </w:pPr>
            <w:r>
              <w:rPr>
                <w:rFonts w:hint="eastAsia" w:ascii="宋体" w:hAnsi="宋体"/>
                <w:color w:val="000000"/>
                <w:szCs w:val="21"/>
              </w:rPr>
              <w:t>建筑方案充分考虑建筑所在地域的气候、环境、资源，结合场地特征和建筑功能，进行技术经济分析，显著提高能源资源利用效率和建筑性能，得2分。</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hint="eastAsia" w:ascii="宋体" w:hAnsi="宋体"/>
                <w:color w:val="000000"/>
                <w:szCs w:val="21"/>
              </w:rPr>
            </w:pPr>
            <w:r>
              <w:rPr>
                <w:rFonts w:hint="eastAsia" w:ascii="宋体" w:hAnsi="宋体"/>
                <w:color w:val="000000"/>
                <w:szCs w:val="21"/>
              </w:rPr>
              <w:t>11.2.9</w:t>
            </w:r>
          </w:p>
        </w:tc>
        <w:tc>
          <w:tcPr>
            <w:tcW w:w="3408" w:type="dxa"/>
            <w:vAlign w:val="top"/>
          </w:tcPr>
          <w:p>
            <w:pPr>
              <w:rPr>
                <w:rFonts w:hint="eastAsia" w:ascii="宋体" w:hAnsi="宋体"/>
                <w:color w:val="000000"/>
                <w:szCs w:val="21"/>
              </w:rPr>
            </w:pPr>
            <w:r>
              <w:rPr>
                <w:rFonts w:hint="eastAsia" w:ascii="宋体" w:hAnsi="宋体"/>
                <w:color w:val="000000"/>
                <w:szCs w:val="21"/>
              </w:rPr>
              <w:t>合理选用废弃场地进行建设，或充分利用尚可使用的旧建筑，得1分。</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hint="eastAsia" w:ascii="宋体" w:hAnsi="宋体"/>
                <w:color w:val="000000"/>
                <w:szCs w:val="21"/>
              </w:rPr>
            </w:pPr>
            <w:r>
              <w:rPr>
                <w:rFonts w:hint="eastAsia" w:ascii="宋体" w:hAnsi="宋体"/>
                <w:color w:val="000000"/>
                <w:szCs w:val="21"/>
              </w:rPr>
              <w:t>11.2.10</w:t>
            </w:r>
          </w:p>
        </w:tc>
        <w:tc>
          <w:tcPr>
            <w:tcW w:w="3408" w:type="dxa"/>
            <w:vAlign w:val="top"/>
          </w:tcPr>
          <w:p>
            <w:pPr>
              <w:rPr>
                <w:rFonts w:hint="eastAsia" w:ascii="宋体" w:hAnsi="宋体"/>
                <w:color w:val="000000"/>
                <w:szCs w:val="21"/>
              </w:rPr>
            </w:pPr>
            <w:r>
              <w:rPr>
                <w:rFonts w:hint="eastAsia" w:ascii="宋体" w:hAnsi="宋体"/>
                <w:szCs w:val="21"/>
              </w:rPr>
              <w:t>应用建筑信息模型（</w:t>
            </w:r>
            <w:r>
              <w:rPr>
                <w:rFonts w:ascii="宋体" w:hAnsi="宋体"/>
                <w:szCs w:val="21"/>
              </w:rPr>
              <w:t>BIM</w:t>
            </w:r>
            <w:r>
              <w:rPr>
                <w:rFonts w:hint="eastAsia" w:ascii="宋体" w:hAnsi="宋体"/>
                <w:szCs w:val="21"/>
              </w:rPr>
              <w:t>）技术，在建筑的规划设计、施工建造和运行维护阶段中的一个阶段应用的</w:t>
            </w:r>
            <w:r>
              <w:rPr>
                <w:rFonts w:ascii="宋体" w:hAnsi="宋体"/>
                <w:szCs w:val="21"/>
              </w:rPr>
              <w:t>1</w:t>
            </w:r>
            <w:r>
              <w:rPr>
                <w:rFonts w:hint="eastAsia" w:ascii="宋体" w:hAnsi="宋体"/>
                <w:szCs w:val="21"/>
              </w:rPr>
              <w:t>分，两个或二个以上阶段应用得</w:t>
            </w:r>
            <w:r>
              <w:rPr>
                <w:rFonts w:ascii="宋体" w:hAnsi="宋体"/>
                <w:szCs w:val="21"/>
              </w:rPr>
              <w:t>2</w:t>
            </w:r>
            <w:r>
              <w:rPr>
                <w:rFonts w:hint="eastAsia" w:ascii="宋体" w:hAnsi="宋体"/>
                <w:szCs w:val="21"/>
              </w:rPr>
              <w:t>分</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hint="eastAsia" w:ascii="宋体" w:hAnsi="宋体"/>
                <w:color w:val="000000"/>
                <w:szCs w:val="21"/>
              </w:rPr>
            </w:pPr>
            <w:r>
              <w:rPr>
                <w:rFonts w:hint="eastAsia" w:ascii="宋体" w:hAnsi="宋体"/>
                <w:color w:val="000000"/>
                <w:szCs w:val="21"/>
              </w:rPr>
              <w:t>11.2.11</w:t>
            </w:r>
          </w:p>
        </w:tc>
        <w:tc>
          <w:tcPr>
            <w:tcW w:w="3408" w:type="dxa"/>
            <w:vAlign w:val="top"/>
          </w:tcPr>
          <w:p>
            <w:pPr>
              <w:rPr>
                <w:rFonts w:hint="eastAsia" w:ascii="宋体" w:hAnsi="宋体"/>
                <w:color w:val="000000"/>
                <w:szCs w:val="21"/>
              </w:rPr>
            </w:pPr>
            <w:r>
              <w:rPr>
                <w:rFonts w:hint="eastAsia" w:ascii="宋体" w:hAnsi="宋体"/>
                <w:color w:val="000000"/>
                <w:szCs w:val="21"/>
              </w:rPr>
              <w:t>进行建筑碳排放计算分析，采取措施降低单位建筑面积积碳排放强度，得1分。</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jc w:val="center"/>
              <w:rPr>
                <w:rFonts w:ascii="宋体" w:hAnsi="宋体"/>
                <w:b/>
                <w:bCs/>
                <w:szCs w:val="21"/>
              </w:rPr>
            </w:pPr>
          </w:p>
        </w:tc>
        <w:tc>
          <w:tcPr>
            <w:tcW w:w="993" w:type="dxa"/>
            <w:vAlign w:val="center"/>
          </w:tcPr>
          <w:p>
            <w:pPr>
              <w:jc w:val="center"/>
              <w:rPr>
                <w:rFonts w:ascii="宋体" w:hAnsi="宋体"/>
                <w:color w:val="000000"/>
                <w:szCs w:val="21"/>
              </w:rPr>
            </w:pPr>
            <w:r>
              <w:rPr>
                <w:rFonts w:hint="eastAsia" w:ascii="宋体" w:hAnsi="宋体"/>
                <w:color w:val="000000"/>
                <w:szCs w:val="21"/>
              </w:rPr>
              <w:t>11.2.12</w:t>
            </w:r>
          </w:p>
        </w:tc>
        <w:tc>
          <w:tcPr>
            <w:tcW w:w="3408" w:type="dxa"/>
            <w:vAlign w:val="top"/>
          </w:tcPr>
          <w:p>
            <w:pPr>
              <w:rPr>
                <w:rFonts w:ascii="宋体" w:hAnsi="宋体"/>
                <w:color w:val="000000"/>
                <w:szCs w:val="21"/>
              </w:rPr>
            </w:pPr>
            <w:r>
              <w:rPr>
                <w:rFonts w:hint="eastAsia" w:ascii="宋体" w:hAnsi="宋体"/>
                <w:color w:val="000000"/>
                <w:szCs w:val="21"/>
              </w:rPr>
              <w:t>采取节约能源资源、保护生态环境、保障安全健康的其他创新，并有明显效益，总分值2分。采取一项，得1分；采取两项及以上，得2分。</w:t>
            </w:r>
          </w:p>
        </w:tc>
        <w:tc>
          <w:tcPr>
            <w:tcW w:w="844" w:type="dxa"/>
            <w:vAlign w:val="center"/>
          </w:tcPr>
          <w:p>
            <w:pPr>
              <w:jc w:val="center"/>
              <w:rPr>
                <w:rFonts w:ascii="宋体" w:hAnsi="宋体"/>
                <w:szCs w:val="21"/>
              </w:rPr>
            </w:pPr>
          </w:p>
        </w:tc>
        <w:tc>
          <w:tcPr>
            <w:tcW w:w="3260" w:type="dxa"/>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4968" w:type="dxa"/>
            <w:gridSpan w:val="3"/>
            <w:vAlign w:val="center"/>
          </w:tcPr>
          <w:p>
            <w:pPr>
              <w:jc w:val="center"/>
              <w:rPr>
                <w:rFonts w:ascii="宋体" w:hAnsi="宋体"/>
                <w:color w:val="000000"/>
                <w:szCs w:val="21"/>
              </w:rPr>
            </w:pPr>
            <w:r>
              <w:rPr>
                <w:rFonts w:ascii="宋体" w:hAnsi="宋体"/>
                <w:b/>
                <w:bCs/>
                <w:color w:val="000000"/>
                <w:szCs w:val="21"/>
              </w:rPr>
              <w:t>小计</w:t>
            </w:r>
          </w:p>
        </w:tc>
        <w:tc>
          <w:tcPr>
            <w:tcW w:w="4104" w:type="dxa"/>
            <w:gridSpan w:val="2"/>
            <w:vAlign w:val="center"/>
          </w:tcPr>
          <w:p>
            <w:pPr>
              <w:rPr>
                <w:rFonts w:eastAsia="仿宋_GB2312"/>
                <w:sz w:val="18"/>
                <w:szCs w:val="18"/>
              </w:rPr>
            </w:pPr>
          </w:p>
        </w:tc>
      </w:tr>
    </w:tbl>
    <w:p>
      <w:pPr>
        <w:pStyle w:val="35"/>
        <w:spacing w:before="240" w:beforeLines="0" w:after="240" w:afterLines="0" w:line="460" w:lineRule="exact"/>
        <w:jc w:val="both"/>
        <w:outlineLvl w:val="9"/>
        <w:rPr>
          <w:rFonts w:hint="eastAsia" w:ascii="宋体" w:hAnsi="宋体" w:cs="宋体"/>
          <w:color w:val="FF0000"/>
        </w:rPr>
      </w:pPr>
    </w:p>
    <w:p>
      <w:pPr>
        <w:pStyle w:val="2"/>
        <w:numPr>
          <w:ilvl w:val="0"/>
          <w:numId w:val="0"/>
        </w:numPr>
        <w:spacing w:before="100" w:beforeAutospacing="1" w:after="100" w:afterAutospacing="1"/>
        <w:ind w:left="425" w:hanging="425"/>
        <w:rPr>
          <w:rFonts w:hint="eastAsia" w:ascii="宋体" w:hAnsi="宋体" w:eastAsia="宋体" w:cs="宋体"/>
          <w:b w:val="0"/>
        </w:rPr>
      </w:pPr>
      <w:r>
        <w:rPr>
          <w:rFonts w:hint="eastAsia" w:ascii="宋体" w:hAnsi="宋体" w:eastAsia="宋体" w:cs="宋体"/>
          <w:b w:val="0"/>
        </w:rPr>
        <w:t>四、结论</w:t>
      </w:r>
    </w:p>
    <w:p>
      <w:pPr>
        <w:spacing w:line="360" w:lineRule="auto"/>
        <w:rPr>
          <w:rFonts w:ascii="宋体" w:hAnsi="宋体" w:cs="宋体"/>
          <w:sz w:val="28"/>
          <w:szCs w:val="28"/>
        </w:rPr>
      </w:pPr>
      <w:r>
        <w:rPr>
          <w:rFonts w:hint="eastAsia" w:ascii="宋体" w:hAnsi="宋体" w:cs="宋体"/>
        </w:rPr>
        <w:t xml:space="preserve">   </w:t>
      </w:r>
      <w:r>
        <w:rPr>
          <w:rFonts w:hint="eastAsia" w:ascii="宋体" w:hAnsi="宋体" w:cs="宋体"/>
          <w:sz w:val="28"/>
          <w:szCs w:val="28"/>
        </w:rPr>
        <w:t xml:space="preserve"> 该项目</w:t>
      </w:r>
      <w:r>
        <w:rPr>
          <w:rFonts w:hint="eastAsia" w:ascii="宋体" w:hAnsi="宋体" w:cs="宋体"/>
          <w:sz w:val="28"/>
          <w:szCs w:val="28"/>
          <w:lang w:val="en-US" w:eastAsia="zh-CN"/>
        </w:rPr>
        <w:t>自评</w:t>
      </w:r>
      <w:r>
        <w:rPr>
          <w:rFonts w:hint="eastAsia" w:ascii="宋体" w:hAnsi="宋体" w:cs="宋体"/>
          <w:sz w:val="28"/>
          <w:szCs w:val="28"/>
        </w:rPr>
        <w:t>综合得分为</w:t>
      </w:r>
      <w:r>
        <w:rPr>
          <w:rFonts w:hint="eastAsia" w:ascii="宋体" w:hAnsi="宋体"/>
          <w:b/>
          <w:bCs/>
          <w:color w:val="000000"/>
          <w:szCs w:val="21"/>
          <w:u w:val="single"/>
        </w:rPr>
        <w:t xml:space="preserve">       </w:t>
      </w:r>
      <w:r>
        <w:rPr>
          <w:rFonts w:hint="eastAsia" w:ascii="宋体" w:hAnsi="宋体"/>
          <w:b/>
          <w:bCs/>
          <w:color w:val="000000"/>
          <w:szCs w:val="21"/>
        </w:rPr>
        <w:t>，</w:t>
      </w:r>
      <w:r>
        <w:rPr>
          <w:rFonts w:hint="eastAsia" w:ascii="宋体" w:hAnsi="宋体" w:cs="宋体"/>
          <w:sz w:val="28"/>
          <w:szCs w:val="28"/>
        </w:rPr>
        <w:t xml:space="preserve"> 且满足每类指标均不小于40的要求，故满足《绿色建筑评价标准》（GB/T 50378-2014）中绿色</w:t>
      </w:r>
      <w:r>
        <w:rPr>
          <w:rFonts w:hint="eastAsia" w:ascii="宋体" w:hAnsi="宋体"/>
          <w:bCs/>
          <w:color w:val="000000"/>
          <w:szCs w:val="21"/>
          <w:u w:val="single"/>
        </w:rPr>
        <w:t xml:space="preserve">      </w:t>
      </w:r>
      <w:r>
        <w:rPr>
          <w:rFonts w:hint="eastAsia" w:ascii="宋体" w:hAnsi="宋体" w:cs="宋体"/>
          <w:sz w:val="28"/>
          <w:szCs w:val="28"/>
        </w:rPr>
        <w:t>星级的设计要求。</w:t>
      </w:r>
    </w:p>
    <w:p>
      <w:pPr>
        <w:spacing w:before="156" w:beforeLines="50" w:after="156" w:afterLines="50" w:line="360" w:lineRule="auto"/>
        <w:jc w:val="center"/>
        <w:rPr>
          <w:rFonts w:ascii="宋体" w:hAnsi="宋体"/>
          <w:b/>
          <w:color w:val="000000"/>
          <w:szCs w:val="21"/>
        </w:rPr>
      </w:pPr>
      <w:r>
        <w:rPr>
          <w:rFonts w:ascii="宋体" w:hAnsi="宋体" w:cs="宋体"/>
          <w:sz w:val="28"/>
          <w:szCs w:val="28"/>
        </w:rPr>
        <w:br w:type="page"/>
      </w:r>
      <w:r>
        <w:rPr>
          <w:rFonts w:ascii="宋体" w:hAnsi="宋体"/>
          <w:b/>
          <w:color w:val="000000"/>
          <w:szCs w:val="21"/>
        </w:rPr>
        <w:t>绿色建筑</w:t>
      </w:r>
      <w:r>
        <w:rPr>
          <w:rFonts w:hint="eastAsia" w:ascii="宋体" w:hAnsi="宋体"/>
          <w:b/>
          <w:color w:val="000000"/>
          <w:szCs w:val="21"/>
          <w:lang w:val="en-US" w:eastAsia="zh-CN"/>
        </w:rPr>
        <w:t>自</w:t>
      </w:r>
      <w:r>
        <w:rPr>
          <w:rFonts w:hint="eastAsia" w:ascii="宋体" w:hAnsi="宋体"/>
          <w:b/>
          <w:color w:val="000000"/>
          <w:szCs w:val="21"/>
        </w:rPr>
        <w:t>评价</w:t>
      </w:r>
      <w:r>
        <w:rPr>
          <w:rFonts w:ascii="宋体" w:hAnsi="宋体"/>
          <w:b/>
          <w:color w:val="000000"/>
          <w:szCs w:val="21"/>
        </w:rPr>
        <w:t>得分与结果汇总表</w:t>
      </w:r>
    </w:p>
    <w:tbl>
      <w:tblPr>
        <w:tblStyle w:val="28"/>
        <w:tblW w:w="99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197"/>
        <w:gridCol w:w="1134"/>
        <w:gridCol w:w="1033"/>
        <w:gridCol w:w="101"/>
        <w:gridCol w:w="1118"/>
        <w:gridCol w:w="1008"/>
        <w:gridCol w:w="992"/>
        <w:gridCol w:w="1009"/>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2415" w:type="dxa"/>
            <w:gridSpan w:val="2"/>
            <w:vAlign w:val="center"/>
          </w:tcPr>
          <w:p>
            <w:pPr>
              <w:jc w:val="center"/>
              <w:rPr>
                <w:rFonts w:ascii="宋体" w:hAnsi="宋体"/>
                <w:sz w:val="24"/>
              </w:rPr>
            </w:pPr>
            <w:r>
              <w:rPr>
                <w:rFonts w:hint="eastAsia" w:ascii="宋体" w:hAnsi="宋体"/>
                <w:sz w:val="24"/>
              </w:rPr>
              <w:t>工程项目名称</w:t>
            </w:r>
          </w:p>
        </w:tc>
        <w:tc>
          <w:tcPr>
            <w:tcW w:w="7539" w:type="dxa"/>
            <w:gridSpan w:val="8"/>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415" w:type="dxa"/>
            <w:gridSpan w:val="2"/>
            <w:vAlign w:val="center"/>
          </w:tcPr>
          <w:p>
            <w:pPr>
              <w:jc w:val="center"/>
              <w:rPr>
                <w:rFonts w:ascii="宋体" w:hAnsi="宋体"/>
                <w:sz w:val="24"/>
              </w:rPr>
            </w:pPr>
            <w:r>
              <w:rPr>
                <w:rFonts w:hint="eastAsia" w:ascii="宋体" w:hAnsi="宋体"/>
                <w:sz w:val="24"/>
              </w:rPr>
              <w:t>建设单位</w:t>
            </w:r>
          </w:p>
        </w:tc>
        <w:tc>
          <w:tcPr>
            <w:tcW w:w="7539" w:type="dxa"/>
            <w:gridSpan w:val="8"/>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2415" w:type="dxa"/>
            <w:gridSpan w:val="2"/>
            <w:vAlign w:val="center"/>
          </w:tcPr>
          <w:p>
            <w:pPr>
              <w:jc w:val="center"/>
              <w:rPr>
                <w:rFonts w:ascii="宋体" w:hAnsi="宋体"/>
                <w:sz w:val="24"/>
              </w:rPr>
            </w:pPr>
            <w:r>
              <w:rPr>
                <w:rFonts w:hint="eastAsia" w:ascii="宋体" w:hAnsi="宋体"/>
                <w:sz w:val="24"/>
              </w:rPr>
              <w:t>评价阶段</w:t>
            </w:r>
          </w:p>
        </w:tc>
        <w:tc>
          <w:tcPr>
            <w:tcW w:w="3386" w:type="dxa"/>
            <w:gridSpan w:val="4"/>
            <w:vAlign w:val="center"/>
          </w:tcPr>
          <w:p>
            <w:pPr>
              <w:jc w:val="center"/>
              <w:rPr>
                <w:rFonts w:ascii="宋体" w:hAnsi="宋体"/>
                <w:sz w:val="24"/>
              </w:rPr>
            </w:pPr>
            <w:r>
              <w:rPr>
                <w:rFonts w:hint="eastAsia" w:ascii="宋体" w:hAnsi="宋体"/>
                <w:sz w:val="24"/>
              </w:rPr>
              <w:t>□设计评价</w:t>
            </w:r>
          </w:p>
          <w:p>
            <w:pPr>
              <w:jc w:val="center"/>
              <w:rPr>
                <w:rFonts w:ascii="宋体" w:hAnsi="宋体"/>
                <w:sz w:val="24"/>
              </w:rPr>
            </w:pPr>
            <w:r>
              <w:rPr>
                <w:rFonts w:hint="eastAsia" w:ascii="宋体" w:hAnsi="宋体"/>
                <w:sz w:val="24"/>
              </w:rPr>
              <w:t>□运行评价</w:t>
            </w:r>
          </w:p>
        </w:tc>
        <w:tc>
          <w:tcPr>
            <w:tcW w:w="1008" w:type="dxa"/>
            <w:vAlign w:val="center"/>
          </w:tcPr>
          <w:p>
            <w:pPr>
              <w:jc w:val="center"/>
              <w:rPr>
                <w:rFonts w:ascii="宋体" w:hAnsi="宋体"/>
                <w:sz w:val="24"/>
              </w:rPr>
            </w:pPr>
            <w:r>
              <w:rPr>
                <w:rFonts w:hint="eastAsia" w:ascii="宋体" w:hAnsi="宋体"/>
                <w:sz w:val="24"/>
              </w:rPr>
              <w:t>建筑</w:t>
            </w:r>
          </w:p>
          <w:p>
            <w:pPr>
              <w:jc w:val="center"/>
              <w:rPr>
                <w:rFonts w:ascii="宋体" w:hAnsi="宋体"/>
                <w:sz w:val="24"/>
              </w:rPr>
            </w:pPr>
            <w:r>
              <w:rPr>
                <w:rFonts w:hint="eastAsia" w:ascii="宋体" w:hAnsi="宋体"/>
                <w:sz w:val="24"/>
              </w:rPr>
              <w:t>类型</w:t>
            </w:r>
          </w:p>
        </w:tc>
        <w:tc>
          <w:tcPr>
            <w:tcW w:w="3145" w:type="dxa"/>
            <w:gridSpan w:val="3"/>
            <w:vAlign w:val="center"/>
          </w:tcPr>
          <w:p>
            <w:pPr>
              <w:jc w:val="center"/>
              <w:rPr>
                <w:rFonts w:ascii="宋体" w:hAnsi="宋体"/>
                <w:sz w:val="24"/>
              </w:rPr>
            </w:pPr>
            <w:r>
              <w:rPr>
                <w:rFonts w:hint="eastAsia" w:ascii="宋体" w:hAnsi="宋体"/>
                <w:sz w:val="24"/>
              </w:rPr>
              <w:t xml:space="preserve">   □居住建筑</w:t>
            </w:r>
          </w:p>
          <w:p>
            <w:pPr>
              <w:ind w:firstLine="1080" w:firstLineChars="450"/>
              <w:rPr>
                <w:rFonts w:ascii="宋体" w:hAnsi="宋体"/>
                <w:sz w:val="24"/>
              </w:rPr>
            </w:pPr>
            <w:r>
              <w:rPr>
                <w:rFonts w:hint="eastAsia" w:ascii="宋体" w:hAnsi="宋体"/>
                <w:sz w:val="24"/>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2415" w:type="dxa"/>
            <w:gridSpan w:val="2"/>
            <w:vAlign w:val="center"/>
          </w:tcPr>
          <w:p>
            <w:pPr>
              <w:jc w:val="center"/>
              <w:rPr>
                <w:rFonts w:ascii="宋体" w:hAnsi="宋体"/>
                <w:sz w:val="24"/>
              </w:rPr>
            </w:pPr>
            <w:r>
              <w:rPr>
                <w:rFonts w:hint="eastAsia" w:ascii="宋体" w:hAnsi="宋体"/>
                <w:sz w:val="24"/>
              </w:rPr>
              <w:t>评价指标</w:t>
            </w:r>
          </w:p>
        </w:tc>
        <w:tc>
          <w:tcPr>
            <w:tcW w:w="1134" w:type="dxa"/>
            <w:vAlign w:val="center"/>
          </w:tcPr>
          <w:p>
            <w:pPr>
              <w:jc w:val="center"/>
              <w:rPr>
                <w:rFonts w:ascii="宋体" w:hAnsi="宋体"/>
                <w:sz w:val="24"/>
              </w:rPr>
            </w:pPr>
            <w:r>
              <w:rPr>
                <w:rFonts w:hint="eastAsia" w:ascii="宋体" w:hAnsi="宋体"/>
                <w:sz w:val="24"/>
              </w:rPr>
              <w:t>节地与室外环境</w:t>
            </w:r>
          </w:p>
        </w:tc>
        <w:tc>
          <w:tcPr>
            <w:tcW w:w="1134" w:type="dxa"/>
            <w:gridSpan w:val="2"/>
            <w:vAlign w:val="center"/>
          </w:tcPr>
          <w:p>
            <w:pPr>
              <w:jc w:val="center"/>
              <w:rPr>
                <w:rFonts w:ascii="宋体" w:hAnsi="宋体"/>
                <w:sz w:val="24"/>
              </w:rPr>
            </w:pPr>
            <w:r>
              <w:rPr>
                <w:rFonts w:hint="eastAsia" w:ascii="宋体" w:hAnsi="宋体"/>
                <w:sz w:val="24"/>
              </w:rPr>
              <w:t>节能与能源利用</w:t>
            </w:r>
          </w:p>
        </w:tc>
        <w:tc>
          <w:tcPr>
            <w:tcW w:w="1118" w:type="dxa"/>
            <w:vAlign w:val="center"/>
          </w:tcPr>
          <w:p>
            <w:pPr>
              <w:jc w:val="center"/>
              <w:rPr>
                <w:rFonts w:ascii="宋体" w:hAnsi="宋体"/>
                <w:sz w:val="24"/>
              </w:rPr>
            </w:pPr>
            <w:r>
              <w:rPr>
                <w:rFonts w:hint="eastAsia" w:ascii="宋体" w:hAnsi="宋体"/>
                <w:sz w:val="24"/>
              </w:rPr>
              <w:t>节水与水资源利用</w:t>
            </w:r>
          </w:p>
        </w:tc>
        <w:tc>
          <w:tcPr>
            <w:tcW w:w="1008" w:type="dxa"/>
            <w:vAlign w:val="center"/>
          </w:tcPr>
          <w:p>
            <w:pPr>
              <w:jc w:val="center"/>
              <w:rPr>
                <w:rFonts w:ascii="宋体" w:hAnsi="宋体"/>
                <w:sz w:val="24"/>
              </w:rPr>
            </w:pPr>
            <w:r>
              <w:rPr>
                <w:rFonts w:hint="eastAsia" w:ascii="宋体" w:hAnsi="宋体"/>
                <w:sz w:val="24"/>
              </w:rPr>
              <w:t>节材与材料资源利用</w:t>
            </w:r>
          </w:p>
        </w:tc>
        <w:tc>
          <w:tcPr>
            <w:tcW w:w="992" w:type="dxa"/>
            <w:vAlign w:val="center"/>
          </w:tcPr>
          <w:p>
            <w:pPr>
              <w:jc w:val="center"/>
              <w:rPr>
                <w:rFonts w:ascii="宋体" w:hAnsi="宋体"/>
                <w:sz w:val="24"/>
              </w:rPr>
            </w:pPr>
            <w:r>
              <w:rPr>
                <w:rFonts w:hint="eastAsia" w:ascii="宋体" w:hAnsi="宋体"/>
                <w:sz w:val="24"/>
              </w:rPr>
              <w:t>室内环境质量</w:t>
            </w:r>
          </w:p>
        </w:tc>
        <w:tc>
          <w:tcPr>
            <w:tcW w:w="1009" w:type="dxa"/>
            <w:vAlign w:val="center"/>
          </w:tcPr>
          <w:p>
            <w:pPr>
              <w:jc w:val="center"/>
              <w:rPr>
                <w:rFonts w:ascii="宋体" w:hAnsi="宋体"/>
                <w:sz w:val="24"/>
              </w:rPr>
            </w:pPr>
            <w:r>
              <w:rPr>
                <w:rFonts w:hint="eastAsia" w:ascii="宋体" w:hAnsi="宋体"/>
                <w:sz w:val="24"/>
              </w:rPr>
              <w:t>施工</w:t>
            </w:r>
          </w:p>
          <w:p>
            <w:pPr>
              <w:jc w:val="center"/>
              <w:rPr>
                <w:rFonts w:ascii="宋体" w:hAnsi="宋体"/>
                <w:sz w:val="24"/>
              </w:rPr>
            </w:pPr>
            <w:r>
              <w:rPr>
                <w:rFonts w:hint="eastAsia" w:ascii="宋体" w:hAnsi="宋体"/>
                <w:sz w:val="24"/>
              </w:rPr>
              <w:t>管理</w:t>
            </w:r>
          </w:p>
        </w:tc>
        <w:tc>
          <w:tcPr>
            <w:tcW w:w="1144" w:type="dxa"/>
            <w:vAlign w:val="center"/>
          </w:tcPr>
          <w:p>
            <w:pPr>
              <w:jc w:val="center"/>
              <w:rPr>
                <w:rFonts w:ascii="宋体" w:hAnsi="宋体"/>
                <w:sz w:val="24"/>
              </w:rPr>
            </w:pPr>
            <w:r>
              <w:rPr>
                <w:rFonts w:hint="eastAsia" w:ascii="宋体" w:hAnsi="宋体"/>
                <w:sz w:val="24"/>
              </w:rPr>
              <w:t>运营</w:t>
            </w:r>
          </w:p>
          <w:p>
            <w:pPr>
              <w:jc w:val="center"/>
              <w:rPr>
                <w:rFonts w:ascii="宋体" w:hAnsi="宋体"/>
                <w:sz w:val="24"/>
              </w:rPr>
            </w:pPr>
            <w:r>
              <w:rPr>
                <w:rFonts w:hint="eastAsia" w:ascii="宋体" w:hAnsi="宋体"/>
                <w:sz w:val="24"/>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218" w:type="dxa"/>
            <w:vMerge w:val="restart"/>
            <w:vAlign w:val="center"/>
          </w:tcPr>
          <w:p>
            <w:pPr>
              <w:jc w:val="center"/>
              <w:rPr>
                <w:rFonts w:ascii="宋体" w:hAnsi="宋体"/>
                <w:sz w:val="24"/>
              </w:rPr>
            </w:pPr>
            <w:r>
              <w:rPr>
                <w:rFonts w:hint="eastAsia" w:ascii="宋体" w:hAnsi="宋体"/>
                <w:sz w:val="24"/>
              </w:rPr>
              <w:t>控制项</w:t>
            </w:r>
          </w:p>
        </w:tc>
        <w:tc>
          <w:tcPr>
            <w:tcW w:w="1197" w:type="dxa"/>
            <w:vAlign w:val="center"/>
          </w:tcPr>
          <w:p>
            <w:pPr>
              <w:jc w:val="center"/>
              <w:rPr>
                <w:rFonts w:ascii="宋体" w:hAnsi="宋体"/>
                <w:sz w:val="24"/>
              </w:rPr>
            </w:pPr>
            <w:r>
              <w:rPr>
                <w:rFonts w:hint="eastAsia" w:ascii="宋体" w:hAnsi="宋体"/>
                <w:sz w:val="24"/>
              </w:rPr>
              <w:t>评定结果</w:t>
            </w:r>
          </w:p>
        </w:tc>
        <w:tc>
          <w:tcPr>
            <w:tcW w:w="1134" w:type="dxa"/>
            <w:vAlign w:val="center"/>
          </w:tcPr>
          <w:p>
            <w:pPr>
              <w:jc w:val="center"/>
              <w:rPr>
                <w:rFonts w:ascii="宋体" w:hAnsi="宋体"/>
                <w:sz w:val="24"/>
              </w:rPr>
            </w:pPr>
            <w:r>
              <w:rPr>
                <w:rFonts w:hint="eastAsia" w:ascii="宋体" w:hAnsi="宋体"/>
                <w:sz w:val="24"/>
              </w:rPr>
              <w:t>□满足</w:t>
            </w:r>
          </w:p>
        </w:tc>
        <w:tc>
          <w:tcPr>
            <w:tcW w:w="1134" w:type="dxa"/>
            <w:gridSpan w:val="2"/>
            <w:vAlign w:val="center"/>
          </w:tcPr>
          <w:p>
            <w:pPr>
              <w:jc w:val="center"/>
              <w:rPr>
                <w:rFonts w:ascii="宋体" w:hAnsi="宋体"/>
                <w:sz w:val="24"/>
              </w:rPr>
            </w:pPr>
            <w:r>
              <w:rPr>
                <w:rFonts w:hint="eastAsia" w:ascii="宋体" w:hAnsi="宋体"/>
                <w:sz w:val="24"/>
              </w:rPr>
              <w:t>□满足</w:t>
            </w:r>
          </w:p>
        </w:tc>
        <w:tc>
          <w:tcPr>
            <w:tcW w:w="1118" w:type="dxa"/>
            <w:vAlign w:val="center"/>
          </w:tcPr>
          <w:p>
            <w:pPr>
              <w:jc w:val="center"/>
              <w:rPr>
                <w:rFonts w:ascii="宋体" w:hAnsi="宋体"/>
                <w:sz w:val="24"/>
              </w:rPr>
            </w:pPr>
            <w:r>
              <w:rPr>
                <w:rFonts w:hint="eastAsia" w:ascii="宋体" w:hAnsi="宋体"/>
                <w:sz w:val="24"/>
              </w:rPr>
              <w:t>□满足</w:t>
            </w:r>
          </w:p>
        </w:tc>
        <w:tc>
          <w:tcPr>
            <w:tcW w:w="1008" w:type="dxa"/>
            <w:vAlign w:val="center"/>
          </w:tcPr>
          <w:p>
            <w:pPr>
              <w:jc w:val="center"/>
              <w:rPr>
                <w:rFonts w:ascii="宋体" w:hAnsi="宋体"/>
                <w:sz w:val="24"/>
              </w:rPr>
            </w:pPr>
            <w:r>
              <w:rPr>
                <w:rFonts w:hint="eastAsia" w:ascii="宋体" w:hAnsi="宋体"/>
                <w:sz w:val="24"/>
              </w:rPr>
              <w:t>□满足</w:t>
            </w:r>
          </w:p>
        </w:tc>
        <w:tc>
          <w:tcPr>
            <w:tcW w:w="992" w:type="dxa"/>
            <w:vAlign w:val="center"/>
          </w:tcPr>
          <w:p>
            <w:pPr>
              <w:jc w:val="center"/>
              <w:rPr>
                <w:rFonts w:ascii="宋体" w:hAnsi="宋体"/>
                <w:sz w:val="24"/>
              </w:rPr>
            </w:pPr>
            <w:r>
              <w:rPr>
                <w:rFonts w:hint="eastAsia" w:ascii="宋体" w:hAnsi="宋体"/>
                <w:sz w:val="24"/>
              </w:rPr>
              <w:t>□满足</w:t>
            </w:r>
          </w:p>
        </w:tc>
        <w:tc>
          <w:tcPr>
            <w:tcW w:w="1009" w:type="dxa"/>
            <w:vAlign w:val="center"/>
          </w:tcPr>
          <w:p>
            <w:pPr>
              <w:jc w:val="center"/>
              <w:rPr>
                <w:rFonts w:ascii="宋体" w:hAnsi="宋体"/>
                <w:sz w:val="24"/>
              </w:rPr>
            </w:pPr>
            <w:r>
              <w:rPr>
                <w:rFonts w:hint="eastAsia" w:ascii="宋体" w:hAnsi="宋体"/>
                <w:sz w:val="24"/>
              </w:rPr>
              <w:t>□满足</w:t>
            </w:r>
          </w:p>
        </w:tc>
        <w:tc>
          <w:tcPr>
            <w:tcW w:w="1144" w:type="dxa"/>
            <w:vAlign w:val="center"/>
          </w:tcPr>
          <w:p>
            <w:pPr>
              <w:jc w:val="center"/>
              <w:rPr>
                <w:rFonts w:ascii="宋体" w:hAnsi="宋体"/>
                <w:sz w:val="24"/>
              </w:rPr>
            </w:pPr>
            <w:r>
              <w:rPr>
                <w:rFonts w:hint="eastAsia" w:ascii="宋体" w:hAnsi="宋体"/>
                <w:sz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218" w:type="dxa"/>
            <w:vMerge w:val="continue"/>
            <w:vAlign w:val="center"/>
          </w:tcPr>
          <w:p>
            <w:pPr>
              <w:jc w:val="center"/>
              <w:rPr>
                <w:rFonts w:ascii="宋体" w:hAnsi="宋体"/>
                <w:sz w:val="24"/>
              </w:rPr>
            </w:pPr>
          </w:p>
        </w:tc>
        <w:tc>
          <w:tcPr>
            <w:tcW w:w="1197" w:type="dxa"/>
            <w:vAlign w:val="center"/>
          </w:tcPr>
          <w:p>
            <w:pPr>
              <w:jc w:val="center"/>
              <w:rPr>
                <w:rFonts w:ascii="宋体" w:hAnsi="宋体"/>
                <w:sz w:val="24"/>
              </w:rPr>
            </w:pPr>
            <w:r>
              <w:rPr>
                <w:rFonts w:hint="eastAsia" w:ascii="宋体" w:hAnsi="宋体"/>
                <w:sz w:val="24"/>
              </w:rPr>
              <w:t>说明</w:t>
            </w:r>
          </w:p>
        </w:tc>
        <w:tc>
          <w:tcPr>
            <w:tcW w:w="1134" w:type="dxa"/>
            <w:vAlign w:val="center"/>
          </w:tcPr>
          <w:p>
            <w:pPr>
              <w:jc w:val="center"/>
              <w:rPr>
                <w:rFonts w:ascii="宋体" w:hAnsi="宋体"/>
                <w:sz w:val="24"/>
              </w:rPr>
            </w:pPr>
          </w:p>
        </w:tc>
        <w:tc>
          <w:tcPr>
            <w:tcW w:w="1134" w:type="dxa"/>
            <w:gridSpan w:val="2"/>
            <w:vAlign w:val="center"/>
          </w:tcPr>
          <w:p>
            <w:pPr>
              <w:jc w:val="center"/>
              <w:rPr>
                <w:rFonts w:ascii="宋体" w:hAnsi="宋体"/>
                <w:sz w:val="24"/>
              </w:rPr>
            </w:pPr>
          </w:p>
        </w:tc>
        <w:tc>
          <w:tcPr>
            <w:tcW w:w="1118" w:type="dxa"/>
            <w:vAlign w:val="center"/>
          </w:tcPr>
          <w:p>
            <w:pPr>
              <w:jc w:val="center"/>
              <w:rPr>
                <w:rFonts w:ascii="宋体" w:hAnsi="宋体"/>
                <w:sz w:val="24"/>
              </w:rPr>
            </w:pPr>
          </w:p>
        </w:tc>
        <w:tc>
          <w:tcPr>
            <w:tcW w:w="1008" w:type="dxa"/>
            <w:vAlign w:val="center"/>
          </w:tcPr>
          <w:p>
            <w:pPr>
              <w:jc w:val="center"/>
              <w:rPr>
                <w:rFonts w:ascii="宋体" w:hAnsi="宋体"/>
                <w:sz w:val="24"/>
              </w:rPr>
            </w:pPr>
          </w:p>
        </w:tc>
        <w:tc>
          <w:tcPr>
            <w:tcW w:w="992" w:type="dxa"/>
            <w:vAlign w:val="center"/>
          </w:tcPr>
          <w:p>
            <w:pPr>
              <w:jc w:val="center"/>
              <w:rPr>
                <w:rFonts w:ascii="宋体" w:hAnsi="宋体"/>
                <w:sz w:val="24"/>
              </w:rPr>
            </w:pPr>
          </w:p>
        </w:tc>
        <w:tc>
          <w:tcPr>
            <w:tcW w:w="1009" w:type="dxa"/>
            <w:vAlign w:val="center"/>
          </w:tcPr>
          <w:p>
            <w:pPr>
              <w:jc w:val="center"/>
              <w:rPr>
                <w:rFonts w:ascii="宋体" w:hAnsi="宋体"/>
                <w:sz w:val="24"/>
              </w:rPr>
            </w:pPr>
          </w:p>
        </w:tc>
        <w:tc>
          <w:tcPr>
            <w:tcW w:w="114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218" w:type="dxa"/>
            <w:vMerge w:val="restart"/>
            <w:vAlign w:val="center"/>
          </w:tcPr>
          <w:p>
            <w:pPr>
              <w:jc w:val="center"/>
              <w:rPr>
                <w:rFonts w:ascii="宋体" w:hAnsi="宋体"/>
                <w:sz w:val="24"/>
              </w:rPr>
            </w:pPr>
            <w:r>
              <w:rPr>
                <w:rFonts w:hint="eastAsia" w:ascii="宋体" w:hAnsi="宋体"/>
                <w:sz w:val="24"/>
              </w:rPr>
              <w:t>评分项</w:t>
            </w:r>
          </w:p>
        </w:tc>
        <w:tc>
          <w:tcPr>
            <w:tcW w:w="1197" w:type="dxa"/>
            <w:vAlign w:val="center"/>
          </w:tcPr>
          <w:p>
            <w:pPr>
              <w:jc w:val="center"/>
              <w:rPr>
                <w:rFonts w:ascii="宋体" w:hAnsi="宋体" w:cs="宋体"/>
                <w:kern w:val="0"/>
                <w:sz w:val="24"/>
              </w:rPr>
            </w:pPr>
            <w:r>
              <w:rPr>
                <w:rFonts w:hint="eastAsia" w:ascii="宋体" w:hAnsi="宋体"/>
                <w:sz w:val="24"/>
              </w:rPr>
              <w:t>权重</w:t>
            </w:r>
          </w:p>
        </w:tc>
        <w:tc>
          <w:tcPr>
            <w:tcW w:w="1134" w:type="dxa"/>
            <w:vAlign w:val="center"/>
          </w:tcPr>
          <w:p>
            <w:pPr>
              <w:jc w:val="center"/>
              <w:rPr>
                <w:rFonts w:ascii="宋体" w:hAnsi="宋体"/>
                <w:sz w:val="24"/>
              </w:rPr>
            </w:pPr>
          </w:p>
        </w:tc>
        <w:tc>
          <w:tcPr>
            <w:tcW w:w="1134" w:type="dxa"/>
            <w:gridSpan w:val="2"/>
            <w:vAlign w:val="center"/>
          </w:tcPr>
          <w:p>
            <w:pPr>
              <w:jc w:val="center"/>
              <w:rPr>
                <w:rFonts w:ascii="宋体" w:hAnsi="宋体"/>
                <w:sz w:val="24"/>
              </w:rPr>
            </w:pPr>
          </w:p>
        </w:tc>
        <w:tc>
          <w:tcPr>
            <w:tcW w:w="1118" w:type="dxa"/>
            <w:vAlign w:val="center"/>
          </w:tcPr>
          <w:p>
            <w:pPr>
              <w:jc w:val="center"/>
              <w:rPr>
                <w:rFonts w:ascii="宋体" w:hAnsi="宋体"/>
                <w:sz w:val="24"/>
              </w:rPr>
            </w:pPr>
          </w:p>
        </w:tc>
        <w:tc>
          <w:tcPr>
            <w:tcW w:w="1008" w:type="dxa"/>
            <w:vAlign w:val="center"/>
          </w:tcPr>
          <w:p>
            <w:pPr>
              <w:jc w:val="center"/>
              <w:rPr>
                <w:rFonts w:ascii="宋体" w:hAnsi="宋体"/>
                <w:sz w:val="24"/>
              </w:rPr>
            </w:pPr>
          </w:p>
        </w:tc>
        <w:tc>
          <w:tcPr>
            <w:tcW w:w="992" w:type="dxa"/>
            <w:vAlign w:val="center"/>
          </w:tcPr>
          <w:p>
            <w:pPr>
              <w:jc w:val="center"/>
              <w:rPr>
                <w:rFonts w:ascii="宋体" w:hAnsi="宋体"/>
                <w:sz w:val="24"/>
              </w:rPr>
            </w:pPr>
          </w:p>
        </w:tc>
        <w:tc>
          <w:tcPr>
            <w:tcW w:w="1009" w:type="dxa"/>
            <w:vAlign w:val="center"/>
          </w:tcPr>
          <w:p>
            <w:pPr>
              <w:jc w:val="center"/>
              <w:rPr>
                <w:rFonts w:ascii="宋体" w:hAnsi="宋体"/>
                <w:sz w:val="24"/>
              </w:rPr>
            </w:pPr>
          </w:p>
        </w:tc>
        <w:tc>
          <w:tcPr>
            <w:tcW w:w="114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18" w:type="dxa"/>
            <w:vMerge w:val="continue"/>
            <w:vAlign w:val="center"/>
          </w:tcPr>
          <w:p>
            <w:pPr>
              <w:jc w:val="center"/>
              <w:rPr>
                <w:rFonts w:ascii="宋体" w:hAnsi="宋体"/>
                <w:sz w:val="24"/>
              </w:rPr>
            </w:pPr>
          </w:p>
        </w:tc>
        <w:tc>
          <w:tcPr>
            <w:tcW w:w="1197" w:type="dxa"/>
            <w:vAlign w:val="center"/>
          </w:tcPr>
          <w:p>
            <w:pPr>
              <w:jc w:val="center"/>
              <w:rPr>
                <w:rFonts w:ascii="宋体" w:hAnsi="宋体"/>
                <w:sz w:val="24"/>
              </w:rPr>
            </w:pPr>
            <w:r>
              <w:rPr>
                <w:rFonts w:hint="eastAsia" w:ascii="宋体" w:hAnsi="宋体"/>
                <w:sz w:val="24"/>
              </w:rPr>
              <w:t>适用总分</w:t>
            </w:r>
          </w:p>
        </w:tc>
        <w:tc>
          <w:tcPr>
            <w:tcW w:w="1134" w:type="dxa"/>
            <w:vAlign w:val="center"/>
          </w:tcPr>
          <w:p>
            <w:pPr>
              <w:jc w:val="center"/>
              <w:rPr>
                <w:rFonts w:ascii="宋体" w:hAnsi="宋体"/>
                <w:sz w:val="24"/>
              </w:rPr>
            </w:pPr>
          </w:p>
        </w:tc>
        <w:tc>
          <w:tcPr>
            <w:tcW w:w="1134" w:type="dxa"/>
            <w:gridSpan w:val="2"/>
            <w:vAlign w:val="center"/>
          </w:tcPr>
          <w:p>
            <w:pPr>
              <w:jc w:val="center"/>
              <w:rPr>
                <w:rFonts w:ascii="宋体" w:hAnsi="宋体"/>
                <w:sz w:val="24"/>
              </w:rPr>
            </w:pPr>
          </w:p>
        </w:tc>
        <w:tc>
          <w:tcPr>
            <w:tcW w:w="1118" w:type="dxa"/>
            <w:vAlign w:val="center"/>
          </w:tcPr>
          <w:p>
            <w:pPr>
              <w:jc w:val="center"/>
              <w:rPr>
                <w:rFonts w:ascii="宋体" w:hAnsi="宋体"/>
                <w:sz w:val="24"/>
              </w:rPr>
            </w:pPr>
          </w:p>
        </w:tc>
        <w:tc>
          <w:tcPr>
            <w:tcW w:w="1008" w:type="dxa"/>
            <w:vAlign w:val="center"/>
          </w:tcPr>
          <w:p>
            <w:pPr>
              <w:jc w:val="center"/>
              <w:rPr>
                <w:rFonts w:ascii="宋体" w:hAnsi="宋体"/>
                <w:sz w:val="24"/>
              </w:rPr>
            </w:pPr>
          </w:p>
        </w:tc>
        <w:tc>
          <w:tcPr>
            <w:tcW w:w="992" w:type="dxa"/>
            <w:vAlign w:val="center"/>
          </w:tcPr>
          <w:p>
            <w:pPr>
              <w:jc w:val="center"/>
              <w:rPr>
                <w:rFonts w:ascii="宋体" w:hAnsi="宋体"/>
                <w:sz w:val="24"/>
              </w:rPr>
            </w:pPr>
          </w:p>
        </w:tc>
        <w:tc>
          <w:tcPr>
            <w:tcW w:w="1009" w:type="dxa"/>
            <w:vAlign w:val="center"/>
          </w:tcPr>
          <w:p>
            <w:pPr>
              <w:jc w:val="center"/>
              <w:rPr>
                <w:rFonts w:ascii="宋体" w:hAnsi="宋体"/>
                <w:sz w:val="24"/>
              </w:rPr>
            </w:pPr>
          </w:p>
        </w:tc>
        <w:tc>
          <w:tcPr>
            <w:tcW w:w="114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218" w:type="dxa"/>
            <w:vMerge w:val="continue"/>
            <w:vAlign w:val="center"/>
          </w:tcPr>
          <w:p>
            <w:pPr>
              <w:jc w:val="center"/>
              <w:rPr>
                <w:rFonts w:ascii="宋体" w:hAnsi="宋体"/>
                <w:sz w:val="24"/>
              </w:rPr>
            </w:pPr>
          </w:p>
        </w:tc>
        <w:tc>
          <w:tcPr>
            <w:tcW w:w="1197" w:type="dxa"/>
            <w:vAlign w:val="center"/>
          </w:tcPr>
          <w:p>
            <w:pPr>
              <w:jc w:val="center"/>
              <w:rPr>
                <w:rFonts w:ascii="宋体" w:hAnsi="宋体"/>
                <w:sz w:val="24"/>
              </w:rPr>
            </w:pPr>
            <w:r>
              <w:rPr>
                <w:rFonts w:hint="eastAsia" w:ascii="宋体" w:hAnsi="宋体"/>
                <w:sz w:val="24"/>
              </w:rPr>
              <w:t>实际得分</w:t>
            </w:r>
          </w:p>
        </w:tc>
        <w:tc>
          <w:tcPr>
            <w:tcW w:w="1134" w:type="dxa"/>
            <w:vAlign w:val="center"/>
          </w:tcPr>
          <w:p>
            <w:pPr>
              <w:jc w:val="center"/>
              <w:rPr>
                <w:rFonts w:ascii="宋体" w:hAnsi="宋体"/>
                <w:sz w:val="24"/>
              </w:rPr>
            </w:pPr>
          </w:p>
        </w:tc>
        <w:tc>
          <w:tcPr>
            <w:tcW w:w="1134" w:type="dxa"/>
            <w:gridSpan w:val="2"/>
            <w:vAlign w:val="center"/>
          </w:tcPr>
          <w:p>
            <w:pPr>
              <w:jc w:val="center"/>
              <w:rPr>
                <w:rFonts w:ascii="宋体" w:hAnsi="宋体"/>
                <w:sz w:val="24"/>
              </w:rPr>
            </w:pPr>
          </w:p>
        </w:tc>
        <w:tc>
          <w:tcPr>
            <w:tcW w:w="1118" w:type="dxa"/>
            <w:vAlign w:val="center"/>
          </w:tcPr>
          <w:p>
            <w:pPr>
              <w:jc w:val="center"/>
              <w:rPr>
                <w:rFonts w:ascii="宋体" w:hAnsi="宋体"/>
                <w:sz w:val="24"/>
              </w:rPr>
            </w:pPr>
          </w:p>
        </w:tc>
        <w:tc>
          <w:tcPr>
            <w:tcW w:w="1008" w:type="dxa"/>
            <w:vAlign w:val="center"/>
          </w:tcPr>
          <w:p>
            <w:pPr>
              <w:jc w:val="center"/>
              <w:rPr>
                <w:rFonts w:ascii="宋体" w:hAnsi="宋体"/>
                <w:sz w:val="24"/>
              </w:rPr>
            </w:pPr>
          </w:p>
        </w:tc>
        <w:tc>
          <w:tcPr>
            <w:tcW w:w="992" w:type="dxa"/>
            <w:vAlign w:val="center"/>
          </w:tcPr>
          <w:p>
            <w:pPr>
              <w:jc w:val="center"/>
              <w:rPr>
                <w:rFonts w:ascii="宋体" w:hAnsi="宋体"/>
                <w:sz w:val="24"/>
              </w:rPr>
            </w:pPr>
          </w:p>
        </w:tc>
        <w:tc>
          <w:tcPr>
            <w:tcW w:w="1009" w:type="dxa"/>
            <w:vAlign w:val="center"/>
          </w:tcPr>
          <w:p>
            <w:pPr>
              <w:jc w:val="center"/>
              <w:rPr>
                <w:rFonts w:ascii="宋体" w:hAnsi="宋体"/>
                <w:sz w:val="24"/>
              </w:rPr>
            </w:pPr>
          </w:p>
        </w:tc>
        <w:tc>
          <w:tcPr>
            <w:tcW w:w="114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18" w:type="dxa"/>
            <w:vMerge w:val="continue"/>
            <w:vAlign w:val="center"/>
          </w:tcPr>
          <w:p>
            <w:pPr>
              <w:jc w:val="center"/>
              <w:rPr>
                <w:rFonts w:ascii="宋体" w:hAnsi="宋体"/>
                <w:sz w:val="24"/>
              </w:rPr>
            </w:pPr>
          </w:p>
        </w:tc>
        <w:tc>
          <w:tcPr>
            <w:tcW w:w="1197" w:type="dxa"/>
            <w:vAlign w:val="center"/>
          </w:tcPr>
          <w:p>
            <w:pPr>
              <w:jc w:val="center"/>
              <w:rPr>
                <w:rFonts w:ascii="宋体" w:hAnsi="宋体"/>
                <w:sz w:val="24"/>
              </w:rPr>
            </w:pPr>
            <w:r>
              <w:rPr>
                <w:rFonts w:hint="eastAsia" w:ascii="宋体" w:hAnsi="宋体"/>
                <w:sz w:val="24"/>
              </w:rPr>
              <w:t>得分</w:t>
            </w:r>
          </w:p>
        </w:tc>
        <w:tc>
          <w:tcPr>
            <w:tcW w:w="1134" w:type="dxa"/>
            <w:vAlign w:val="center"/>
          </w:tcPr>
          <w:p>
            <w:pPr>
              <w:jc w:val="center"/>
              <w:rPr>
                <w:rFonts w:ascii="宋体" w:hAnsi="宋体"/>
                <w:sz w:val="24"/>
              </w:rPr>
            </w:pPr>
          </w:p>
        </w:tc>
        <w:tc>
          <w:tcPr>
            <w:tcW w:w="1134" w:type="dxa"/>
            <w:gridSpan w:val="2"/>
            <w:vAlign w:val="center"/>
          </w:tcPr>
          <w:p>
            <w:pPr>
              <w:jc w:val="center"/>
              <w:rPr>
                <w:rFonts w:ascii="宋体" w:hAnsi="宋体"/>
                <w:sz w:val="24"/>
              </w:rPr>
            </w:pPr>
          </w:p>
        </w:tc>
        <w:tc>
          <w:tcPr>
            <w:tcW w:w="1118" w:type="dxa"/>
            <w:vAlign w:val="center"/>
          </w:tcPr>
          <w:p>
            <w:pPr>
              <w:jc w:val="center"/>
              <w:rPr>
                <w:rFonts w:ascii="宋体" w:hAnsi="宋体"/>
                <w:sz w:val="24"/>
              </w:rPr>
            </w:pPr>
          </w:p>
        </w:tc>
        <w:tc>
          <w:tcPr>
            <w:tcW w:w="1008" w:type="dxa"/>
            <w:vAlign w:val="center"/>
          </w:tcPr>
          <w:p>
            <w:pPr>
              <w:jc w:val="center"/>
              <w:rPr>
                <w:rFonts w:ascii="宋体" w:hAnsi="宋体"/>
                <w:sz w:val="24"/>
              </w:rPr>
            </w:pPr>
          </w:p>
        </w:tc>
        <w:tc>
          <w:tcPr>
            <w:tcW w:w="992" w:type="dxa"/>
            <w:vAlign w:val="center"/>
          </w:tcPr>
          <w:p>
            <w:pPr>
              <w:jc w:val="center"/>
              <w:rPr>
                <w:rFonts w:ascii="宋体" w:hAnsi="宋体"/>
                <w:sz w:val="24"/>
              </w:rPr>
            </w:pPr>
          </w:p>
        </w:tc>
        <w:tc>
          <w:tcPr>
            <w:tcW w:w="1009" w:type="dxa"/>
            <w:vAlign w:val="center"/>
          </w:tcPr>
          <w:p>
            <w:pPr>
              <w:jc w:val="center"/>
              <w:rPr>
                <w:rFonts w:ascii="宋体" w:hAnsi="宋体"/>
                <w:sz w:val="24"/>
              </w:rPr>
            </w:pPr>
          </w:p>
        </w:tc>
        <w:tc>
          <w:tcPr>
            <w:tcW w:w="114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218" w:type="dxa"/>
            <w:vMerge w:val="restart"/>
            <w:vAlign w:val="center"/>
          </w:tcPr>
          <w:p>
            <w:pPr>
              <w:jc w:val="center"/>
              <w:rPr>
                <w:rFonts w:ascii="宋体" w:hAnsi="宋体"/>
                <w:sz w:val="24"/>
              </w:rPr>
            </w:pPr>
            <w:r>
              <w:rPr>
                <w:rFonts w:hint="eastAsia" w:ascii="宋体" w:hAnsi="宋体"/>
                <w:sz w:val="24"/>
              </w:rPr>
              <w:t>加分项</w:t>
            </w:r>
          </w:p>
        </w:tc>
        <w:tc>
          <w:tcPr>
            <w:tcW w:w="1197" w:type="dxa"/>
            <w:vAlign w:val="center"/>
          </w:tcPr>
          <w:p>
            <w:pPr>
              <w:jc w:val="center"/>
              <w:rPr>
                <w:rFonts w:ascii="宋体" w:hAnsi="宋体"/>
                <w:sz w:val="24"/>
              </w:rPr>
            </w:pPr>
            <w:r>
              <w:rPr>
                <w:rFonts w:hint="eastAsia" w:ascii="宋体" w:hAnsi="宋体"/>
                <w:sz w:val="24"/>
              </w:rPr>
              <w:t>得分</w:t>
            </w:r>
          </w:p>
        </w:tc>
        <w:tc>
          <w:tcPr>
            <w:tcW w:w="7539"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18" w:type="dxa"/>
            <w:vMerge w:val="continue"/>
            <w:vAlign w:val="center"/>
          </w:tcPr>
          <w:p>
            <w:pPr>
              <w:jc w:val="center"/>
              <w:rPr>
                <w:rFonts w:ascii="宋体" w:hAnsi="宋体"/>
                <w:sz w:val="24"/>
              </w:rPr>
            </w:pPr>
          </w:p>
        </w:tc>
        <w:tc>
          <w:tcPr>
            <w:tcW w:w="1197" w:type="dxa"/>
            <w:vAlign w:val="center"/>
          </w:tcPr>
          <w:p>
            <w:pPr>
              <w:jc w:val="center"/>
              <w:rPr>
                <w:rFonts w:ascii="宋体" w:hAnsi="宋体"/>
                <w:sz w:val="24"/>
              </w:rPr>
            </w:pPr>
            <w:r>
              <w:rPr>
                <w:rFonts w:hint="eastAsia" w:ascii="宋体" w:hAnsi="宋体"/>
                <w:sz w:val="24"/>
              </w:rPr>
              <w:t>说明</w:t>
            </w:r>
          </w:p>
        </w:tc>
        <w:tc>
          <w:tcPr>
            <w:tcW w:w="7539"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218" w:type="dxa"/>
            <w:vAlign w:val="center"/>
          </w:tcPr>
          <w:p>
            <w:pPr>
              <w:jc w:val="center"/>
              <w:rPr>
                <w:rFonts w:ascii="宋体" w:hAnsi="宋体"/>
                <w:sz w:val="24"/>
              </w:rPr>
            </w:pPr>
            <w:r>
              <w:rPr>
                <w:rFonts w:hint="eastAsia" w:ascii="宋体" w:hAnsi="宋体"/>
                <w:sz w:val="24"/>
              </w:rPr>
              <w:t>总得分</w:t>
            </w:r>
          </w:p>
        </w:tc>
        <w:tc>
          <w:tcPr>
            <w:tcW w:w="8736"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218" w:type="dxa"/>
            <w:vAlign w:val="center"/>
          </w:tcPr>
          <w:p>
            <w:pPr>
              <w:jc w:val="center"/>
              <w:rPr>
                <w:rFonts w:ascii="宋体" w:hAnsi="宋体"/>
                <w:sz w:val="24"/>
              </w:rPr>
            </w:pPr>
            <w:r>
              <w:rPr>
                <w:rFonts w:hint="eastAsia" w:ascii="宋体" w:hAnsi="宋体"/>
                <w:sz w:val="24"/>
              </w:rPr>
              <w:t>绿色建</w:t>
            </w:r>
          </w:p>
          <w:p>
            <w:pPr>
              <w:jc w:val="center"/>
              <w:rPr>
                <w:rFonts w:ascii="宋体" w:hAnsi="宋体"/>
                <w:sz w:val="24"/>
              </w:rPr>
            </w:pPr>
            <w:r>
              <w:rPr>
                <w:rFonts w:hint="eastAsia" w:ascii="宋体" w:hAnsi="宋体"/>
                <w:sz w:val="24"/>
              </w:rPr>
              <w:t>筑等级</w:t>
            </w:r>
          </w:p>
        </w:tc>
        <w:tc>
          <w:tcPr>
            <w:tcW w:w="8736" w:type="dxa"/>
            <w:gridSpan w:val="9"/>
            <w:vAlign w:val="center"/>
          </w:tcPr>
          <w:p>
            <w:pPr>
              <w:jc w:val="center"/>
              <w:rPr>
                <w:rFonts w:ascii="宋体" w:hAnsi="宋体"/>
                <w:sz w:val="24"/>
              </w:rPr>
            </w:pPr>
            <w:r>
              <w:rPr>
                <w:rFonts w:hint="eastAsia" w:ascii="宋体" w:hAnsi="宋体"/>
                <w:sz w:val="24"/>
              </w:rPr>
              <w:t>□一星级   □二星级   □三星级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218" w:type="dxa"/>
            <w:vAlign w:val="center"/>
          </w:tcPr>
          <w:p>
            <w:pPr>
              <w:jc w:val="center"/>
              <w:rPr>
                <w:rFonts w:ascii="宋体" w:hAnsi="宋体"/>
                <w:sz w:val="24"/>
              </w:rPr>
            </w:pPr>
            <w:r>
              <w:rPr>
                <w:rFonts w:hint="eastAsia" w:ascii="宋体" w:hAnsi="宋体"/>
                <w:sz w:val="24"/>
              </w:rPr>
              <w:t>评价结</w:t>
            </w:r>
          </w:p>
          <w:p>
            <w:pPr>
              <w:jc w:val="center"/>
              <w:rPr>
                <w:rFonts w:ascii="宋体" w:hAnsi="宋体"/>
                <w:sz w:val="24"/>
              </w:rPr>
            </w:pPr>
            <w:r>
              <w:rPr>
                <w:rFonts w:hint="eastAsia" w:ascii="宋体" w:hAnsi="宋体"/>
                <w:sz w:val="24"/>
              </w:rPr>
              <w:t>果说明</w:t>
            </w:r>
          </w:p>
        </w:tc>
        <w:tc>
          <w:tcPr>
            <w:tcW w:w="8736" w:type="dxa"/>
            <w:gridSpan w:val="9"/>
            <w:vAlign w:val="center"/>
          </w:tcPr>
          <w:p>
            <w:pPr>
              <w:jc w:val="left"/>
              <w:rPr>
                <w:rFonts w:ascii="宋体" w:hAnsi="宋体"/>
                <w:sz w:val="24"/>
              </w:rPr>
            </w:pPr>
            <w:r>
              <w:rPr>
                <w:rFonts w:hint="eastAsia" w:ascii="宋体" w:hAnsi="宋体"/>
                <w:sz w:val="24"/>
              </w:rPr>
              <w:t>该项目</w:t>
            </w:r>
            <w:r>
              <w:rPr>
                <w:rFonts w:hint="eastAsia" w:ascii="宋体" w:hAnsi="宋体"/>
                <w:sz w:val="24"/>
                <w:lang w:val="en-US" w:eastAsia="zh-CN"/>
              </w:rPr>
              <w:t>自评</w:t>
            </w:r>
            <w:r>
              <w:rPr>
                <w:rFonts w:hint="eastAsia" w:ascii="宋体" w:hAnsi="宋体"/>
                <w:sz w:val="24"/>
              </w:rPr>
              <w:t>综合得分为</w:t>
            </w:r>
            <w:r>
              <w:rPr>
                <w:rFonts w:hint="eastAsia" w:ascii="宋体" w:hAnsi="宋体"/>
                <w:sz w:val="24"/>
                <w:u w:val="single"/>
              </w:rPr>
              <w:t xml:space="preserve">   </w:t>
            </w:r>
            <w:r>
              <w:rPr>
                <w:rFonts w:hint="eastAsia" w:ascii="宋体" w:hAnsi="宋体"/>
                <w:b/>
                <w:bCs/>
                <w:color w:val="000000"/>
                <w:szCs w:val="21"/>
                <w:u w:val="single"/>
              </w:rPr>
              <w:t xml:space="preserve">  </w:t>
            </w:r>
            <w:r>
              <w:rPr>
                <w:rFonts w:hint="eastAsia" w:ascii="宋体" w:hAnsi="宋体"/>
                <w:sz w:val="24"/>
              </w:rPr>
              <w:t>, 且满足每类指标均不小于40的要求，故满足《绿色建筑评价标准》（GB/T 50378-2014）中绿色</w:t>
            </w:r>
            <w:r>
              <w:rPr>
                <w:rFonts w:hint="eastAsia" w:ascii="宋体" w:hAnsi="宋体"/>
                <w:b/>
                <w:bCs/>
                <w:color w:val="000000"/>
                <w:szCs w:val="21"/>
                <w:u w:val="single"/>
              </w:rPr>
              <w:t xml:space="preserve">    </w:t>
            </w:r>
            <w:r>
              <w:rPr>
                <w:rFonts w:hint="eastAsia" w:ascii="宋体" w:hAnsi="宋体"/>
                <w:sz w:val="24"/>
              </w:rPr>
              <w:t>星级的设计要求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218" w:type="dxa"/>
            <w:vAlign w:val="center"/>
          </w:tcPr>
          <w:p>
            <w:pPr>
              <w:jc w:val="center"/>
              <w:rPr>
                <w:rFonts w:ascii="宋体" w:hAnsi="宋体"/>
                <w:sz w:val="24"/>
              </w:rPr>
            </w:pPr>
            <w:r>
              <w:rPr>
                <w:rFonts w:hint="eastAsia" w:ascii="宋体" w:hAnsi="宋体"/>
                <w:sz w:val="24"/>
              </w:rPr>
              <w:t>咨询单位</w:t>
            </w:r>
          </w:p>
        </w:tc>
        <w:tc>
          <w:tcPr>
            <w:tcW w:w="3364" w:type="dxa"/>
            <w:gridSpan w:val="3"/>
            <w:vAlign w:val="center"/>
          </w:tcPr>
          <w:p>
            <w:pPr>
              <w:jc w:val="center"/>
              <w:rPr>
                <w:rFonts w:ascii="宋体" w:hAnsi="宋体"/>
                <w:sz w:val="24"/>
              </w:rPr>
            </w:pPr>
            <w:r>
              <w:rPr>
                <w:rFonts w:hint="eastAsia" w:ascii="宋体" w:hAnsi="宋体"/>
                <w:sz w:val="24"/>
              </w:rPr>
              <w:t xml:space="preserve"> </w:t>
            </w:r>
          </w:p>
        </w:tc>
        <w:tc>
          <w:tcPr>
            <w:tcW w:w="1219" w:type="dxa"/>
            <w:gridSpan w:val="2"/>
            <w:vAlign w:val="center"/>
          </w:tcPr>
          <w:p>
            <w:pPr>
              <w:jc w:val="center"/>
              <w:rPr>
                <w:rFonts w:ascii="宋体" w:hAnsi="宋体"/>
                <w:sz w:val="24"/>
              </w:rPr>
            </w:pPr>
            <w:r>
              <w:rPr>
                <w:rFonts w:hint="eastAsia" w:ascii="宋体" w:hAnsi="宋体"/>
                <w:sz w:val="24"/>
              </w:rPr>
              <w:t>评价时间</w:t>
            </w:r>
          </w:p>
        </w:tc>
        <w:tc>
          <w:tcPr>
            <w:tcW w:w="4153" w:type="dxa"/>
            <w:gridSpan w:val="4"/>
            <w:vAlign w:val="center"/>
          </w:tcPr>
          <w:p>
            <w:pPr>
              <w:jc w:val="center"/>
              <w:rPr>
                <w:rFonts w:ascii="宋体" w:hAnsi="宋体"/>
                <w:sz w:val="24"/>
              </w:rPr>
            </w:pPr>
            <w:r>
              <w:rPr>
                <w:rFonts w:hint="eastAsia" w:ascii="宋体" w:hAnsi="宋体"/>
                <w:sz w:val="24"/>
              </w:rPr>
              <w:t xml:space="preserve"> </w:t>
            </w:r>
          </w:p>
        </w:tc>
      </w:tr>
    </w:tbl>
    <w:p>
      <w:pPr>
        <w:spacing w:line="360" w:lineRule="auto"/>
        <w:rPr>
          <w:rFonts w:hint="eastAsia" w:ascii="宋体" w:hAnsi="宋体" w:cs="宋体"/>
          <w:sz w:val="28"/>
          <w:szCs w:val="28"/>
        </w:rPr>
      </w:pPr>
    </w:p>
    <w:sectPr>
      <w:headerReference r:id="rId3" w:type="default"/>
      <w:footerReference r:id="rId4" w:type="default"/>
      <w:pgSz w:w="11906" w:h="16838"/>
      <w:pgMar w:top="1440" w:right="1560" w:bottom="1440" w:left="1416" w:header="851" w:footer="992" w:gutter="0"/>
      <w:pgNumType w:fmt="numberInDash"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720" w:firstLineChars="400"/>
      <w:jc w:val="both"/>
    </w:pPr>
    <w:r>
      <w:t xml:space="preserve">                                                         </w:t>
    </w:r>
    <w:r>
      <w:rPr>
        <w:rFonts w:hint="eastAsia"/>
      </w:rPr>
      <w:t>××××项目绿色建筑</w:t>
    </w:r>
    <w:r>
      <w:rPr>
        <w:rFonts w:hint="eastAsia"/>
        <w:lang w:val="en-US" w:eastAsia="zh-CN"/>
      </w:rPr>
      <w:t>等级自</w:t>
    </w:r>
    <w:r>
      <w:rPr>
        <w:rFonts w:hint="eastAsia"/>
      </w:rPr>
      <w:t>评</w:t>
    </w:r>
    <w:r>
      <w:rPr>
        <w:rFonts w:hint="eastAsia"/>
        <w:lang w:val="en-US" w:eastAsia="zh-CN"/>
      </w:rPr>
      <w:t>分</w:t>
    </w:r>
    <w:r>
      <w:rPr>
        <w:rFonts w:hint="eastAsia"/>
      </w:rPr>
      <w:t>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4B49"/>
    <w:multiLevelType w:val="multilevel"/>
    <w:tmpl w:val="0CF84B49"/>
    <w:lvl w:ilvl="0" w:tentative="0">
      <w:start w:val="1"/>
      <w:numFmt w:val="decimal"/>
      <w:pStyle w:val="2"/>
      <w:suff w:val="space"/>
      <w:lvlText w:val="%1."/>
      <w:lvlJc w:val="left"/>
      <w:pPr>
        <w:ind w:left="425" w:hanging="425"/>
      </w:pPr>
      <w:rPr>
        <w:rFonts w:hint="eastAsia" w:cs="Times New Roman"/>
      </w:rPr>
    </w:lvl>
    <w:lvl w:ilvl="1" w:tentative="0">
      <w:start w:val="1"/>
      <w:numFmt w:val="decimal"/>
      <w:pStyle w:val="3"/>
      <w:suff w:val="space"/>
      <w:lvlText w:val="%1.%2."/>
      <w:lvlJc w:val="left"/>
      <w:pPr>
        <w:ind w:left="567" w:hanging="567"/>
      </w:pPr>
      <w:rPr>
        <w:rFonts w:hint="eastAsia" w:cs="Times New Roman"/>
      </w:rPr>
    </w:lvl>
    <w:lvl w:ilvl="2" w:tentative="0">
      <w:start w:val="1"/>
      <w:numFmt w:val="decimal"/>
      <w:pStyle w:val="4"/>
      <w:suff w:val="space"/>
      <w:lvlText w:val="%1.%2.%3."/>
      <w:lvlJc w:val="left"/>
      <w:pPr>
        <w:ind w:left="709" w:hanging="709"/>
      </w:pPr>
      <w:rPr>
        <w:rFonts w:hint="eastAsia" w:cs="Times New Roman"/>
      </w:rPr>
    </w:lvl>
    <w:lvl w:ilvl="3" w:tentative="0">
      <w:start w:val="1"/>
      <w:numFmt w:val="decimal"/>
      <w:pStyle w:val="5"/>
      <w:suff w:val="space"/>
      <w:lvlText w:val="%4)"/>
      <w:lvlJc w:val="left"/>
      <w:pPr>
        <w:ind w:left="851" w:hanging="851"/>
      </w:pPr>
      <w:rPr>
        <w:rFonts w:hint="eastAsia" w:cs="Times New Roman"/>
      </w:rPr>
    </w:lvl>
    <w:lvl w:ilvl="4" w:tentative="0">
      <w:start w:val="1"/>
      <w:numFmt w:val="lowerLetter"/>
      <w:pStyle w:val="6"/>
      <w:lvlText w:val="%5)"/>
      <w:lvlJc w:val="left"/>
      <w:pPr>
        <w:tabs>
          <w:tab w:val="left" w:pos="0"/>
        </w:tabs>
        <w:ind w:left="992" w:hanging="992"/>
      </w:pPr>
      <w:rPr>
        <w:rFonts w:hint="eastAsia" w:cs="Times New Roman"/>
      </w:rPr>
    </w:lvl>
    <w:lvl w:ilvl="5" w:tentative="0">
      <w:start w:val="1"/>
      <w:numFmt w:val="decimal"/>
      <w:lvlText w:val="%1.%2.%3.%4.%5.%6."/>
      <w:lvlJc w:val="left"/>
      <w:pPr>
        <w:tabs>
          <w:tab w:val="left" w:pos="0"/>
        </w:tabs>
        <w:ind w:left="1134" w:hanging="1134"/>
      </w:pPr>
      <w:rPr>
        <w:rFonts w:hint="eastAsia" w:cs="Times New Roman"/>
      </w:rPr>
    </w:lvl>
    <w:lvl w:ilvl="6" w:tentative="0">
      <w:start w:val="1"/>
      <w:numFmt w:val="decimal"/>
      <w:lvlText w:val="%1.%2.%3.%4.%5.%6.%7."/>
      <w:lvlJc w:val="left"/>
      <w:pPr>
        <w:tabs>
          <w:tab w:val="left" w:pos="0"/>
        </w:tabs>
        <w:ind w:left="1276" w:hanging="1276"/>
      </w:pPr>
      <w:rPr>
        <w:rFonts w:hint="eastAsia" w:cs="Times New Roman"/>
      </w:rPr>
    </w:lvl>
    <w:lvl w:ilvl="7" w:tentative="0">
      <w:start w:val="1"/>
      <w:numFmt w:val="decimal"/>
      <w:lvlText w:val="%1.%2.%3.%4.%5.%6.%7.%8."/>
      <w:lvlJc w:val="left"/>
      <w:pPr>
        <w:tabs>
          <w:tab w:val="left" w:pos="0"/>
        </w:tabs>
        <w:ind w:left="1418" w:hanging="1418"/>
      </w:pPr>
      <w:rPr>
        <w:rFonts w:hint="eastAsia" w:cs="Times New Roman"/>
      </w:rPr>
    </w:lvl>
    <w:lvl w:ilvl="8" w:tentative="0">
      <w:start w:val="1"/>
      <w:numFmt w:val="decimal"/>
      <w:lvlText w:val="%1.%2.%3.%4.%5.%6.%7.%8.%9."/>
      <w:lvlJc w:val="left"/>
      <w:pPr>
        <w:tabs>
          <w:tab w:val="left" w:pos="0"/>
        </w:tabs>
        <w:ind w:left="1559" w:hanging="1559"/>
      </w:pPr>
      <w:rPr>
        <w:rFonts w:hint="eastAsia" w:cs="Times New Roman"/>
      </w:rPr>
    </w:lvl>
  </w:abstractNum>
  <w:abstractNum w:abstractNumId="1">
    <w:nsid w:val="19453214"/>
    <w:multiLevelType w:val="multilevel"/>
    <w:tmpl w:val="1945321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16446C"/>
    <w:multiLevelType w:val="multilevel"/>
    <w:tmpl w:val="3516446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AB5064"/>
    <w:multiLevelType w:val="multilevel"/>
    <w:tmpl w:val="3FAB5064"/>
    <w:lvl w:ilvl="0" w:tentative="0">
      <w:start w:val="1"/>
      <w:numFmt w:val="bullet"/>
      <w:pStyle w:val="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47D443F2"/>
    <w:multiLevelType w:val="multilevel"/>
    <w:tmpl w:val="47D443F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E86016"/>
    <w:multiLevelType w:val="multilevel"/>
    <w:tmpl w:val="52E86016"/>
    <w:lvl w:ilvl="0" w:tentative="0">
      <w:start w:val="1"/>
      <w:numFmt w:val="bullet"/>
      <w:pStyle w:val="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6B"/>
    <w:rsid w:val="000012A9"/>
    <w:rsid w:val="00013EDC"/>
    <w:rsid w:val="00015B93"/>
    <w:rsid w:val="00015FB6"/>
    <w:rsid w:val="00020553"/>
    <w:rsid w:val="0002216A"/>
    <w:rsid w:val="00025D0E"/>
    <w:rsid w:val="0002670D"/>
    <w:rsid w:val="0003447E"/>
    <w:rsid w:val="00043D43"/>
    <w:rsid w:val="00051931"/>
    <w:rsid w:val="00051E41"/>
    <w:rsid w:val="00053226"/>
    <w:rsid w:val="00057F58"/>
    <w:rsid w:val="0007101A"/>
    <w:rsid w:val="000734BE"/>
    <w:rsid w:val="00084125"/>
    <w:rsid w:val="0008478C"/>
    <w:rsid w:val="00085E3E"/>
    <w:rsid w:val="00087D4E"/>
    <w:rsid w:val="00090C93"/>
    <w:rsid w:val="0009264F"/>
    <w:rsid w:val="00094122"/>
    <w:rsid w:val="000960A5"/>
    <w:rsid w:val="00096F9B"/>
    <w:rsid w:val="00097E82"/>
    <w:rsid w:val="000A5D48"/>
    <w:rsid w:val="000B759E"/>
    <w:rsid w:val="000C7C31"/>
    <w:rsid w:val="000D0717"/>
    <w:rsid w:val="000D1585"/>
    <w:rsid w:val="000E1420"/>
    <w:rsid w:val="000E1909"/>
    <w:rsid w:val="000E5EC3"/>
    <w:rsid w:val="000E6D7A"/>
    <w:rsid w:val="000F07B3"/>
    <w:rsid w:val="0010157B"/>
    <w:rsid w:val="001040F7"/>
    <w:rsid w:val="00106C2A"/>
    <w:rsid w:val="00110A7B"/>
    <w:rsid w:val="001114CD"/>
    <w:rsid w:val="00114D36"/>
    <w:rsid w:val="0012432B"/>
    <w:rsid w:val="00141EC0"/>
    <w:rsid w:val="00143E70"/>
    <w:rsid w:val="00146D47"/>
    <w:rsid w:val="0015209A"/>
    <w:rsid w:val="001523DF"/>
    <w:rsid w:val="00152632"/>
    <w:rsid w:val="00156EAF"/>
    <w:rsid w:val="0016005F"/>
    <w:rsid w:val="001616D9"/>
    <w:rsid w:val="00161A9A"/>
    <w:rsid w:val="00165B77"/>
    <w:rsid w:val="00165FC3"/>
    <w:rsid w:val="00167E53"/>
    <w:rsid w:val="00170805"/>
    <w:rsid w:val="00174751"/>
    <w:rsid w:val="00177348"/>
    <w:rsid w:val="00182660"/>
    <w:rsid w:val="0018641C"/>
    <w:rsid w:val="00186CC8"/>
    <w:rsid w:val="00187201"/>
    <w:rsid w:val="00191892"/>
    <w:rsid w:val="00192D89"/>
    <w:rsid w:val="0019581F"/>
    <w:rsid w:val="001965BE"/>
    <w:rsid w:val="001A21C8"/>
    <w:rsid w:val="001B1F64"/>
    <w:rsid w:val="001B2D59"/>
    <w:rsid w:val="001B4E96"/>
    <w:rsid w:val="001C248E"/>
    <w:rsid w:val="001C2ED7"/>
    <w:rsid w:val="001C3EFE"/>
    <w:rsid w:val="001C62A9"/>
    <w:rsid w:val="001D3602"/>
    <w:rsid w:val="001D3FFC"/>
    <w:rsid w:val="001D45BD"/>
    <w:rsid w:val="001D72F2"/>
    <w:rsid w:val="001E2275"/>
    <w:rsid w:val="001F5536"/>
    <w:rsid w:val="001F6490"/>
    <w:rsid w:val="002017B0"/>
    <w:rsid w:val="00205938"/>
    <w:rsid w:val="00205D04"/>
    <w:rsid w:val="002126F6"/>
    <w:rsid w:val="00214A2A"/>
    <w:rsid w:val="00214F09"/>
    <w:rsid w:val="00215CFC"/>
    <w:rsid w:val="00222B24"/>
    <w:rsid w:val="00224497"/>
    <w:rsid w:val="0023178D"/>
    <w:rsid w:val="00240FDF"/>
    <w:rsid w:val="0024632C"/>
    <w:rsid w:val="00250879"/>
    <w:rsid w:val="00252C74"/>
    <w:rsid w:val="00255405"/>
    <w:rsid w:val="00256736"/>
    <w:rsid w:val="00264508"/>
    <w:rsid w:val="002676A1"/>
    <w:rsid w:val="0027369A"/>
    <w:rsid w:val="00275B92"/>
    <w:rsid w:val="00277533"/>
    <w:rsid w:val="00282E93"/>
    <w:rsid w:val="00287D96"/>
    <w:rsid w:val="00287DDA"/>
    <w:rsid w:val="00290BFC"/>
    <w:rsid w:val="002914AB"/>
    <w:rsid w:val="00292D2E"/>
    <w:rsid w:val="00294825"/>
    <w:rsid w:val="002A2377"/>
    <w:rsid w:val="002A7AD0"/>
    <w:rsid w:val="002B2807"/>
    <w:rsid w:val="002B2C99"/>
    <w:rsid w:val="002B41D9"/>
    <w:rsid w:val="002C0A6E"/>
    <w:rsid w:val="002C1D2C"/>
    <w:rsid w:val="002C2612"/>
    <w:rsid w:val="002C2C29"/>
    <w:rsid w:val="002D58FC"/>
    <w:rsid w:val="002D681E"/>
    <w:rsid w:val="002E3312"/>
    <w:rsid w:val="002E5D8A"/>
    <w:rsid w:val="002F5872"/>
    <w:rsid w:val="00300417"/>
    <w:rsid w:val="00302084"/>
    <w:rsid w:val="003072F7"/>
    <w:rsid w:val="00312C25"/>
    <w:rsid w:val="00316786"/>
    <w:rsid w:val="00320E82"/>
    <w:rsid w:val="0032311B"/>
    <w:rsid w:val="00327205"/>
    <w:rsid w:val="00332602"/>
    <w:rsid w:val="00335D87"/>
    <w:rsid w:val="00336ADA"/>
    <w:rsid w:val="0033743A"/>
    <w:rsid w:val="00341B57"/>
    <w:rsid w:val="00342ACB"/>
    <w:rsid w:val="00344765"/>
    <w:rsid w:val="00344E0E"/>
    <w:rsid w:val="003578AC"/>
    <w:rsid w:val="00365E9F"/>
    <w:rsid w:val="00373CF2"/>
    <w:rsid w:val="00375E50"/>
    <w:rsid w:val="003800D5"/>
    <w:rsid w:val="00381A32"/>
    <w:rsid w:val="0038528A"/>
    <w:rsid w:val="00386ED2"/>
    <w:rsid w:val="00390F84"/>
    <w:rsid w:val="003A4E70"/>
    <w:rsid w:val="003B1A34"/>
    <w:rsid w:val="003B5355"/>
    <w:rsid w:val="003B7F78"/>
    <w:rsid w:val="003C3D11"/>
    <w:rsid w:val="003D0ED8"/>
    <w:rsid w:val="003D115C"/>
    <w:rsid w:val="003D21BB"/>
    <w:rsid w:val="003D3D51"/>
    <w:rsid w:val="003E0836"/>
    <w:rsid w:val="003E42DE"/>
    <w:rsid w:val="003E7727"/>
    <w:rsid w:val="003F29BC"/>
    <w:rsid w:val="004007A9"/>
    <w:rsid w:val="00401692"/>
    <w:rsid w:val="004108B2"/>
    <w:rsid w:val="00413656"/>
    <w:rsid w:val="00417BD2"/>
    <w:rsid w:val="00421548"/>
    <w:rsid w:val="004254D8"/>
    <w:rsid w:val="0042766B"/>
    <w:rsid w:val="00432DCC"/>
    <w:rsid w:val="00437C6D"/>
    <w:rsid w:val="004409FB"/>
    <w:rsid w:val="0044457F"/>
    <w:rsid w:val="004503C5"/>
    <w:rsid w:val="0045297E"/>
    <w:rsid w:val="00453C08"/>
    <w:rsid w:val="004564DE"/>
    <w:rsid w:val="00460DBC"/>
    <w:rsid w:val="004613FC"/>
    <w:rsid w:val="00461669"/>
    <w:rsid w:val="00461815"/>
    <w:rsid w:val="004629C7"/>
    <w:rsid w:val="00463F37"/>
    <w:rsid w:val="00465468"/>
    <w:rsid w:val="00466EF1"/>
    <w:rsid w:val="004670FF"/>
    <w:rsid w:val="004700E7"/>
    <w:rsid w:val="0047053B"/>
    <w:rsid w:val="00470800"/>
    <w:rsid w:val="00472BCD"/>
    <w:rsid w:val="00474FF1"/>
    <w:rsid w:val="00480139"/>
    <w:rsid w:val="00487E17"/>
    <w:rsid w:val="00491856"/>
    <w:rsid w:val="004A1204"/>
    <w:rsid w:val="004A440E"/>
    <w:rsid w:val="004A79EE"/>
    <w:rsid w:val="004B1738"/>
    <w:rsid w:val="004B576E"/>
    <w:rsid w:val="004B6267"/>
    <w:rsid w:val="004C33F3"/>
    <w:rsid w:val="004D014C"/>
    <w:rsid w:val="004D5588"/>
    <w:rsid w:val="004D568D"/>
    <w:rsid w:val="004E084E"/>
    <w:rsid w:val="004F525A"/>
    <w:rsid w:val="004F5C5A"/>
    <w:rsid w:val="00500488"/>
    <w:rsid w:val="00505184"/>
    <w:rsid w:val="00511BC1"/>
    <w:rsid w:val="00512DA8"/>
    <w:rsid w:val="0051344F"/>
    <w:rsid w:val="005210A2"/>
    <w:rsid w:val="0052312C"/>
    <w:rsid w:val="00525AB9"/>
    <w:rsid w:val="00530656"/>
    <w:rsid w:val="0053131D"/>
    <w:rsid w:val="00537364"/>
    <w:rsid w:val="005422EA"/>
    <w:rsid w:val="00552E54"/>
    <w:rsid w:val="00554783"/>
    <w:rsid w:val="00557899"/>
    <w:rsid w:val="00561EB7"/>
    <w:rsid w:val="00573622"/>
    <w:rsid w:val="005743E1"/>
    <w:rsid w:val="00574689"/>
    <w:rsid w:val="005752CB"/>
    <w:rsid w:val="00577323"/>
    <w:rsid w:val="00583B32"/>
    <w:rsid w:val="00583B92"/>
    <w:rsid w:val="00593631"/>
    <w:rsid w:val="005941F3"/>
    <w:rsid w:val="00597BAC"/>
    <w:rsid w:val="005A6D42"/>
    <w:rsid w:val="005A72C7"/>
    <w:rsid w:val="005B4C04"/>
    <w:rsid w:val="005B4D81"/>
    <w:rsid w:val="005B58BF"/>
    <w:rsid w:val="005B6587"/>
    <w:rsid w:val="005B6595"/>
    <w:rsid w:val="005B7DE2"/>
    <w:rsid w:val="005C5F71"/>
    <w:rsid w:val="005C6D00"/>
    <w:rsid w:val="005C7CF6"/>
    <w:rsid w:val="005D1C52"/>
    <w:rsid w:val="005D7802"/>
    <w:rsid w:val="005E096E"/>
    <w:rsid w:val="005E7365"/>
    <w:rsid w:val="005E76A8"/>
    <w:rsid w:val="005F10CF"/>
    <w:rsid w:val="005F1D62"/>
    <w:rsid w:val="005F60C5"/>
    <w:rsid w:val="006008DE"/>
    <w:rsid w:val="006035F6"/>
    <w:rsid w:val="00606514"/>
    <w:rsid w:val="00610EB0"/>
    <w:rsid w:val="006203F5"/>
    <w:rsid w:val="006205CC"/>
    <w:rsid w:val="006212F8"/>
    <w:rsid w:val="006272F5"/>
    <w:rsid w:val="006303AA"/>
    <w:rsid w:val="00630DB7"/>
    <w:rsid w:val="006311A2"/>
    <w:rsid w:val="00632026"/>
    <w:rsid w:val="0063256F"/>
    <w:rsid w:val="00633B57"/>
    <w:rsid w:val="0063637E"/>
    <w:rsid w:val="006445E3"/>
    <w:rsid w:val="00644FF7"/>
    <w:rsid w:val="006552B3"/>
    <w:rsid w:val="0066156E"/>
    <w:rsid w:val="006658D2"/>
    <w:rsid w:val="006751DB"/>
    <w:rsid w:val="00677C4E"/>
    <w:rsid w:val="00686C94"/>
    <w:rsid w:val="00690432"/>
    <w:rsid w:val="00690E54"/>
    <w:rsid w:val="006937DB"/>
    <w:rsid w:val="006950EF"/>
    <w:rsid w:val="00697052"/>
    <w:rsid w:val="006A0FBB"/>
    <w:rsid w:val="006A68E2"/>
    <w:rsid w:val="006B4452"/>
    <w:rsid w:val="006B5312"/>
    <w:rsid w:val="006C124E"/>
    <w:rsid w:val="006C483B"/>
    <w:rsid w:val="006C58B7"/>
    <w:rsid w:val="006D0A93"/>
    <w:rsid w:val="006D18B1"/>
    <w:rsid w:val="006D2A5E"/>
    <w:rsid w:val="006D64E2"/>
    <w:rsid w:val="006E06EA"/>
    <w:rsid w:val="006E210E"/>
    <w:rsid w:val="006E3446"/>
    <w:rsid w:val="006F04F0"/>
    <w:rsid w:val="006F3CA2"/>
    <w:rsid w:val="006F57C3"/>
    <w:rsid w:val="007001FC"/>
    <w:rsid w:val="00700807"/>
    <w:rsid w:val="00701AD1"/>
    <w:rsid w:val="00712515"/>
    <w:rsid w:val="00712697"/>
    <w:rsid w:val="00713525"/>
    <w:rsid w:val="00714C6A"/>
    <w:rsid w:val="00722E14"/>
    <w:rsid w:val="00724093"/>
    <w:rsid w:val="0072626D"/>
    <w:rsid w:val="00734CE4"/>
    <w:rsid w:val="0073605C"/>
    <w:rsid w:val="00742E63"/>
    <w:rsid w:val="0074409C"/>
    <w:rsid w:val="0074482E"/>
    <w:rsid w:val="00745234"/>
    <w:rsid w:val="007465C7"/>
    <w:rsid w:val="0075001A"/>
    <w:rsid w:val="007624BA"/>
    <w:rsid w:val="00765442"/>
    <w:rsid w:val="00770E04"/>
    <w:rsid w:val="00776A8A"/>
    <w:rsid w:val="00780323"/>
    <w:rsid w:val="00782917"/>
    <w:rsid w:val="007831F6"/>
    <w:rsid w:val="00786BAC"/>
    <w:rsid w:val="00792AE2"/>
    <w:rsid w:val="00793903"/>
    <w:rsid w:val="00793B40"/>
    <w:rsid w:val="007A1BBF"/>
    <w:rsid w:val="007A1CFD"/>
    <w:rsid w:val="007A458A"/>
    <w:rsid w:val="007B2B02"/>
    <w:rsid w:val="007B4252"/>
    <w:rsid w:val="007B5C12"/>
    <w:rsid w:val="007B7489"/>
    <w:rsid w:val="007C0CCD"/>
    <w:rsid w:val="007C1E58"/>
    <w:rsid w:val="007C2B93"/>
    <w:rsid w:val="007C4E9D"/>
    <w:rsid w:val="007D393D"/>
    <w:rsid w:val="007D6AAF"/>
    <w:rsid w:val="007D7F8C"/>
    <w:rsid w:val="007E3307"/>
    <w:rsid w:val="007F2285"/>
    <w:rsid w:val="007F638F"/>
    <w:rsid w:val="007F68BF"/>
    <w:rsid w:val="007F79EE"/>
    <w:rsid w:val="00803C7A"/>
    <w:rsid w:val="00803CD1"/>
    <w:rsid w:val="00804D01"/>
    <w:rsid w:val="008058C5"/>
    <w:rsid w:val="00806CCD"/>
    <w:rsid w:val="0081079E"/>
    <w:rsid w:val="00813AAE"/>
    <w:rsid w:val="008140C1"/>
    <w:rsid w:val="008148D3"/>
    <w:rsid w:val="00834F94"/>
    <w:rsid w:val="00835C54"/>
    <w:rsid w:val="00840CF8"/>
    <w:rsid w:val="0084616A"/>
    <w:rsid w:val="00846E80"/>
    <w:rsid w:val="00855007"/>
    <w:rsid w:val="008551F1"/>
    <w:rsid w:val="008633E8"/>
    <w:rsid w:val="00865E24"/>
    <w:rsid w:val="00866BD1"/>
    <w:rsid w:val="00867136"/>
    <w:rsid w:val="00882E3E"/>
    <w:rsid w:val="00885CD5"/>
    <w:rsid w:val="00891617"/>
    <w:rsid w:val="008A73AC"/>
    <w:rsid w:val="008B4C19"/>
    <w:rsid w:val="008B6649"/>
    <w:rsid w:val="008B7B31"/>
    <w:rsid w:val="008C08E6"/>
    <w:rsid w:val="008C101F"/>
    <w:rsid w:val="008C5C50"/>
    <w:rsid w:val="008C70D6"/>
    <w:rsid w:val="008D3FC6"/>
    <w:rsid w:val="008D47DC"/>
    <w:rsid w:val="008D5987"/>
    <w:rsid w:val="008E02DE"/>
    <w:rsid w:val="008E0664"/>
    <w:rsid w:val="008E09AA"/>
    <w:rsid w:val="008E0E70"/>
    <w:rsid w:val="008E5E9A"/>
    <w:rsid w:val="008F0891"/>
    <w:rsid w:val="008F0930"/>
    <w:rsid w:val="008F0CBB"/>
    <w:rsid w:val="008F369C"/>
    <w:rsid w:val="008F3CEC"/>
    <w:rsid w:val="008F7741"/>
    <w:rsid w:val="0090067C"/>
    <w:rsid w:val="00900E05"/>
    <w:rsid w:val="0091039D"/>
    <w:rsid w:val="0091105D"/>
    <w:rsid w:val="00914161"/>
    <w:rsid w:val="00914378"/>
    <w:rsid w:val="009206DF"/>
    <w:rsid w:val="009239D4"/>
    <w:rsid w:val="00923DBB"/>
    <w:rsid w:val="00931587"/>
    <w:rsid w:val="00932D1D"/>
    <w:rsid w:val="00936545"/>
    <w:rsid w:val="0094011C"/>
    <w:rsid w:val="009457ED"/>
    <w:rsid w:val="009547DC"/>
    <w:rsid w:val="00971D0A"/>
    <w:rsid w:val="009720C2"/>
    <w:rsid w:val="00972827"/>
    <w:rsid w:val="0097383C"/>
    <w:rsid w:val="00977F56"/>
    <w:rsid w:val="009923C7"/>
    <w:rsid w:val="00993F6D"/>
    <w:rsid w:val="0099491D"/>
    <w:rsid w:val="00994FE5"/>
    <w:rsid w:val="0099584C"/>
    <w:rsid w:val="009A1701"/>
    <w:rsid w:val="009A323E"/>
    <w:rsid w:val="009A7742"/>
    <w:rsid w:val="009B3F3C"/>
    <w:rsid w:val="009B565F"/>
    <w:rsid w:val="009C39BF"/>
    <w:rsid w:val="009C400C"/>
    <w:rsid w:val="009C48AF"/>
    <w:rsid w:val="009C5A92"/>
    <w:rsid w:val="009C73C4"/>
    <w:rsid w:val="009C73E2"/>
    <w:rsid w:val="009D0455"/>
    <w:rsid w:val="009D3164"/>
    <w:rsid w:val="009D37F5"/>
    <w:rsid w:val="009D5059"/>
    <w:rsid w:val="009D67D0"/>
    <w:rsid w:val="009D6A6E"/>
    <w:rsid w:val="009D76D2"/>
    <w:rsid w:val="009E23F4"/>
    <w:rsid w:val="009E39D5"/>
    <w:rsid w:val="009E4E4B"/>
    <w:rsid w:val="009F22B4"/>
    <w:rsid w:val="00A03163"/>
    <w:rsid w:val="00A050A0"/>
    <w:rsid w:val="00A0626B"/>
    <w:rsid w:val="00A1149B"/>
    <w:rsid w:val="00A12BD7"/>
    <w:rsid w:val="00A1306E"/>
    <w:rsid w:val="00A1379C"/>
    <w:rsid w:val="00A15EF9"/>
    <w:rsid w:val="00A24BB1"/>
    <w:rsid w:val="00A277F9"/>
    <w:rsid w:val="00A2795B"/>
    <w:rsid w:val="00A31F6C"/>
    <w:rsid w:val="00A32862"/>
    <w:rsid w:val="00A33A1E"/>
    <w:rsid w:val="00A376C1"/>
    <w:rsid w:val="00A4209B"/>
    <w:rsid w:val="00A43379"/>
    <w:rsid w:val="00A51757"/>
    <w:rsid w:val="00A52231"/>
    <w:rsid w:val="00A54A6E"/>
    <w:rsid w:val="00A54B4E"/>
    <w:rsid w:val="00A54D63"/>
    <w:rsid w:val="00A56B48"/>
    <w:rsid w:val="00A62800"/>
    <w:rsid w:val="00A66A80"/>
    <w:rsid w:val="00A72611"/>
    <w:rsid w:val="00A76488"/>
    <w:rsid w:val="00A830FC"/>
    <w:rsid w:val="00A8645B"/>
    <w:rsid w:val="00A9228F"/>
    <w:rsid w:val="00A94E93"/>
    <w:rsid w:val="00A97245"/>
    <w:rsid w:val="00AA0A55"/>
    <w:rsid w:val="00AB27E8"/>
    <w:rsid w:val="00AB7AC1"/>
    <w:rsid w:val="00AC1697"/>
    <w:rsid w:val="00AC6347"/>
    <w:rsid w:val="00AC6693"/>
    <w:rsid w:val="00AC6B2E"/>
    <w:rsid w:val="00AD0960"/>
    <w:rsid w:val="00AD0B1A"/>
    <w:rsid w:val="00AD5D30"/>
    <w:rsid w:val="00AD6B7E"/>
    <w:rsid w:val="00AD6C59"/>
    <w:rsid w:val="00AE3B87"/>
    <w:rsid w:val="00AE7150"/>
    <w:rsid w:val="00AF1313"/>
    <w:rsid w:val="00AF52FE"/>
    <w:rsid w:val="00AF610D"/>
    <w:rsid w:val="00AF7A82"/>
    <w:rsid w:val="00B02A5E"/>
    <w:rsid w:val="00B07347"/>
    <w:rsid w:val="00B109CE"/>
    <w:rsid w:val="00B128FF"/>
    <w:rsid w:val="00B16E64"/>
    <w:rsid w:val="00B21974"/>
    <w:rsid w:val="00B231C9"/>
    <w:rsid w:val="00B24E75"/>
    <w:rsid w:val="00B26B12"/>
    <w:rsid w:val="00B41274"/>
    <w:rsid w:val="00B4159B"/>
    <w:rsid w:val="00B415F0"/>
    <w:rsid w:val="00B469D3"/>
    <w:rsid w:val="00B51D81"/>
    <w:rsid w:val="00B529DE"/>
    <w:rsid w:val="00B579D7"/>
    <w:rsid w:val="00B6524F"/>
    <w:rsid w:val="00B66180"/>
    <w:rsid w:val="00B7147A"/>
    <w:rsid w:val="00B74B5E"/>
    <w:rsid w:val="00B90E4B"/>
    <w:rsid w:val="00B93ACE"/>
    <w:rsid w:val="00BA146C"/>
    <w:rsid w:val="00BA2D99"/>
    <w:rsid w:val="00BA3F83"/>
    <w:rsid w:val="00BA421C"/>
    <w:rsid w:val="00BA5937"/>
    <w:rsid w:val="00BA62C5"/>
    <w:rsid w:val="00BA7ACD"/>
    <w:rsid w:val="00BB0E7A"/>
    <w:rsid w:val="00BC0486"/>
    <w:rsid w:val="00BC52BF"/>
    <w:rsid w:val="00BD0E64"/>
    <w:rsid w:val="00BD21BE"/>
    <w:rsid w:val="00BD42B0"/>
    <w:rsid w:val="00BD64BD"/>
    <w:rsid w:val="00BF30F0"/>
    <w:rsid w:val="00BF541D"/>
    <w:rsid w:val="00C02C91"/>
    <w:rsid w:val="00C037A5"/>
    <w:rsid w:val="00C0436A"/>
    <w:rsid w:val="00C04FC9"/>
    <w:rsid w:val="00C0594A"/>
    <w:rsid w:val="00C167A1"/>
    <w:rsid w:val="00C16B6F"/>
    <w:rsid w:val="00C25F06"/>
    <w:rsid w:val="00C31134"/>
    <w:rsid w:val="00C36BE5"/>
    <w:rsid w:val="00C4406B"/>
    <w:rsid w:val="00C5175D"/>
    <w:rsid w:val="00C52B55"/>
    <w:rsid w:val="00C5698C"/>
    <w:rsid w:val="00C60C9D"/>
    <w:rsid w:val="00C70074"/>
    <w:rsid w:val="00C72F7D"/>
    <w:rsid w:val="00C73D98"/>
    <w:rsid w:val="00C773F1"/>
    <w:rsid w:val="00C86FE8"/>
    <w:rsid w:val="00CB6DBD"/>
    <w:rsid w:val="00CC01E6"/>
    <w:rsid w:val="00CC157A"/>
    <w:rsid w:val="00CC655F"/>
    <w:rsid w:val="00CC77DE"/>
    <w:rsid w:val="00CD0F0A"/>
    <w:rsid w:val="00CD1887"/>
    <w:rsid w:val="00CD3BBD"/>
    <w:rsid w:val="00CD51BF"/>
    <w:rsid w:val="00CD6043"/>
    <w:rsid w:val="00CD62F6"/>
    <w:rsid w:val="00CE4880"/>
    <w:rsid w:val="00CE5C0E"/>
    <w:rsid w:val="00CF3D94"/>
    <w:rsid w:val="00D01D31"/>
    <w:rsid w:val="00D02EAC"/>
    <w:rsid w:val="00D04C48"/>
    <w:rsid w:val="00D06907"/>
    <w:rsid w:val="00D14798"/>
    <w:rsid w:val="00D21723"/>
    <w:rsid w:val="00D218D2"/>
    <w:rsid w:val="00D31D1A"/>
    <w:rsid w:val="00D32680"/>
    <w:rsid w:val="00D33C09"/>
    <w:rsid w:val="00D343DC"/>
    <w:rsid w:val="00D34F7D"/>
    <w:rsid w:val="00D35221"/>
    <w:rsid w:val="00D359B1"/>
    <w:rsid w:val="00D35B97"/>
    <w:rsid w:val="00D37524"/>
    <w:rsid w:val="00D44397"/>
    <w:rsid w:val="00D50733"/>
    <w:rsid w:val="00D55511"/>
    <w:rsid w:val="00D557D1"/>
    <w:rsid w:val="00D57C1D"/>
    <w:rsid w:val="00D607E1"/>
    <w:rsid w:val="00D71601"/>
    <w:rsid w:val="00D7605D"/>
    <w:rsid w:val="00D81C06"/>
    <w:rsid w:val="00D93BA2"/>
    <w:rsid w:val="00D94375"/>
    <w:rsid w:val="00DA177A"/>
    <w:rsid w:val="00DA4FB3"/>
    <w:rsid w:val="00DA50A2"/>
    <w:rsid w:val="00DA57F4"/>
    <w:rsid w:val="00DA696E"/>
    <w:rsid w:val="00DA7D2C"/>
    <w:rsid w:val="00DB06F0"/>
    <w:rsid w:val="00DB5F37"/>
    <w:rsid w:val="00DC190E"/>
    <w:rsid w:val="00DC2297"/>
    <w:rsid w:val="00DC2822"/>
    <w:rsid w:val="00DC48D7"/>
    <w:rsid w:val="00DD1C59"/>
    <w:rsid w:val="00DD2473"/>
    <w:rsid w:val="00DD3BBF"/>
    <w:rsid w:val="00DD6AE8"/>
    <w:rsid w:val="00DD6BA9"/>
    <w:rsid w:val="00DD7F51"/>
    <w:rsid w:val="00DF0A85"/>
    <w:rsid w:val="00DF107A"/>
    <w:rsid w:val="00E01223"/>
    <w:rsid w:val="00E02EF7"/>
    <w:rsid w:val="00E034DB"/>
    <w:rsid w:val="00E03889"/>
    <w:rsid w:val="00E07671"/>
    <w:rsid w:val="00E108B6"/>
    <w:rsid w:val="00E155D2"/>
    <w:rsid w:val="00E16917"/>
    <w:rsid w:val="00E17427"/>
    <w:rsid w:val="00E212FF"/>
    <w:rsid w:val="00E218B4"/>
    <w:rsid w:val="00E243B0"/>
    <w:rsid w:val="00E267ED"/>
    <w:rsid w:val="00E26F15"/>
    <w:rsid w:val="00E27E04"/>
    <w:rsid w:val="00E31574"/>
    <w:rsid w:val="00E3457E"/>
    <w:rsid w:val="00E34DF3"/>
    <w:rsid w:val="00E3545A"/>
    <w:rsid w:val="00E436CE"/>
    <w:rsid w:val="00E44BFC"/>
    <w:rsid w:val="00E45E39"/>
    <w:rsid w:val="00E5221B"/>
    <w:rsid w:val="00E53E67"/>
    <w:rsid w:val="00E61CCC"/>
    <w:rsid w:val="00E61E0F"/>
    <w:rsid w:val="00E63C34"/>
    <w:rsid w:val="00E63F69"/>
    <w:rsid w:val="00E66759"/>
    <w:rsid w:val="00E75C9A"/>
    <w:rsid w:val="00E825C9"/>
    <w:rsid w:val="00E8529F"/>
    <w:rsid w:val="00E863DC"/>
    <w:rsid w:val="00E915D3"/>
    <w:rsid w:val="00E96726"/>
    <w:rsid w:val="00EA33BF"/>
    <w:rsid w:val="00EA6C11"/>
    <w:rsid w:val="00EB0C36"/>
    <w:rsid w:val="00EB2335"/>
    <w:rsid w:val="00EB475E"/>
    <w:rsid w:val="00EB7233"/>
    <w:rsid w:val="00EB7698"/>
    <w:rsid w:val="00EC0517"/>
    <w:rsid w:val="00EC079A"/>
    <w:rsid w:val="00EC5ED2"/>
    <w:rsid w:val="00EC7314"/>
    <w:rsid w:val="00ED0441"/>
    <w:rsid w:val="00ED2A25"/>
    <w:rsid w:val="00ED3156"/>
    <w:rsid w:val="00EF32B3"/>
    <w:rsid w:val="00F11EB9"/>
    <w:rsid w:val="00F11FFC"/>
    <w:rsid w:val="00F12229"/>
    <w:rsid w:val="00F23FB2"/>
    <w:rsid w:val="00F3155F"/>
    <w:rsid w:val="00F35CFE"/>
    <w:rsid w:val="00F370C5"/>
    <w:rsid w:val="00F405D6"/>
    <w:rsid w:val="00F42A88"/>
    <w:rsid w:val="00F42C71"/>
    <w:rsid w:val="00F42CBA"/>
    <w:rsid w:val="00F431A4"/>
    <w:rsid w:val="00F43D88"/>
    <w:rsid w:val="00F45029"/>
    <w:rsid w:val="00F56AA7"/>
    <w:rsid w:val="00F57AC7"/>
    <w:rsid w:val="00F64FD8"/>
    <w:rsid w:val="00F75EDA"/>
    <w:rsid w:val="00F84B9E"/>
    <w:rsid w:val="00F87057"/>
    <w:rsid w:val="00F918C0"/>
    <w:rsid w:val="00F95839"/>
    <w:rsid w:val="00F95B5A"/>
    <w:rsid w:val="00FA2AE3"/>
    <w:rsid w:val="00FA7CE9"/>
    <w:rsid w:val="00FB08E7"/>
    <w:rsid w:val="00FC11A3"/>
    <w:rsid w:val="00FC1840"/>
    <w:rsid w:val="00FC3F5D"/>
    <w:rsid w:val="00FD0493"/>
    <w:rsid w:val="00FD1EFD"/>
    <w:rsid w:val="00FD1F0B"/>
    <w:rsid w:val="00FE50E5"/>
    <w:rsid w:val="00FE5676"/>
    <w:rsid w:val="00FE60E5"/>
    <w:rsid w:val="00FE745D"/>
    <w:rsid w:val="00FF2F73"/>
    <w:rsid w:val="00FF369D"/>
    <w:rsid w:val="00FF5F11"/>
    <w:rsid w:val="00FF67C0"/>
    <w:rsid w:val="00FF6A5A"/>
    <w:rsid w:val="00FF724C"/>
    <w:rsid w:val="027F060B"/>
    <w:rsid w:val="04930CB0"/>
    <w:rsid w:val="055A7363"/>
    <w:rsid w:val="06560A28"/>
    <w:rsid w:val="08661682"/>
    <w:rsid w:val="08B1679F"/>
    <w:rsid w:val="08D95972"/>
    <w:rsid w:val="094C68F3"/>
    <w:rsid w:val="0A904CB9"/>
    <w:rsid w:val="0ADC2977"/>
    <w:rsid w:val="0B000D99"/>
    <w:rsid w:val="0BAC0D90"/>
    <w:rsid w:val="0DA57CAD"/>
    <w:rsid w:val="0E3B7AE7"/>
    <w:rsid w:val="0EFD2F7E"/>
    <w:rsid w:val="103452E2"/>
    <w:rsid w:val="10A22517"/>
    <w:rsid w:val="11837527"/>
    <w:rsid w:val="12B066A6"/>
    <w:rsid w:val="13030B52"/>
    <w:rsid w:val="168426FB"/>
    <w:rsid w:val="18BD154F"/>
    <w:rsid w:val="19D62076"/>
    <w:rsid w:val="1B251A8E"/>
    <w:rsid w:val="1B7B2D56"/>
    <w:rsid w:val="1BF03731"/>
    <w:rsid w:val="1D170DCF"/>
    <w:rsid w:val="1E6A67DD"/>
    <w:rsid w:val="1FB67C87"/>
    <w:rsid w:val="20BD4950"/>
    <w:rsid w:val="22450A4C"/>
    <w:rsid w:val="2356308A"/>
    <w:rsid w:val="24816195"/>
    <w:rsid w:val="25C828C1"/>
    <w:rsid w:val="26125C1E"/>
    <w:rsid w:val="285049B5"/>
    <w:rsid w:val="287F1B34"/>
    <w:rsid w:val="28D30DD1"/>
    <w:rsid w:val="29CE0F82"/>
    <w:rsid w:val="2AB060B0"/>
    <w:rsid w:val="2C5B509E"/>
    <w:rsid w:val="2D28150E"/>
    <w:rsid w:val="2E78136D"/>
    <w:rsid w:val="2F427150"/>
    <w:rsid w:val="32727342"/>
    <w:rsid w:val="35434BCB"/>
    <w:rsid w:val="35581BDA"/>
    <w:rsid w:val="359D38A6"/>
    <w:rsid w:val="35A42FB3"/>
    <w:rsid w:val="3773034A"/>
    <w:rsid w:val="37B47C59"/>
    <w:rsid w:val="37E55EDF"/>
    <w:rsid w:val="38E70142"/>
    <w:rsid w:val="3A03225F"/>
    <w:rsid w:val="3A4143F2"/>
    <w:rsid w:val="3A810E19"/>
    <w:rsid w:val="3B094807"/>
    <w:rsid w:val="3DA34E4D"/>
    <w:rsid w:val="3E0E6414"/>
    <w:rsid w:val="3E962C57"/>
    <w:rsid w:val="3ED447DD"/>
    <w:rsid w:val="3EE63BF2"/>
    <w:rsid w:val="3EEC18C7"/>
    <w:rsid w:val="3F76268F"/>
    <w:rsid w:val="402F4BE4"/>
    <w:rsid w:val="40F04C56"/>
    <w:rsid w:val="421D4F93"/>
    <w:rsid w:val="43254499"/>
    <w:rsid w:val="43966D9A"/>
    <w:rsid w:val="440723C7"/>
    <w:rsid w:val="44375B85"/>
    <w:rsid w:val="44972E03"/>
    <w:rsid w:val="45070575"/>
    <w:rsid w:val="453A1867"/>
    <w:rsid w:val="45D95FEA"/>
    <w:rsid w:val="46632937"/>
    <w:rsid w:val="4A292290"/>
    <w:rsid w:val="4AA258E0"/>
    <w:rsid w:val="4AAD7262"/>
    <w:rsid w:val="4ACC4810"/>
    <w:rsid w:val="4B292D4D"/>
    <w:rsid w:val="4CB32504"/>
    <w:rsid w:val="4D0B399A"/>
    <w:rsid w:val="4DDB667C"/>
    <w:rsid w:val="4E185420"/>
    <w:rsid w:val="4EB53035"/>
    <w:rsid w:val="4F855B45"/>
    <w:rsid w:val="51831531"/>
    <w:rsid w:val="520D3A22"/>
    <w:rsid w:val="525768F8"/>
    <w:rsid w:val="55017AC8"/>
    <w:rsid w:val="55BF00DB"/>
    <w:rsid w:val="56591078"/>
    <w:rsid w:val="577A135A"/>
    <w:rsid w:val="59096E2B"/>
    <w:rsid w:val="5A581633"/>
    <w:rsid w:val="5A732E6E"/>
    <w:rsid w:val="5AF75535"/>
    <w:rsid w:val="5B0354DA"/>
    <w:rsid w:val="5B634029"/>
    <w:rsid w:val="5BE8510A"/>
    <w:rsid w:val="5C837FEA"/>
    <w:rsid w:val="5EAF2427"/>
    <w:rsid w:val="5EFD2A25"/>
    <w:rsid w:val="5F9A01CC"/>
    <w:rsid w:val="616E48DF"/>
    <w:rsid w:val="617328A0"/>
    <w:rsid w:val="62333BF7"/>
    <w:rsid w:val="63943307"/>
    <w:rsid w:val="66733442"/>
    <w:rsid w:val="66AF0D4A"/>
    <w:rsid w:val="66DB36C2"/>
    <w:rsid w:val="670146D7"/>
    <w:rsid w:val="679A1459"/>
    <w:rsid w:val="697C0FD8"/>
    <w:rsid w:val="69CE291C"/>
    <w:rsid w:val="6C431472"/>
    <w:rsid w:val="6C7139CF"/>
    <w:rsid w:val="6D361ED0"/>
    <w:rsid w:val="6D55457B"/>
    <w:rsid w:val="6E2F0997"/>
    <w:rsid w:val="6F5C0DD2"/>
    <w:rsid w:val="71264CCE"/>
    <w:rsid w:val="722B017E"/>
    <w:rsid w:val="733C51C2"/>
    <w:rsid w:val="74804704"/>
    <w:rsid w:val="74870349"/>
    <w:rsid w:val="74DC6C5D"/>
    <w:rsid w:val="75671EF2"/>
    <w:rsid w:val="75EA2476"/>
    <w:rsid w:val="7762476D"/>
    <w:rsid w:val="778562A8"/>
    <w:rsid w:val="7B575C05"/>
    <w:rsid w:val="7C382108"/>
    <w:rsid w:val="7C8E6388"/>
    <w:rsid w:val="7CD8218E"/>
    <w:rsid w:val="7DA12627"/>
    <w:rsid w:val="7DAF2EDE"/>
    <w:rsid w:val="7E0F76D3"/>
    <w:rsid w:val="7F2C531F"/>
    <w:rsid w:val="7F2F2E2F"/>
    <w:rsid w:val="7F503F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3"/>
    <w:qFormat/>
    <w:uiPriority w:val="9"/>
    <w:pPr>
      <w:numPr>
        <w:ilvl w:val="0"/>
        <w:numId w:val="1"/>
      </w:numPr>
      <w:tabs>
        <w:tab w:val="center" w:pos="4139"/>
        <w:tab w:val="left" w:pos="7545"/>
        <w:tab w:val="right" w:leader="middleDot" w:pos="7740"/>
      </w:tabs>
      <w:spacing w:before="480" w:after="360"/>
      <w:ind w:left="425" w:hanging="425"/>
      <w:outlineLvl w:val="0"/>
    </w:pPr>
    <w:rPr>
      <w:rFonts w:ascii="黑体" w:eastAsia="黑体"/>
      <w:b/>
      <w:sz w:val="32"/>
      <w:szCs w:val="32"/>
    </w:rPr>
  </w:style>
  <w:style w:type="paragraph" w:styleId="3">
    <w:name w:val="heading 2"/>
    <w:basedOn w:val="1"/>
    <w:next w:val="1"/>
    <w:link w:val="41"/>
    <w:qFormat/>
    <w:uiPriority w:val="9"/>
    <w:pPr>
      <w:numPr>
        <w:ilvl w:val="1"/>
        <w:numId w:val="1"/>
      </w:numPr>
      <w:spacing w:before="480" w:after="120"/>
      <w:ind w:left="567" w:hanging="567"/>
      <w:outlineLvl w:val="1"/>
    </w:pPr>
    <w:rPr>
      <w:rFonts w:ascii="黑体" w:eastAsia="黑体"/>
      <w:b/>
      <w:bCs/>
      <w:sz w:val="28"/>
      <w:szCs w:val="28"/>
    </w:rPr>
  </w:style>
  <w:style w:type="paragraph" w:styleId="4">
    <w:name w:val="heading 3"/>
    <w:basedOn w:val="1"/>
    <w:next w:val="1"/>
    <w:link w:val="46"/>
    <w:qFormat/>
    <w:uiPriority w:val="9"/>
    <w:pPr>
      <w:numPr>
        <w:ilvl w:val="2"/>
        <w:numId w:val="1"/>
      </w:numPr>
      <w:spacing w:after="62" w:afterLines="20" w:line="360" w:lineRule="auto"/>
      <w:ind w:left="709" w:hanging="709"/>
      <w:outlineLvl w:val="2"/>
    </w:pPr>
    <w:rPr>
      <w:rFonts w:ascii="黑体" w:hAnsi="黑体" w:eastAsia="黑体"/>
      <w:b/>
      <w:sz w:val="26"/>
      <w:szCs w:val="26"/>
    </w:rPr>
  </w:style>
  <w:style w:type="paragraph" w:styleId="5">
    <w:name w:val="heading 4"/>
    <w:basedOn w:val="1"/>
    <w:next w:val="1"/>
    <w:link w:val="43"/>
    <w:qFormat/>
    <w:uiPriority w:val="9"/>
    <w:pPr>
      <w:numPr>
        <w:ilvl w:val="3"/>
        <w:numId w:val="1"/>
      </w:numPr>
      <w:spacing w:before="156" w:beforeLines="50" w:after="156" w:afterLines="50" w:line="300" w:lineRule="auto"/>
      <w:ind w:left="851" w:hanging="851"/>
      <w:outlineLvl w:val="3"/>
    </w:pPr>
    <w:rPr>
      <w:b/>
      <w:sz w:val="24"/>
    </w:rPr>
  </w:style>
  <w:style w:type="paragraph" w:styleId="6">
    <w:name w:val="heading 5"/>
    <w:basedOn w:val="1"/>
    <w:next w:val="1"/>
    <w:link w:val="47"/>
    <w:qFormat/>
    <w:uiPriority w:val="9"/>
    <w:pPr>
      <w:numPr>
        <w:ilvl w:val="4"/>
        <w:numId w:val="1"/>
      </w:numPr>
      <w:spacing w:before="62" w:beforeLines="20" w:after="62" w:afterLines="20"/>
      <w:ind w:left="992" w:hanging="992"/>
      <w:outlineLvl w:val="4"/>
    </w:pPr>
    <w:rPr>
      <w:sz w:val="24"/>
    </w:rPr>
  </w:style>
  <w:style w:type="paragraph" w:styleId="7">
    <w:name w:val="heading 6"/>
    <w:basedOn w:val="1"/>
    <w:next w:val="1"/>
    <w:link w:val="39"/>
    <w:qFormat/>
    <w:uiPriority w:val="9"/>
    <w:pPr>
      <w:keepLines/>
      <w:numPr>
        <w:ilvl w:val="0"/>
        <w:numId w:val="2"/>
      </w:numPr>
      <w:spacing w:before="62" w:beforeLines="20" w:after="62" w:afterLines="20" w:line="319" w:lineRule="auto"/>
      <w:ind w:left="840" w:hanging="420"/>
      <w:outlineLvl w:val="5"/>
    </w:pPr>
    <w:rPr>
      <w:rFonts w:ascii="Arial" w:hAnsi="Arial"/>
      <w:b/>
      <w:sz w:val="24"/>
    </w:rPr>
  </w:style>
  <w:style w:type="paragraph" w:styleId="8">
    <w:name w:val="heading 7"/>
    <w:basedOn w:val="1"/>
    <w:next w:val="1"/>
    <w:link w:val="50"/>
    <w:qFormat/>
    <w:uiPriority w:val="9"/>
    <w:pPr>
      <w:numPr>
        <w:ilvl w:val="0"/>
        <w:numId w:val="3"/>
      </w:numPr>
      <w:spacing w:line="360" w:lineRule="auto"/>
      <w:ind w:left="420" w:hanging="420"/>
      <w:outlineLvl w:val="6"/>
    </w:pPr>
    <w:rPr>
      <w:sz w:val="24"/>
    </w:rPr>
  </w:style>
  <w:style w:type="paragraph" w:styleId="9">
    <w:name w:val="heading 8"/>
    <w:basedOn w:val="1"/>
    <w:next w:val="10"/>
    <w:link w:val="56"/>
    <w:qFormat/>
    <w:uiPriority w:val="9"/>
    <w:pPr>
      <w:keepNext/>
      <w:keepLines/>
      <w:spacing w:before="240" w:after="64" w:line="320" w:lineRule="auto"/>
      <w:ind w:left="1080"/>
      <w:outlineLvl w:val="7"/>
    </w:pPr>
    <w:rPr>
      <w:rFonts w:ascii="Arial" w:hAnsi="Arial" w:eastAsia="黑体"/>
      <w:sz w:val="24"/>
      <w:szCs w:val="20"/>
    </w:rPr>
  </w:style>
  <w:style w:type="paragraph" w:styleId="11">
    <w:name w:val="heading 9"/>
    <w:basedOn w:val="1"/>
    <w:next w:val="10"/>
    <w:link w:val="52"/>
    <w:qFormat/>
    <w:uiPriority w:val="9"/>
    <w:pPr>
      <w:keepNext/>
      <w:keepLines/>
      <w:spacing w:before="240" w:after="64" w:line="320" w:lineRule="auto"/>
      <w:ind w:left="1080"/>
      <w:outlineLvl w:val="8"/>
    </w:pPr>
    <w:rPr>
      <w:rFonts w:ascii="Arial" w:hAnsi="Arial" w:eastAsia="黑体"/>
      <w:szCs w:val="20"/>
    </w:rPr>
  </w:style>
  <w:style w:type="character" w:default="1" w:styleId="24">
    <w:name w:val="Default Paragraph Font"/>
    <w:semiHidden/>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10">
    <w:name w:val="Normal Indent"/>
    <w:basedOn w:val="1"/>
    <w:link w:val="48"/>
    <w:qFormat/>
    <w:uiPriority w:val="99"/>
    <w:pPr>
      <w:spacing w:after="156" w:line="360" w:lineRule="exact"/>
      <w:ind w:firstLine="480" w:firstLineChars="200"/>
    </w:pPr>
    <w:rPr>
      <w:rFonts w:eastAsia="华文细黑"/>
      <w:sz w:val="24"/>
      <w:szCs w:val="20"/>
    </w:rPr>
  </w:style>
  <w:style w:type="paragraph" w:styleId="12">
    <w:name w:val="caption"/>
    <w:basedOn w:val="1"/>
    <w:next w:val="1"/>
    <w:qFormat/>
    <w:uiPriority w:val="35"/>
    <w:rPr>
      <w:rFonts w:ascii="Cambria" w:hAnsi="Cambria" w:eastAsia="黑体"/>
      <w:sz w:val="20"/>
      <w:szCs w:val="20"/>
    </w:rPr>
  </w:style>
  <w:style w:type="paragraph" w:styleId="13">
    <w:name w:val="Document Map"/>
    <w:basedOn w:val="1"/>
    <w:link w:val="40"/>
    <w:semiHidden/>
    <w:qFormat/>
    <w:uiPriority w:val="99"/>
    <w:pPr>
      <w:shd w:val="clear" w:color="auto" w:fill="000080"/>
    </w:pPr>
  </w:style>
  <w:style w:type="paragraph" w:styleId="14">
    <w:name w:val="Body Text Indent"/>
    <w:basedOn w:val="1"/>
    <w:link w:val="38"/>
    <w:qFormat/>
    <w:uiPriority w:val="99"/>
    <w:pPr>
      <w:spacing w:line="400" w:lineRule="exact"/>
      <w:ind w:firstLine="480" w:firstLineChars="200"/>
    </w:pPr>
    <w:rPr>
      <w:rFonts w:ascii="宋体" w:hAnsi="宋体"/>
      <w:sz w:val="24"/>
    </w:rPr>
  </w:style>
  <w:style w:type="paragraph" w:styleId="15">
    <w:name w:val="toc 3"/>
    <w:basedOn w:val="1"/>
    <w:next w:val="1"/>
    <w:qFormat/>
    <w:uiPriority w:val="39"/>
    <w:pPr>
      <w:ind w:left="840" w:leftChars="400"/>
    </w:pPr>
  </w:style>
  <w:style w:type="paragraph" w:styleId="16">
    <w:name w:val="Balloon Text"/>
    <w:basedOn w:val="1"/>
    <w:link w:val="49"/>
    <w:semiHidden/>
    <w:qFormat/>
    <w:uiPriority w:val="0"/>
    <w:rPr>
      <w:sz w:val="18"/>
      <w:szCs w:val="18"/>
    </w:rPr>
  </w:style>
  <w:style w:type="paragraph" w:styleId="17">
    <w:name w:val="footer"/>
    <w:basedOn w:val="1"/>
    <w:link w:val="44"/>
    <w:qFormat/>
    <w:uiPriority w:val="0"/>
    <w:pPr>
      <w:tabs>
        <w:tab w:val="center" w:pos="4153"/>
        <w:tab w:val="right" w:pos="8306"/>
      </w:tabs>
      <w:snapToGrid w:val="0"/>
      <w:jc w:val="left"/>
    </w:pPr>
    <w:rPr>
      <w:sz w:val="18"/>
      <w:szCs w:val="20"/>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tabs>
        <w:tab w:val="right" w:leader="dot" w:pos="13948"/>
      </w:tabs>
      <w:spacing w:line="360" w:lineRule="auto"/>
    </w:pPr>
  </w:style>
  <w:style w:type="paragraph" w:styleId="20">
    <w:name w:val="toc 2"/>
    <w:basedOn w:val="1"/>
    <w:next w:val="1"/>
    <w:qFormat/>
    <w:uiPriority w:val="39"/>
    <w:pPr>
      <w:ind w:left="420" w:leftChars="200"/>
    </w:pPr>
  </w:style>
  <w:style w:type="paragraph" w:styleId="21">
    <w:name w:val="HTML Preformatted"/>
    <w:basedOn w:val="1"/>
    <w:link w:val="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Normal (Web)"/>
    <w:basedOn w:val="1"/>
    <w:qFormat/>
    <w:uiPriority w:val="0"/>
    <w:rPr>
      <w:sz w:val="24"/>
    </w:rPr>
  </w:style>
  <w:style w:type="paragraph" w:styleId="23">
    <w:name w:val="Title"/>
    <w:basedOn w:val="1"/>
    <w:link w:val="42"/>
    <w:qFormat/>
    <w:uiPriority w:val="10"/>
    <w:pPr>
      <w:spacing w:before="240" w:after="60"/>
      <w:jc w:val="center"/>
      <w:outlineLvl w:val="0"/>
    </w:pPr>
    <w:rPr>
      <w:rFonts w:ascii="Arial" w:hAnsi="Arial" w:cs="Arial"/>
      <w:b/>
      <w:bCs/>
      <w:sz w:val="32"/>
      <w:szCs w:val="32"/>
    </w:rPr>
  </w:style>
  <w:style w:type="character" w:styleId="25">
    <w:name w:val="Strong"/>
    <w:qFormat/>
    <w:uiPriority w:val="22"/>
    <w:rPr>
      <w:rFonts w:cs="Times New Roman"/>
      <w:b/>
    </w:rPr>
  </w:style>
  <w:style w:type="character" w:styleId="26">
    <w:name w:val="page number"/>
    <w:qFormat/>
    <w:uiPriority w:val="99"/>
    <w:rPr>
      <w:rFonts w:cs="Times New Roman"/>
    </w:rPr>
  </w:style>
  <w:style w:type="character" w:styleId="27">
    <w:name w:val="Hyperlink"/>
    <w:unhideWhenUsed/>
    <w:qFormat/>
    <w:uiPriority w:val="99"/>
    <w:rPr>
      <w:rFonts w:cs="Times New Roman"/>
      <w:color w:val="0000FF"/>
      <w:u w:val="single"/>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图——题注 6+12 磅"/>
    <w:basedOn w:val="16"/>
    <w:link w:val="54"/>
    <w:qFormat/>
    <w:uiPriority w:val="0"/>
    <w:pPr>
      <w:spacing w:before="120" w:after="240"/>
      <w:jc w:val="center"/>
    </w:pPr>
    <w:rPr>
      <w:rFonts w:cs="宋体"/>
      <w:sz w:val="21"/>
    </w:rPr>
  </w:style>
  <w:style w:type="paragraph" w:styleId="31">
    <w:name w:val="List Paragraph"/>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32">
    <w:name w:val="表——题注 6+6 磅"/>
    <w:basedOn w:val="16"/>
    <w:qFormat/>
    <w:uiPriority w:val="0"/>
    <w:pPr>
      <w:spacing w:before="120" w:after="120"/>
      <w:jc w:val="center"/>
    </w:pPr>
    <w:rPr>
      <w:rFonts w:cs="宋体"/>
      <w:sz w:val="21"/>
    </w:rPr>
  </w:style>
  <w:style w:type="paragraph" w:customStyle="1" w:styleId="33">
    <w:name w:val="_Style 32"/>
    <w:basedOn w:val="2"/>
    <w:next w:val="1"/>
    <w:qFormat/>
    <w:uiPriority w:val="39"/>
    <w:pPr>
      <w:keepNext/>
      <w:keepLines/>
      <w:widowControl/>
      <w:numPr>
        <w:ilvl w:val="0"/>
        <w:numId w:val="0"/>
      </w:numPr>
      <w:tabs>
        <w:tab w:val="clear" w:pos="4139"/>
        <w:tab w:val="clear" w:pos="7545"/>
        <w:tab w:val="clear" w:pos="7740"/>
      </w:tabs>
      <w:spacing w:after="0" w:line="276" w:lineRule="auto"/>
      <w:jc w:val="left"/>
      <w:outlineLvl w:val="9"/>
    </w:pPr>
    <w:rPr>
      <w:rFonts w:ascii="Cambria" w:hAnsi="Cambria" w:eastAsia="宋体"/>
      <w:bCs/>
      <w:color w:val="365F91"/>
      <w:kern w:val="0"/>
      <w:sz w:val="28"/>
      <w:szCs w:val="28"/>
    </w:rPr>
  </w:style>
  <w:style w:type="paragraph" w:customStyle="1" w:styleId="34">
    <w:name w:val="p0"/>
    <w:basedOn w:val="1"/>
    <w:qFormat/>
    <w:uiPriority w:val="0"/>
    <w:pPr>
      <w:widowControl/>
    </w:pPr>
    <w:rPr>
      <w:kern w:val="0"/>
      <w:szCs w:val="21"/>
    </w:rPr>
  </w:style>
  <w:style w:type="paragraph" w:customStyle="1" w:styleId="35">
    <w:name w:val="节"/>
    <w:basedOn w:val="1"/>
    <w:qFormat/>
    <w:uiPriority w:val="0"/>
    <w:pPr>
      <w:spacing w:before="312" w:beforeLines="100" w:after="312" w:afterLines="100" w:line="300" w:lineRule="auto"/>
      <w:jc w:val="center"/>
      <w:outlineLvl w:val="1"/>
    </w:pPr>
    <w:rPr>
      <w:b/>
      <w:bCs/>
      <w:sz w:val="24"/>
    </w:rPr>
  </w:style>
  <w:style w:type="paragraph" w:customStyle="1" w:styleId="36">
    <w:name w:val="条文"/>
    <w:basedOn w:val="1"/>
    <w:qFormat/>
    <w:uiPriority w:val="0"/>
    <w:pPr>
      <w:spacing w:line="300" w:lineRule="auto"/>
      <w:outlineLvl w:val="2"/>
    </w:pPr>
    <w:rPr>
      <w:sz w:val="24"/>
    </w:rPr>
  </w:style>
  <w:style w:type="paragraph" w:customStyle="1" w:styleId="37">
    <w:name w:val="Char1"/>
    <w:basedOn w:val="1"/>
    <w:qFormat/>
    <w:uiPriority w:val="0"/>
    <w:pPr>
      <w:snapToGrid w:val="0"/>
      <w:spacing w:line="360" w:lineRule="auto"/>
      <w:ind w:firstLine="200" w:firstLineChars="200"/>
    </w:pPr>
    <w:rPr>
      <w:rFonts w:eastAsia="仿宋_GB2312"/>
      <w:sz w:val="24"/>
    </w:rPr>
  </w:style>
  <w:style w:type="character" w:customStyle="1" w:styleId="38">
    <w:name w:val="正文文本缩进 Char"/>
    <w:link w:val="14"/>
    <w:qFormat/>
    <w:locked/>
    <w:uiPriority w:val="99"/>
    <w:rPr>
      <w:rFonts w:ascii="宋体" w:hAnsi="宋体" w:eastAsia="宋体" w:cs="Times New Roman"/>
      <w:kern w:val="2"/>
      <w:sz w:val="24"/>
      <w:lang w:val="en-US" w:eastAsia="zh-CN"/>
    </w:rPr>
  </w:style>
  <w:style w:type="character" w:customStyle="1" w:styleId="39">
    <w:name w:val="标题 6 Char"/>
    <w:link w:val="7"/>
    <w:qFormat/>
    <w:locked/>
    <w:uiPriority w:val="9"/>
    <w:rPr>
      <w:rFonts w:ascii="Arial" w:hAnsi="Arial" w:cs="Times New Roman"/>
      <w:b/>
      <w:kern w:val="2"/>
      <w:sz w:val="24"/>
    </w:rPr>
  </w:style>
  <w:style w:type="character" w:customStyle="1" w:styleId="40">
    <w:name w:val="文档结构图 Char"/>
    <w:link w:val="13"/>
    <w:semiHidden/>
    <w:qFormat/>
    <w:locked/>
    <w:uiPriority w:val="99"/>
    <w:rPr>
      <w:rFonts w:cs="Times New Roman"/>
      <w:kern w:val="2"/>
      <w:sz w:val="24"/>
      <w:shd w:val="clear" w:color="auto" w:fill="000080"/>
    </w:rPr>
  </w:style>
  <w:style w:type="character" w:customStyle="1" w:styleId="41">
    <w:name w:val="标题 2 Char"/>
    <w:link w:val="3"/>
    <w:qFormat/>
    <w:locked/>
    <w:uiPriority w:val="9"/>
    <w:rPr>
      <w:rFonts w:ascii="黑体" w:eastAsia="黑体" w:cs="Times New Roman"/>
      <w:b/>
      <w:kern w:val="2"/>
      <w:sz w:val="28"/>
    </w:rPr>
  </w:style>
  <w:style w:type="character" w:customStyle="1" w:styleId="42">
    <w:name w:val="标题 Char"/>
    <w:link w:val="23"/>
    <w:qFormat/>
    <w:locked/>
    <w:uiPriority w:val="10"/>
    <w:rPr>
      <w:rFonts w:ascii="Cambria" w:hAnsi="Cambria" w:cs="Times New Roman"/>
      <w:b/>
      <w:bCs/>
      <w:kern w:val="2"/>
      <w:sz w:val="32"/>
      <w:szCs w:val="32"/>
    </w:rPr>
  </w:style>
  <w:style w:type="character" w:customStyle="1" w:styleId="43">
    <w:name w:val="标题 4 Char"/>
    <w:link w:val="5"/>
    <w:qFormat/>
    <w:locked/>
    <w:uiPriority w:val="9"/>
    <w:rPr>
      <w:rFonts w:cs="Times New Roman"/>
      <w:b/>
      <w:kern w:val="2"/>
      <w:sz w:val="24"/>
    </w:rPr>
  </w:style>
  <w:style w:type="character" w:customStyle="1" w:styleId="44">
    <w:name w:val="页脚 Char"/>
    <w:link w:val="17"/>
    <w:semiHidden/>
    <w:qFormat/>
    <w:locked/>
    <w:uiPriority w:val="99"/>
    <w:rPr>
      <w:rFonts w:cs="Times New Roman"/>
      <w:kern w:val="2"/>
      <w:sz w:val="18"/>
      <w:szCs w:val="18"/>
    </w:rPr>
  </w:style>
  <w:style w:type="character" w:customStyle="1" w:styleId="45">
    <w:name w:val="HTML 预设格式 Char"/>
    <w:link w:val="21"/>
    <w:qFormat/>
    <w:uiPriority w:val="0"/>
    <w:rPr>
      <w:rFonts w:ascii="宋体" w:hAnsi="宋体" w:cs="宋体"/>
      <w:sz w:val="24"/>
      <w:szCs w:val="24"/>
    </w:rPr>
  </w:style>
  <w:style w:type="character" w:customStyle="1" w:styleId="46">
    <w:name w:val="标题 3 Char"/>
    <w:link w:val="4"/>
    <w:qFormat/>
    <w:locked/>
    <w:uiPriority w:val="9"/>
    <w:rPr>
      <w:rFonts w:ascii="黑体" w:hAnsi="黑体" w:eastAsia="黑体" w:cs="Times New Roman"/>
      <w:b/>
      <w:kern w:val="2"/>
      <w:sz w:val="26"/>
    </w:rPr>
  </w:style>
  <w:style w:type="character" w:customStyle="1" w:styleId="47">
    <w:name w:val="标题 5 Char"/>
    <w:link w:val="6"/>
    <w:qFormat/>
    <w:locked/>
    <w:uiPriority w:val="9"/>
    <w:rPr>
      <w:rFonts w:cs="Times New Roman"/>
      <w:kern w:val="2"/>
      <w:sz w:val="24"/>
    </w:rPr>
  </w:style>
  <w:style w:type="character" w:customStyle="1" w:styleId="48">
    <w:name w:val="正文缩进 Char"/>
    <w:link w:val="10"/>
    <w:qFormat/>
    <w:locked/>
    <w:uiPriority w:val="0"/>
    <w:rPr>
      <w:rFonts w:eastAsia="华文细黑"/>
      <w:kern w:val="2"/>
      <w:sz w:val="24"/>
      <w:lang w:val="en-US" w:eastAsia="zh-CN"/>
    </w:rPr>
  </w:style>
  <w:style w:type="character" w:customStyle="1" w:styleId="49">
    <w:name w:val="批注框文本 Char"/>
    <w:link w:val="16"/>
    <w:qFormat/>
    <w:locked/>
    <w:uiPriority w:val="99"/>
    <w:rPr>
      <w:rFonts w:eastAsia="宋体" w:cs="Times New Roman"/>
      <w:kern w:val="2"/>
      <w:sz w:val="18"/>
      <w:lang w:val="en-US" w:eastAsia="zh-CN"/>
    </w:rPr>
  </w:style>
  <w:style w:type="character" w:customStyle="1" w:styleId="50">
    <w:name w:val="标题 7 Char"/>
    <w:link w:val="8"/>
    <w:qFormat/>
    <w:locked/>
    <w:uiPriority w:val="9"/>
    <w:rPr>
      <w:rFonts w:cs="Times New Roman"/>
      <w:kern w:val="2"/>
      <w:sz w:val="24"/>
    </w:rPr>
  </w:style>
  <w:style w:type="character" w:customStyle="1" w:styleId="51">
    <w:name w:val="页眉 Char"/>
    <w:link w:val="18"/>
    <w:semiHidden/>
    <w:qFormat/>
    <w:locked/>
    <w:uiPriority w:val="99"/>
    <w:rPr>
      <w:rFonts w:cs="Times New Roman"/>
      <w:kern w:val="2"/>
      <w:sz w:val="18"/>
      <w:szCs w:val="18"/>
    </w:rPr>
  </w:style>
  <w:style w:type="character" w:customStyle="1" w:styleId="52">
    <w:name w:val="标题 9 Char"/>
    <w:link w:val="11"/>
    <w:qFormat/>
    <w:locked/>
    <w:uiPriority w:val="9"/>
    <w:rPr>
      <w:rFonts w:ascii="Arial" w:hAnsi="Arial" w:eastAsia="黑体" w:cs="Times New Roman"/>
      <w:kern w:val="2"/>
      <w:sz w:val="21"/>
      <w:lang w:val="en-US" w:eastAsia="zh-CN"/>
    </w:rPr>
  </w:style>
  <w:style w:type="character" w:customStyle="1" w:styleId="53">
    <w:name w:val="标题 1 Char"/>
    <w:link w:val="2"/>
    <w:qFormat/>
    <w:locked/>
    <w:uiPriority w:val="9"/>
    <w:rPr>
      <w:rFonts w:ascii="黑体" w:eastAsia="黑体" w:cs="Times New Roman"/>
      <w:b/>
      <w:kern w:val="2"/>
      <w:sz w:val="32"/>
    </w:rPr>
  </w:style>
  <w:style w:type="character" w:customStyle="1" w:styleId="54">
    <w:name w:val="图——题注 6+12 磅 Char Char"/>
    <w:link w:val="30"/>
    <w:qFormat/>
    <w:locked/>
    <w:uiPriority w:val="0"/>
    <w:rPr>
      <w:rFonts w:ascii="Arial" w:hAnsi="Arial" w:eastAsia="宋体"/>
      <w:kern w:val="2"/>
      <w:sz w:val="21"/>
      <w:lang w:val="en-US" w:eastAsia="zh-CN"/>
    </w:rPr>
  </w:style>
  <w:style w:type="character" w:customStyle="1" w:styleId="55">
    <w:name w:val="HTML 预设格式 Char1"/>
    <w:qFormat/>
    <w:uiPriority w:val="0"/>
    <w:rPr>
      <w:rFonts w:ascii="Courier New" w:hAnsi="Courier New" w:cs="Courier New"/>
      <w:kern w:val="2"/>
    </w:rPr>
  </w:style>
  <w:style w:type="character" w:customStyle="1" w:styleId="56">
    <w:name w:val="标题 8 Char"/>
    <w:link w:val="9"/>
    <w:qFormat/>
    <w:locked/>
    <w:uiPriority w:val="9"/>
    <w:rPr>
      <w:rFonts w:ascii="Arial" w:hAnsi="Arial" w:eastAsia="黑体" w:cs="Times New Roman"/>
      <w:kern w:val="2"/>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cabr</Company>
  <Pages>22</Pages>
  <Words>2039</Words>
  <Characters>11624</Characters>
  <Lines>96</Lines>
  <Paragraphs>27</Paragraphs>
  <TotalTime>1</TotalTime>
  <ScaleCrop>false</ScaleCrop>
  <LinksUpToDate>false</LinksUpToDate>
  <CharactersWithSpaces>13636</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2017-09-01T08:31:00Z</dcterms:created>
  <dc:creator>yingqun</dc:creator>
  <cp:lastModifiedBy>Nara「 Lucky 」</cp:lastModifiedBy>
  <cp:lastPrinted>2018-07-24T02:00:00Z</cp:lastPrinted>
  <dcterms:modified xsi:type="dcterms:W3CDTF">2018-08-01T08:53:05Z</dcterms:modified>
  <dc:title>GETRAG自然采光</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