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方正仿宋简体" w:hAnsi="楷体" w:eastAsia="方正仿宋简体"/>
          <w:sz w:val="32"/>
          <w:szCs w:val="32"/>
        </w:rPr>
        <w:t>附件：</w:t>
      </w:r>
    </w:p>
    <w:p>
      <w:pPr>
        <w:spacing w:before="156" w:beforeLines="50" w:after="312" w:afterLines="100"/>
        <w:jc w:val="center"/>
        <w:rPr>
          <w:rFonts w:ascii="方正小标宋简体" w:hAnsi="华文楷体" w:eastAsia="方正小标宋简体"/>
          <w:sz w:val="32"/>
          <w:szCs w:val="32"/>
        </w:rPr>
      </w:pPr>
      <w:bookmarkStart w:id="0" w:name="_GoBack"/>
      <w:r>
        <w:rPr>
          <w:rFonts w:ascii="方正小标宋简体" w:hAnsi="华文楷体" w:eastAsia="方正小标宋简体"/>
          <w:sz w:val="32"/>
          <w:szCs w:val="32"/>
        </w:rPr>
        <w:t>2017</w:t>
      </w:r>
      <w:r>
        <w:rPr>
          <w:rFonts w:hint="eastAsia" w:ascii="方正小标宋简体" w:hAnsi="华文楷体" w:eastAsia="方正小标宋简体"/>
          <w:sz w:val="32"/>
          <w:szCs w:val="32"/>
        </w:rPr>
        <w:t>年度镇（街道、北区）民防工作目标任务考核情况一览表</w:t>
      </w:r>
    </w:p>
    <w:bookmarkEnd w:id="0"/>
    <w:tbl>
      <w:tblPr>
        <w:tblStyle w:val="5"/>
        <w:tblW w:w="122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992"/>
        <w:gridCol w:w="1701"/>
        <w:gridCol w:w="1701"/>
        <w:gridCol w:w="1843"/>
        <w:gridCol w:w="141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镇（街道、北区）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宣传信息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参观民防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科普馆人数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基本考核分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创新加分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考核总分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2093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报送数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录用数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雪堰镇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17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95.5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96.5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前黄镇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13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95.5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95.5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礼嘉镇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95.5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95.5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南夏墅街道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93.5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94.5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湖塘镇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977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107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牛塘镇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250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97.5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98.5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洛阳镇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96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嘉泽镇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11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湟里镇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520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104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西湖街道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17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550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高新区北区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12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1200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106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遥观镇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13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横林镇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99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99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横山桥镇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523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106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戚墅堰街道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37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563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103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潞城街道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丁堰街道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11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1843" w:type="dxa"/>
            <w:vAlign w:val="top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103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/>
                <w:kern w:val="0"/>
                <w:szCs w:val="21"/>
              </w:rPr>
              <w:t>5</w:t>
            </w:r>
          </w:p>
        </w:tc>
      </w:tr>
    </w:tbl>
    <w:p>
      <w:pPr>
        <w:spacing w:line="240" w:lineRule="exact"/>
        <w:jc w:val="left"/>
        <w:rPr>
          <w:rFonts w:ascii="方正仿宋简体" w:hAnsi="宋体" w:eastAsia="方正仿宋简体" w:cs="宋体"/>
          <w:b/>
          <w:color w:val="FF0000"/>
          <w:kern w:val="0"/>
          <w:sz w:val="16"/>
          <w:szCs w:val="1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A6D34"/>
    <w:rsid w:val="188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2018-01-25T05:54:00Z</dcterms:created>
  <dc:creator>梦古GoFn</dc:creator>
  <cp:lastModifiedBy>梦古GoFn</cp:lastModifiedBy>
  <dcterms:modified xsi:type="dcterms:W3CDTF">2018-01-25T05:55:24Z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