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DD6" w:rsidRPr="004A4DD6" w:rsidRDefault="004A4DD6" w:rsidP="004A4DD6">
      <w:pPr>
        <w:widowControl/>
        <w:spacing w:line="480" w:lineRule="auto"/>
        <w:jc w:val="left"/>
        <w:rPr>
          <w:rFonts w:ascii="仿宋_GB2312" w:eastAsia="仿宋_GB2312" w:hAnsi="宋体" w:cs="宋体"/>
          <w:b/>
          <w:color w:val="000000"/>
          <w:kern w:val="0"/>
          <w:sz w:val="30"/>
          <w:szCs w:val="30"/>
        </w:rPr>
      </w:pPr>
      <w:r w:rsidRPr="004A4DD6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一、部门主要职责</w:t>
      </w:r>
    </w:p>
    <w:p w:rsidR="004A4DD6" w:rsidRPr="004A4DD6" w:rsidRDefault="004A4DD6" w:rsidP="004A4DD6">
      <w:pPr>
        <w:widowControl/>
        <w:spacing w:line="480" w:lineRule="auto"/>
        <w:ind w:firstLineChars="200" w:firstLine="600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4A4DD6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（一）切实履行宏观调控职责，参与制定各项宏观经济政策，提出运用财税政策实施宏观调控、促进经济发展方式转变、综合平衡社会财力、促进区域协调发展和推进基本公共服务均等化的建议；完善鼓励公益事业发展的财税政策。</w:t>
      </w:r>
    </w:p>
    <w:p w:rsidR="004A4DD6" w:rsidRPr="004A4DD6" w:rsidRDefault="004A4DD6" w:rsidP="004A4DD6">
      <w:pPr>
        <w:widowControl/>
        <w:spacing w:line="480" w:lineRule="auto"/>
        <w:ind w:firstLineChars="200" w:firstLine="600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4A4DD6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（二）贯彻执行国家和省、市有关财政、税收方针政策和法律法规，拟订和执行全区财政政策、中长期规划、改革方案及其他有关政策；指导镇（开发区）财政部门开展业务工作。</w:t>
      </w:r>
    </w:p>
    <w:p w:rsidR="004A4DD6" w:rsidRPr="004A4DD6" w:rsidRDefault="004A4DD6" w:rsidP="004A4DD6">
      <w:pPr>
        <w:widowControl/>
        <w:spacing w:line="480" w:lineRule="auto"/>
        <w:ind w:firstLineChars="200" w:firstLine="600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4A4DD6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（三）负责财政、财务、会计、政府采购、国有资产管理的地方性规章草案的起草工作，制定和执行财政、财务、会计、政府采购、国有资产管理的政策规定。</w:t>
      </w:r>
    </w:p>
    <w:p w:rsidR="004A4DD6" w:rsidRPr="004A4DD6" w:rsidRDefault="004A4DD6" w:rsidP="004A4DD6">
      <w:pPr>
        <w:widowControl/>
        <w:spacing w:line="480" w:lineRule="auto"/>
        <w:ind w:firstLineChars="200" w:firstLine="600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4A4DD6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（四）承担区本级各项财政收支管理的责任。负责编制年度区本级预决算草案并组织执行；受区政府委托，向区人民代表大会报告区级和全区年度预算及其执行情况，向区人大常委会报告决算；组织制定区本级经费开支标准、定额，负责审核批复部门（单位）的年度预决算；完善转移支付制度。</w:t>
      </w:r>
    </w:p>
    <w:p w:rsidR="004A4DD6" w:rsidRPr="004A4DD6" w:rsidRDefault="004A4DD6" w:rsidP="004A4DD6">
      <w:pPr>
        <w:widowControl/>
        <w:spacing w:line="480" w:lineRule="auto"/>
        <w:ind w:firstLineChars="200" w:firstLine="600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4A4DD6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（五）研究建立预算绩效评价体系和科学合理的财政资金绩效管理机制，负责制定财政资金绩效管理工作的有关政策、制度和实施办法，组织开展财政资金绩效管理和财政支出绩效评价工作。</w:t>
      </w:r>
    </w:p>
    <w:p w:rsidR="004A4DD6" w:rsidRPr="004A4DD6" w:rsidRDefault="004A4DD6" w:rsidP="004A4DD6">
      <w:pPr>
        <w:widowControl/>
        <w:spacing w:line="480" w:lineRule="auto"/>
        <w:ind w:firstLineChars="200" w:firstLine="600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4A4DD6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（六）负责政府非税收入管理。按规定管理政府性基金、行政事业性收费和其他非税收入；负责政府性基金预算编制和管理</w:t>
      </w:r>
      <w:r w:rsidRPr="004A4DD6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lastRenderedPageBreak/>
        <w:t>工作；管理财政票据；拟订彩票管理的有关办法，管理彩票市场，按规定管理彩票资金；参与全区治理乱收费、减轻企业和农民负担工作。</w:t>
      </w:r>
    </w:p>
    <w:p w:rsidR="004A4DD6" w:rsidRPr="004A4DD6" w:rsidRDefault="004A4DD6" w:rsidP="004A4DD6">
      <w:pPr>
        <w:widowControl/>
        <w:spacing w:line="480" w:lineRule="auto"/>
        <w:ind w:firstLineChars="200" w:firstLine="600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4A4DD6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（七）组织制定国库管理制度和国库集中收付制度，按规定开展国库现金管理工作；负责制定政府采购政策、制度并监督管理。</w:t>
      </w:r>
    </w:p>
    <w:p w:rsidR="004A4DD6" w:rsidRPr="004A4DD6" w:rsidRDefault="004A4DD6" w:rsidP="004A4DD6">
      <w:pPr>
        <w:widowControl/>
        <w:spacing w:line="480" w:lineRule="auto"/>
        <w:ind w:firstLineChars="200" w:firstLine="600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4A4DD6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（八）负责各项区级财政专项资金的安排和监督管理。拟订有关部门、单位和项目资金的财务管理办法；协助有关部门进行项目的可行性研究和效益分析，监督项目实施中资金的管理使用情况；监督有关部门、单位的财务运行和收支预算执行情况；审核有关部门的财务决算。</w:t>
      </w:r>
    </w:p>
    <w:p w:rsidR="004A4DD6" w:rsidRPr="004A4DD6" w:rsidRDefault="004A4DD6" w:rsidP="004A4DD6">
      <w:pPr>
        <w:widowControl/>
        <w:spacing w:line="480" w:lineRule="auto"/>
        <w:ind w:firstLineChars="200" w:firstLine="600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4A4DD6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（九）制定需要全区统一规定的开支标准和支出政策；管理财政预算内行政机构、事业单位和社会团体的非贸易外汇；监督执行行政事业单位财务会计制度。</w:t>
      </w:r>
    </w:p>
    <w:p w:rsidR="004A4DD6" w:rsidRPr="004A4DD6" w:rsidRDefault="004A4DD6" w:rsidP="004A4DD6">
      <w:pPr>
        <w:widowControl/>
        <w:spacing w:line="480" w:lineRule="auto"/>
        <w:ind w:firstLineChars="200" w:firstLine="600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4A4DD6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（十）研究制定和组织实施促进产业结构调整的财政政策；制定国有资本经营预算的制度和办法，负责审核和汇总编制全区国有资本经营预决算草案；收取区本级企业国有资本收益；贯彻实施企业财务管理相关制度。</w:t>
      </w:r>
    </w:p>
    <w:p w:rsidR="004A4DD6" w:rsidRPr="004A4DD6" w:rsidRDefault="004A4DD6" w:rsidP="004A4DD6">
      <w:pPr>
        <w:widowControl/>
        <w:spacing w:line="480" w:lineRule="auto"/>
        <w:ind w:firstLineChars="200" w:firstLine="600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4A4DD6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（十一）研究制定支持教育、科技、文化等社会事业改革与发展的财政政策；负责办理和监督区级财政的经济发展支出、政府性投资项目的财政拨款；参与拟订区建设投资的有关政策，制</w:t>
      </w:r>
      <w:r w:rsidRPr="004A4DD6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lastRenderedPageBreak/>
        <w:t>定基本建设财务制度；负责相关政策性补贴和专项储备资金财政管理工作。</w:t>
      </w:r>
    </w:p>
    <w:p w:rsidR="004A4DD6" w:rsidRPr="004A4DD6" w:rsidRDefault="004A4DD6" w:rsidP="004A4DD6">
      <w:pPr>
        <w:widowControl/>
        <w:spacing w:line="480" w:lineRule="auto"/>
        <w:ind w:firstLineChars="200" w:firstLine="600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4A4DD6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（十二）研究制定财政支农涉农政策并负责相关资金管理；负责农业综合开发资金管理，参与农业综合开发规划与项目管理；指导全区镇（开发区）财政建设工作。</w:t>
      </w:r>
    </w:p>
    <w:p w:rsidR="004A4DD6" w:rsidRPr="004A4DD6" w:rsidRDefault="004A4DD6" w:rsidP="004A4DD6">
      <w:pPr>
        <w:widowControl/>
        <w:spacing w:line="480" w:lineRule="auto"/>
        <w:ind w:firstLineChars="200" w:firstLine="600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4A4DD6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（十三）管理区级财政社会保障和就业及医疗卫生支出，拟订和执行社会保障资金（基金）的财务管理制度，组织实施对社会保障资金（基金）使用的财政监督，负责编制审核区级社会保障预决算草案，负责审核和汇总编制全区社会保险基金预决算草案。</w:t>
      </w:r>
    </w:p>
    <w:p w:rsidR="004A4DD6" w:rsidRPr="004A4DD6" w:rsidRDefault="004A4DD6" w:rsidP="004A4DD6">
      <w:pPr>
        <w:widowControl/>
        <w:spacing w:line="480" w:lineRule="auto"/>
        <w:ind w:firstLineChars="200" w:firstLine="600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4A4DD6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（十四）执行国家关于内债、外债管理的方针政策、规章制度和国债、地方债发行计划，制定地方有关配套性办法；承担国外贷款管理有关工作；负责全区政府性债务管理，防范财政风险。</w:t>
      </w:r>
    </w:p>
    <w:p w:rsidR="004A4DD6" w:rsidRPr="004A4DD6" w:rsidRDefault="004A4DD6" w:rsidP="004A4DD6">
      <w:pPr>
        <w:widowControl/>
        <w:spacing w:line="480" w:lineRule="auto"/>
        <w:ind w:firstLineChars="200" w:firstLine="600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4A4DD6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（十五）牵头制定国有土地、矿产等国有资源收入政策，参与国有土地、矿产等国有资源使用政策的研究和制度改革；参与住房保障政策研究，管理住房改革预算资金。</w:t>
      </w:r>
    </w:p>
    <w:p w:rsidR="004A4DD6" w:rsidRPr="004A4DD6" w:rsidRDefault="004A4DD6" w:rsidP="004A4DD6">
      <w:pPr>
        <w:widowControl/>
        <w:spacing w:line="480" w:lineRule="auto"/>
        <w:ind w:firstLineChars="200" w:firstLine="600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4A4DD6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（十六）拟定和执行行政事业单位及国有企业资产管理的政策、改革方案、管理办法；负责国有企业和行政事业单位的清产核资、资本金权属界定和登记的有关管理工作；负责国有资本金的统计、分析、评价，负责资产评估管理工作；负责国有资产、资源的授权监管和收益收缴工作；管理、监督国有资产产权交易</w:t>
      </w:r>
      <w:r w:rsidRPr="004A4DD6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lastRenderedPageBreak/>
        <w:t>行为；负责履行区政府出资人职责，监督、管理区级国有企业资产和财务工作。</w:t>
      </w:r>
    </w:p>
    <w:p w:rsidR="004A4DD6" w:rsidRPr="004A4DD6" w:rsidRDefault="004A4DD6" w:rsidP="004A4DD6">
      <w:pPr>
        <w:widowControl/>
        <w:spacing w:line="480" w:lineRule="auto"/>
        <w:ind w:firstLineChars="200" w:firstLine="600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4A4DD6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（十七）依法管理全区会计工作。监督和规范会计行为，组织实施国家统一的会计制度。</w:t>
      </w:r>
    </w:p>
    <w:p w:rsidR="004A4DD6" w:rsidRPr="004A4DD6" w:rsidRDefault="004A4DD6" w:rsidP="004A4DD6">
      <w:pPr>
        <w:widowControl/>
        <w:spacing w:line="480" w:lineRule="auto"/>
        <w:ind w:firstLineChars="200" w:firstLine="600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4A4DD6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（十八）依法监督检查财税法规、政策的执行情况，反映财政收支管理中的重大问题，提出加强财政管理的政策建议，依法处理财政违纪违规问题。</w:t>
      </w:r>
    </w:p>
    <w:p w:rsidR="004A4DD6" w:rsidRPr="004A4DD6" w:rsidRDefault="004A4DD6" w:rsidP="004A4DD6">
      <w:pPr>
        <w:widowControl/>
        <w:spacing w:line="480" w:lineRule="auto"/>
        <w:ind w:firstLineChars="200" w:firstLine="600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4A4DD6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（十九）制定财政科学研究和教育规划；组织财政人才培训；负责财政信息化建设和财政信息宣传工作。</w:t>
      </w:r>
    </w:p>
    <w:p w:rsidR="004A4DD6" w:rsidRPr="004A4DD6" w:rsidRDefault="004A4DD6" w:rsidP="004A4DD6">
      <w:pPr>
        <w:widowControl/>
        <w:spacing w:line="480" w:lineRule="auto"/>
        <w:ind w:firstLineChars="200" w:firstLine="600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4A4DD6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（二十）承办区委、区政府交办的其他事项。</w:t>
      </w:r>
    </w:p>
    <w:p w:rsidR="004A4DD6" w:rsidRPr="004A4DD6" w:rsidRDefault="004A4DD6" w:rsidP="004A4DD6">
      <w:pPr>
        <w:widowControl/>
        <w:spacing w:line="480" w:lineRule="auto"/>
        <w:ind w:firstLineChars="200" w:firstLine="602"/>
        <w:jc w:val="left"/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</w:pPr>
      <w:r w:rsidRPr="004A4DD6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二、内设机构及下属单位</w:t>
      </w:r>
    </w:p>
    <w:p w:rsidR="004A4DD6" w:rsidRPr="004A4DD6" w:rsidRDefault="004A4DD6" w:rsidP="004A4DD6">
      <w:pPr>
        <w:widowControl/>
        <w:spacing w:line="480" w:lineRule="auto"/>
        <w:ind w:firstLineChars="200" w:firstLine="600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4A4DD6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（一）内设机构：办公室、预算科（协税护税科）、国库科、综合科、金融科、国资监督管理科、资源和债务管理科、经济建设科（政府采购管理科）、工贸发展科、行财科、社会保障科、农财科、</w:t>
      </w:r>
      <w:proofErr w:type="gramStart"/>
      <w:r w:rsidRPr="004A4DD6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财监会计</w:t>
      </w:r>
      <w:proofErr w:type="gramEnd"/>
      <w:r w:rsidRPr="004A4DD6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科、人事教育科（监察室）</w:t>
      </w:r>
    </w:p>
    <w:p w:rsidR="004A4DD6" w:rsidRPr="004A4DD6" w:rsidRDefault="004A4DD6" w:rsidP="004A4DD6">
      <w:pPr>
        <w:widowControl/>
        <w:spacing w:line="480" w:lineRule="auto"/>
        <w:ind w:firstLineChars="200" w:firstLine="600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4A4DD6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（二）下属单位：财政信息中心、预算编审中心、财政结算中心、非税收入管理办公室</w:t>
      </w:r>
    </w:p>
    <w:p w:rsidR="004A4DD6" w:rsidRPr="004A4DD6" w:rsidRDefault="004A4DD6" w:rsidP="004A4DD6">
      <w:pPr>
        <w:widowControl/>
        <w:spacing w:line="480" w:lineRule="auto"/>
        <w:ind w:firstLineChars="198" w:firstLine="596"/>
        <w:jc w:val="left"/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</w:pPr>
      <w:r w:rsidRPr="004A4DD6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三、2015年财政工作总体要求和主要任务</w:t>
      </w:r>
    </w:p>
    <w:p w:rsidR="004A4DD6" w:rsidRPr="004A4DD6" w:rsidRDefault="004A4DD6" w:rsidP="004A4DD6">
      <w:pPr>
        <w:widowControl/>
        <w:spacing w:line="480" w:lineRule="auto"/>
        <w:ind w:firstLineChars="250" w:firstLine="750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4A4DD6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（一）总体要求</w:t>
      </w:r>
    </w:p>
    <w:p w:rsidR="004A4DD6" w:rsidRPr="004A4DD6" w:rsidRDefault="004A4DD6" w:rsidP="004A4DD6">
      <w:pPr>
        <w:widowControl/>
        <w:spacing w:line="480" w:lineRule="auto"/>
        <w:ind w:firstLineChars="250" w:firstLine="750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4A4DD6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全面贯彻党的十八届四中全会、中央经济工作会议及区委十一届九次全体（扩大）会议精神，坚持稳中求进工作总基调，坚持以提高经济发展质量和效益为中心，主动适应经济发展新常</w:t>
      </w:r>
      <w:r w:rsidRPr="004A4DD6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lastRenderedPageBreak/>
        <w:t>态。贯彻落实新修正的《预算法》，全面推进依法理财工作，围绕“迈上新台阶，建设新武进”的目标，贯彻“民生优先、环保优先、节约集约优先”的方针，依法组织财政收入，科学安排财政支出，提高财政科学化、精细化管理水平，确保武进经济社会持续健康稳定发展。</w:t>
      </w:r>
    </w:p>
    <w:p w:rsidR="004A4DD6" w:rsidRPr="004A4DD6" w:rsidRDefault="004A4DD6" w:rsidP="004A4DD6">
      <w:pPr>
        <w:widowControl/>
        <w:spacing w:line="480" w:lineRule="auto"/>
        <w:ind w:firstLineChars="250" w:firstLine="750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4A4DD6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（二）主要任务</w:t>
      </w:r>
    </w:p>
    <w:p w:rsidR="004A4DD6" w:rsidRPr="004A4DD6" w:rsidRDefault="004A4DD6" w:rsidP="004A4DD6">
      <w:pPr>
        <w:widowControl/>
        <w:spacing w:line="480" w:lineRule="auto"/>
        <w:ind w:firstLineChars="250" w:firstLine="750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4A4DD6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1、促进经济转型升级。充分发挥财政政策和资金的导向作用，着力培植和发展税源经济，调整完善相关政策，重点培育战略性新兴产业和现代服务业，为全区财政收入持续稳定增长夯实基础。</w:t>
      </w:r>
    </w:p>
    <w:p w:rsidR="004A4DD6" w:rsidRPr="004A4DD6" w:rsidRDefault="004A4DD6" w:rsidP="004A4DD6">
      <w:pPr>
        <w:widowControl/>
        <w:spacing w:line="480" w:lineRule="auto"/>
        <w:ind w:firstLineChars="250" w:firstLine="750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4A4DD6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2、强化征收管理。严格依照法律法规组织税收收入，并建立与相关经济指标变化情况相衔接的考核体系；完善综合治税单位涉税信息共享平台建设，建立部门联动机制，积极打造信息共享、协作共建的协税护税网络。加强国有资产有偿使用收入的征收，依法收缴政府性基金和国有资本经营收益，深化镇级非税收入征管改革，确保各项非税收入应收尽收。</w:t>
      </w:r>
    </w:p>
    <w:p w:rsidR="004A4DD6" w:rsidRPr="004A4DD6" w:rsidRDefault="004A4DD6" w:rsidP="004A4DD6">
      <w:pPr>
        <w:widowControl/>
        <w:spacing w:line="480" w:lineRule="auto"/>
        <w:ind w:firstLineChars="250" w:firstLine="750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4A4DD6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3、提高民生普惠水平。一是稳定“三农”投入。安排农业专项经费，进一步加大支农投入，确保资金专款专用和资金使用的安全、规范和效益，杜绝挪用、套取财政资金现象的发生。二是完善社会保障体系。继续加大社会保障投入力度。三是深化医药卫生体制改革，提高全区医疗保障水平。四是进一步保障社会</w:t>
      </w:r>
      <w:r w:rsidRPr="004A4DD6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lastRenderedPageBreak/>
        <w:t>事业发展，支持我区教育、体育、文化事业发展。五是改善城镇生态环境，提升城镇长效综合管理水平。</w:t>
      </w:r>
    </w:p>
    <w:p w:rsidR="004A4DD6" w:rsidRPr="004A4DD6" w:rsidRDefault="004A4DD6" w:rsidP="004A4DD6">
      <w:pPr>
        <w:widowControl/>
        <w:spacing w:line="480" w:lineRule="auto"/>
        <w:ind w:firstLineChars="250" w:firstLine="750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4A4DD6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4、完善预算管理体制。贯彻国务院“关于深化预算管理制度改革的决定”精神，实施全面规范、公开透明的预算制度，将政府的收入和支出全部纳入预算管理；进一步完善基本支出定额标准体系，加快推进项目支出定额标准体系建设，充分发挥支出标准在预算编制和管理中的基础支撑作用；严格控制政府性楼堂馆所、“三公”经费等一般性支出。继续开展部门预算执行情况检查，各项支出必须以经批准的预算为依据，强化预算的刚性约束。</w:t>
      </w:r>
    </w:p>
    <w:p w:rsidR="004A4DD6" w:rsidRPr="004A4DD6" w:rsidRDefault="004A4DD6" w:rsidP="004A4DD6">
      <w:pPr>
        <w:widowControl/>
        <w:spacing w:line="480" w:lineRule="auto"/>
        <w:ind w:firstLineChars="250" w:firstLine="750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4A4DD6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5、全面开展预决算公开工作。根据《预算法》要求，从2015年起，全面开展政府预决算、部门预决算、“三公”经费预决算等信息公开工作。围绕建设法治政府、推进政务公开，厉行勤俭节约，规范权力运行，改进预算管理，不断提高财政预决算及“三公”经费预决算的透明度，切实保障公众的知情权、参与权、表达权和监督权，促进财政管理科学规范运作。</w:t>
      </w:r>
    </w:p>
    <w:p w:rsidR="004A4DD6" w:rsidRPr="004A4DD6" w:rsidRDefault="004A4DD6" w:rsidP="004A4DD6">
      <w:pPr>
        <w:widowControl/>
        <w:spacing w:line="480" w:lineRule="auto"/>
        <w:ind w:firstLineChars="250" w:firstLine="750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4A4DD6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6、着力改进工作作风。坚持以人为本、科学管理，不断增强全体财政干部的大局意识和服务意识，切实转变工作作风。推动完善内控制度建设，探索推进内控制度与信息系统全面融合。继续推进党风廉政建设，切实做到业务工作和反腐倡廉建设“两手抓、两手硬”。依托深化权力制约和监督，保障财政改革发展任务顺利完成。</w:t>
      </w:r>
    </w:p>
    <w:p w:rsidR="004A4DD6" w:rsidRPr="004A4DD6" w:rsidRDefault="004A4DD6" w:rsidP="004A4DD6">
      <w:pPr>
        <w:widowControl/>
        <w:spacing w:line="480" w:lineRule="auto"/>
        <w:ind w:firstLineChars="198" w:firstLine="596"/>
        <w:jc w:val="left"/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</w:pPr>
      <w:r w:rsidRPr="004A4DD6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lastRenderedPageBreak/>
        <w:t>四、2015年度收支预算情况说明</w:t>
      </w:r>
    </w:p>
    <w:p w:rsidR="004A4DD6" w:rsidRPr="004A4DD6" w:rsidRDefault="004A4DD6" w:rsidP="004A4DD6">
      <w:pPr>
        <w:widowControl/>
        <w:spacing w:line="420" w:lineRule="atLeast"/>
        <w:ind w:firstLine="600"/>
        <w:jc w:val="left"/>
        <w:rPr>
          <w:rFonts w:ascii="Simsun" w:eastAsia="宋体" w:hAnsi="Simsun" w:cs="宋体" w:hint="eastAsia"/>
          <w:color w:val="000000"/>
          <w:kern w:val="0"/>
          <w:sz w:val="24"/>
          <w:szCs w:val="21"/>
        </w:rPr>
      </w:pPr>
      <w:r w:rsidRPr="004A4DD6"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  <w:t>2015年度收支预算表中包含了武进区财政局机关、武进区财政预算编制审核中心、武进区财政结算中心、武进区非税收入管理办公室、武进区财政信息中心的收入和支出。区财政局现有在职职工74人，退休人员17人，共计91人。</w:t>
      </w:r>
    </w:p>
    <w:p w:rsidR="004A4DD6" w:rsidRPr="004A4DD6" w:rsidRDefault="004A4DD6" w:rsidP="004A4DD6">
      <w:pPr>
        <w:widowControl/>
        <w:spacing w:line="420" w:lineRule="atLeast"/>
        <w:ind w:firstLine="600"/>
        <w:jc w:val="left"/>
        <w:rPr>
          <w:rFonts w:ascii="Simsun" w:eastAsia="宋体" w:hAnsi="Simsun" w:cs="宋体"/>
          <w:color w:val="000000"/>
          <w:kern w:val="0"/>
          <w:sz w:val="24"/>
          <w:szCs w:val="21"/>
        </w:rPr>
      </w:pPr>
      <w:r w:rsidRPr="004A4DD6"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  <w:t>（一）收入预算</w:t>
      </w:r>
    </w:p>
    <w:p w:rsidR="004A4DD6" w:rsidRPr="004A4DD6" w:rsidRDefault="004A4DD6" w:rsidP="004A4DD6">
      <w:pPr>
        <w:widowControl/>
        <w:spacing w:line="420" w:lineRule="atLeast"/>
        <w:ind w:firstLine="600"/>
        <w:jc w:val="left"/>
        <w:rPr>
          <w:rFonts w:ascii="Simsun" w:eastAsia="宋体" w:hAnsi="Simsun" w:cs="宋体"/>
          <w:color w:val="000000"/>
          <w:kern w:val="0"/>
          <w:sz w:val="24"/>
          <w:szCs w:val="21"/>
        </w:rPr>
      </w:pPr>
      <w:r w:rsidRPr="004A4DD6"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  <w:t>财政拨款1291.43万元。</w:t>
      </w:r>
    </w:p>
    <w:p w:rsidR="004A4DD6" w:rsidRPr="004A4DD6" w:rsidRDefault="004A4DD6" w:rsidP="004A4DD6">
      <w:pPr>
        <w:widowControl/>
        <w:spacing w:line="420" w:lineRule="atLeast"/>
        <w:ind w:firstLineChars="200" w:firstLine="600"/>
        <w:jc w:val="left"/>
        <w:rPr>
          <w:rFonts w:ascii="Simsun" w:eastAsia="宋体" w:hAnsi="Simsun" w:cs="宋体"/>
          <w:color w:val="000000"/>
          <w:kern w:val="0"/>
          <w:sz w:val="24"/>
          <w:szCs w:val="21"/>
        </w:rPr>
      </w:pPr>
      <w:r w:rsidRPr="004A4DD6"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  <w:t>（二）支出预算</w:t>
      </w:r>
    </w:p>
    <w:p w:rsidR="004A4DD6" w:rsidRPr="004A4DD6" w:rsidRDefault="004A4DD6" w:rsidP="004A4DD6">
      <w:pPr>
        <w:widowControl/>
        <w:spacing w:line="420" w:lineRule="atLeast"/>
        <w:ind w:firstLineChars="200" w:firstLine="600"/>
        <w:jc w:val="left"/>
        <w:rPr>
          <w:rFonts w:ascii="Simsun" w:eastAsia="宋体" w:hAnsi="Simsun" w:cs="宋体"/>
          <w:color w:val="000000"/>
          <w:kern w:val="0"/>
          <w:sz w:val="24"/>
          <w:szCs w:val="21"/>
        </w:rPr>
      </w:pPr>
      <w:r w:rsidRPr="004A4DD6"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  <w:t>1、按功能科目分类，包括一般公共服务1102.27万元、医疗卫生与计划生育支出41.17万元、住房保障支出147.99万元。</w:t>
      </w:r>
    </w:p>
    <w:p w:rsidR="004A4DD6" w:rsidRPr="004A4DD6" w:rsidRDefault="004A4DD6" w:rsidP="004A4DD6">
      <w:pPr>
        <w:widowControl/>
        <w:spacing w:line="420" w:lineRule="atLeast"/>
        <w:ind w:firstLineChars="200" w:firstLine="600"/>
        <w:jc w:val="left"/>
        <w:rPr>
          <w:rFonts w:ascii="Simsun" w:eastAsia="宋体" w:hAnsi="Simsun" w:cs="宋体"/>
          <w:color w:val="000000"/>
          <w:kern w:val="0"/>
          <w:sz w:val="24"/>
          <w:szCs w:val="21"/>
        </w:rPr>
      </w:pPr>
      <w:r w:rsidRPr="004A4DD6"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  <w:t>（1）一般公共服务支出1102.27万元，主要</w:t>
      </w:r>
      <w:proofErr w:type="gramStart"/>
      <w:r w:rsidRPr="004A4DD6"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  <w:t>用于局</w:t>
      </w:r>
      <w:proofErr w:type="gramEnd"/>
      <w:r w:rsidRPr="004A4DD6"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  <w:t>机关及事业单位开展财政事务而发生的基本支出和专项支出。</w:t>
      </w:r>
    </w:p>
    <w:p w:rsidR="004A4DD6" w:rsidRPr="004A4DD6" w:rsidRDefault="004A4DD6" w:rsidP="004A4DD6">
      <w:pPr>
        <w:widowControl/>
        <w:spacing w:line="420" w:lineRule="atLeast"/>
        <w:ind w:firstLineChars="200" w:firstLine="600"/>
        <w:jc w:val="left"/>
        <w:rPr>
          <w:rFonts w:ascii="Simsun" w:eastAsia="宋体" w:hAnsi="Simsun" w:cs="宋体"/>
          <w:color w:val="000000"/>
          <w:kern w:val="0"/>
          <w:sz w:val="24"/>
          <w:szCs w:val="21"/>
        </w:rPr>
      </w:pPr>
      <w:r w:rsidRPr="004A4DD6"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  <w:t>（2）医疗卫生与计划生育支出41.17万元，主要</w:t>
      </w:r>
      <w:proofErr w:type="gramStart"/>
      <w:r w:rsidRPr="004A4DD6"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  <w:t>用于局</w:t>
      </w:r>
      <w:proofErr w:type="gramEnd"/>
      <w:r w:rsidRPr="004A4DD6"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  <w:t>机关及事业单位职工医疗保障支出。</w:t>
      </w:r>
    </w:p>
    <w:p w:rsidR="004A4DD6" w:rsidRPr="004A4DD6" w:rsidRDefault="004A4DD6" w:rsidP="004A4DD6">
      <w:pPr>
        <w:widowControl/>
        <w:spacing w:line="420" w:lineRule="atLeast"/>
        <w:ind w:firstLineChars="200" w:firstLine="600"/>
        <w:jc w:val="left"/>
        <w:rPr>
          <w:rFonts w:ascii="Simsun" w:eastAsia="宋体" w:hAnsi="Simsun" w:cs="宋体"/>
          <w:color w:val="000000"/>
          <w:kern w:val="0"/>
          <w:sz w:val="24"/>
          <w:szCs w:val="21"/>
        </w:rPr>
      </w:pPr>
      <w:r w:rsidRPr="004A4DD6"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  <w:t>（3）住房保障支出147.99万元，主要</w:t>
      </w:r>
      <w:proofErr w:type="gramStart"/>
      <w:r w:rsidRPr="004A4DD6"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  <w:t>用于局</w:t>
      </w:r>
      <w:proofErr w:type="gramEnd"/>
      <w:r w:rsidRPr="004A4DD6"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  <w:t>机关及事业单位按照国家有关规定为职工缴纳住房公积金、新职工补贴以及发放的提租补贴支出。</w:t>
      </w:r>
    </w:p>
    <w:p w:rsidR="004A4DD6" w:rsidRPr="004A4DD6" w:rsidRDefault="004A4DD6" w:rsidP="004A4DD6">
      <w:pPr>
        <w:widowControl/>
        <w:spacing w:line="420" w:lineRule="atLeast"/>
        <w:ind w:firstLine="600"/>
        <w:jc w:val="left"/>
        <w:rPr>
          <w:rFonts w:ascii="Simsun" w:eastAsia="宋体" w:hAnsi="Simsun" w:cs="宋体"/>
          <w:color w:val="000000"/>
          <w:kern w:val="0"/>
          <w:sz w:val="24"/>
          <w:szCs w:val="21"/>
        </w:rPr>
      </w:pPr>
      <w:r w:rsidRPr="004A4DD6"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  <w:t>2、按经济科目分类，包括基本支出1044.43万元，其中：人员经费950.25万元，包括基本工资、津贴、离退休费、社会保障费等；公用经费94.18万元，主要用于单位日常办公、业务活动方面的经常性开支，包括公务接待、办公费、会议费等。项目支出247万元，主要包括金</w:t>
      </w:r>
      <w:proofErr w:type="gramStart"/>
      <w:r w:rsidRPr="004A4DD6"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  <w:t>财工程</w:t>
      </w:r>
      <w:proofErr w:type="gramEnd"/>
      <w:r w:rsidRPr="004A4DD6"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  <w:t>信息系统软硬件维护及线路</w:t>
      </w:r>
      <w:r w:rsidRPr="004A4DD6"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  <w:lastRenderedPageBreak/>
        <w:t>租用、法制财政建设及财税政策宣传、全系统财政干部业务培训、财务账册、凭证、档案盒、财政票据印刷等。</w:t>
      </w:r>
    </w:p>
    <w:p w:rsidR="004A4DD6" w:rsidRPr="004A4DD6" w:rsidRDefault="004A4DD6" w:rsidP="004A4DD6">
      <w:pPr>
        <w:widowControl/>
        <w:spacing w:line="420" w:lineRule="atLeast"/>
        <w:ind w:firstLineChars="200" w:firstLine="600"/>
        <w:jc w:val="left"/>
        <w:rPr>
          <w:rFonts w:ascii="Simsun" w:eastAsia="宋体" w:hAnsi="Simsun" w:cs="宋体"/>
          <w:color w:val="000000"/>
          <w:kern w:val="0"/>
          <w:sz w:val="24"/>
          <w:szCs w:val="21"/>
        </w:rPr>
      </w:pPr>
      <w:r w:rsidRPr="004A4DD6"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  <w:t>五、“三公”等经费预算情况</w:t>
      </w:r>
    </w:p>
    <w:p w:rsidR="004A4DD6" w:rsidRPr="004A4DD6" w:rsidRDefault="004A4DD6" w:rsidP="004A4DD6">
      <w:pPr>
        <w:widowControl/>
        <w:spacing w:line="420" w:lineRule="atLeast"/>
        <w:ind w:firstLineChars="200" w:firstLine="600"/>
        <w:jc w:val="left"/>
        <w:rPr>
          <w:rFonts w:ascii="Simsun" w:eastAsia="宋体" w:hAnsi="Simsun" w:cs="宋体"/>
          <w:color w:val="000000"/>
          <w:kern w:val="0"/>
          <w:sz w:val="24"/>
          <w:szCs w:val="21"/>
        </w:rPr>
      </w:pPr>
      <w:r w:rsidRPr="004A4DD6"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  <w:t>2015年“三公”等经费预算41万元，其中：公务接待费3万元，会议费17.5万元，培训费20.5万元。</w:t>
      </w:r>
    </w:p>
    <w:p w:rsidR="004A4DD6" w:rsidRPr="004A4DD6" w:rsidRDefault="004A4DD6" w:rsidP="004A4DD6">
      <w:pPr>
        <w:widowControl/>
        <w:spacing w:line="420" w:lineRule="atLeast"/>
        <w:ind w:firstLineChars="200" w:firstLine="6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A4DD6"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  <w:t>“三公”经费基本定义：“三公”经费包括因公出国（境）费、公务用车购置及运行费、公务接待费。因公出国（境）费，指单位工作人员公务出国（境）的住宿费、旅费、伙食补助费、杂费、培训费等支出。公务用车购置及运行费，指单位公务用车购置费及租用费、燃料费、维修费、过路过桥费、保险费、安全奖励费用等支出，公务用车指用于履行公务的机动车辆，包括公务用车和执法执勤用车。公务接待费，指单位按规定开支的各类公务接待（含外宾接待）支出。</w:t>
      </w:r>
    </w:p>
    <w:p w:rsidR="004A4DD6" w:rsidRPr="004A4DD6" w:rsidRDefault="004A4DD6" w:rsidP="004A4DD6">
      <w:pPr>
        <w:widowControl/>
        <w:spacing w:line="48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hyperlink r:id="rId5" w:history="1">
        <w:r w:rsidRPr="004A4DD6">
          <w:rPr>
            <w:rFonts w:ascii="宋体" w:eastAsia="宋体" w:hAnsi="宋体" w:cs="宋体"/>
            <w:color w:val="333333"/>
            <w:kern w:val="0"/>
            <w:sz w:val="24"/>
            <w:szCs w:val="24"/>
          </w:rPr>
          <w:t>附件：常州市武进区财政局2015年部门预算公开报表（点击下载）</w:t>
        </w:r>
      </w:hyperlink>
    </w:p>
    <w:p w:rsidR="00332F6B" w:rsidRPr="004A4DD6" w:rsidRDefault="00332F6B">
      <w:pPr>
        <w:rPr>
          <w:rFonts w:hint="eastAsia"/>
        </w:rPr>
      </w:pPr>
      <w:bookmarkStart w:id="0" w:name="_GoBack"/>
      <w:bookmarkEnd w:id="0"/>
    </w:p>
    <w:sectPr w:rsidR="00332F6B" w:rsidRPr="004A4D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B01"/>
    <w:rsid w:val="00332F6B"/>
    <w:rsid w:val="004A4DD6"/>
    <w:rsid w:val="0058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4DD6"/>
    <w:rPr>
      <w:strike w:val="0"/>
      <w:dstrike w:val="0"/>
      <w:color w:val="333333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4DD6"/>
    <w:rPr>
      <w:strike w:val="0"/>
      <w:dstrike w:val="0"/>
      <w:color w:val="33333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jfb.gov.cn/Down.asp?FileUrl=/Files/DownLoad/&#24120;&#24030;&#24066;&#27494;&#36827;&#21306;&#36130;&#25919;&#23616;2015&#24180;&#37096;&#38376;&#39044;&#31639;&#20844;&#24320;&#25253;&#34920;.r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606</Words>
  <Characters>3458</Characters>
  <Application>Microsoft Office Word</Application>
  <DocSecurity>0</DocSecurity>
  <Lines>28</Lines>
  <Paragraphs>8</Paragraphs>
  <ScaleCrop>false</ScaleCrop>
  <Company>微软中国</Company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2017-07-06T06:21:00Z</dcterms:created>
  <dcterms:modified xsi:type="dcterms:W3CDTF">2017-07-06T06:22:00Z</dcterms:modified>
</cp:coreProperties>
</file>