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36"/>
        </w:rPr>
      </w:pPr>
      <w:r>
        <w:rPr>
          <w:rFonts w:hint="eastAsia" w:asciiTheme="majorEastAsia" w:hAnsiTheme="majorEastAsia" w:eastAsiaTheme="majorEastAsia"/>
          <w:b/>
          <w:sz w:val="36"/>
        </w:rPr>
        <w:t>2017年秋季开学专项督导检查评估细则</w:t>
      </w:r>
    </w:p>
    <w:p>
      <w:pPr>
        <w:jc w:val="left"/>
        <w:rPr>
          <w:rFonts w:hint="eastAsia" w:ascii="宋体" w:hAnsi="宋体"/>
          <w:sz w:val="28"/>
          <w:szCs w:val="28"/>
          <w:lang w:val="zh-CN"/>
        </w:rPr>
      </w:pPr>
      <w:r>
        <w:rPr>
          <w:rFonts w:hint="eastAsia" w:ascii="宋体" w:hAnsi="宋体"/>
          <w:sz w:val="28"/>
          <w:szCs w:val="28"/>
          <w:lang w:val="zh-CN"/>
        </w:rPr>
        <w:t>单位（公章）：                        督查日期：</w:t>
      </w:r>
    </w:p>
    <w:p>
      <w:pPr>
        <w:jc w:val="left"/>
        <w:rPr>
          <w:rFonts w:hint="eastAsia" w:ascii="宋体" w:hAnsi="宋体" w:eastAsiaTheme="minorEastAsia"/>
          <w:sz w:val="28"/>
          <w:szCs w:val="28"/>
          <w:lang w:val="en-US" w:eastAsia="zh-CN"/>
        </w:rPr>
      </w:pPr>
      <w:r>
        <w:rPr>
          <w:rFonts w:hint="eastAsia" w:ascii="宋体" w:hAnsi="宋体"/>
          <w:sz w:val="28"/>
          <w:szCs w:val="28"/>
          <w:lang w:val="en-US" w:eastAsia="zh-CN"/>
        </w:rPr>
        <w:t>校长签名：                           督学签名：</w:t>
      </w:r>
    </w:p>
    <w:tbl>
      <w:tblPr>
        <w:tblStyle w:val="6"/>
        <w:tblW w:w="89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1445"/>
        <w:gridCol w:w="5396"/>
        <w:gridCol w:w="465"/>
        <w:gridCol w:w="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1215" w:type="dxa"/>
            <w:vMerge w:val="restart"/>
            <w:vAlign w:val="center"/>
          </w:tcPr>
          <w:p>
            <w:pPr>
              <w:autoSpaceDE w:val="0"/>
              <w:autoSpaceDN w:val="0"/>
              <w:adjustRightInd w:val="0"/>
              <w:jc w:val="center"/>
              <w:rPr>
                <w:rFonts w:asciiTheme="minorEastAsia" w:hAnsiTheme="minorEastAsia"/>
                <w:b/>
                <w:sz w:val="24"/>
                <w:szCs w:val="24"/>
                <w:lang w:val="zh-CN"/>
              </w:rPr>
            </w:pPr>
            <w:r>
              <w:rPr>
                <w:rFonts w:hint="eastAsia" w:asciiTheme="minorEastAsia" w:hAnsiTheme="minorEastAsia"/>
                <w:b/>
                <w:sz w:val="24"/>
                <w:szCs w:val="24"/>
                <w:lang w:val="zh-CN"/>
              </w:rPr>
              <w:t>一级指标</w:t>
            </w:r>
          </w:p>
        </w:tc>
        <w:tc>
          <w:tcPr>
            <w:tcW w:w="1445" w:type="dxa"/>
            <w:vMerge w:val="restart"/>
            <w:vAlign w:val="center"/>
          </w:tcPr>
          <w:p>
            <w:pPr>
              <w:autoSpaceDE w:val="0"/>
              <w:autoSpaceDN w:val="0"/>
              <w:adjustRightInd w:val="0"/>
              <w:jc w:val="center"/>
              <w:rPr>
                <w:rFonts w:asciiTheme="minorEastAsia" w:hAnsiTheme="minorEastAsia"/>
                <w:b/>
                <w:sz w:val="24"/>
                <w:szCs w:val="24"/>
                <w:lang w:val="zh-CN"/>
              </w:rPr>
            </w:pPr>
            <w:r>
              <w:rPr>
                <w:rFonts w:hint="eastAsia" w:asciiTheme="minorEastAsia" w:hAnsiTheme="minorEastAsia"/>
                <w:b/>
                <w:sz w:val="24"/>
                <w:szCs w:val="24"/>
                <w:lang w:val="zh-CN"/>
              </w:rPr>
              <w:t>二级指标</w:t>
            </w:r>
          </w:p>
        </w:tc>
        <w:tc>
          <w:tcPr>
            <w:tcW w:w="5396" w:type="dxa"/>
            <w:vMerge w:val="restart"/>
            <w:vAlign w:val="center"/>
          </w:tcPr>
          <w:p>
            <w:pPr>
              <w:autoSpaceDE w:val="0"/>
              <w:autoSpaceDN w:val="0"/>
              <w:adjustRightInd w:val="0"/>
              <w:jc w:val="center"/>
              <w:rPr>
                <w:rFonts w:asciiTheme="minorEastAsia" w:hAnsiTheme="minorEastAsia"/>
                <w:b/>
                <w:sz w:val="24"/>
                <w:szCs w:val="24"/>
                <w:lang w:val="zh-CN"/>
              </w:rPr>
            </w:pPr>
            <w:r>
              <w:rPr>
                <w:rFonts w:hint="eastAsia" w:asciiTheme="minorEastAsia" w:hAnsiTheme="minorEastAsia"/>
                <w:b/>
                <w:sz w:val="24"/>
                <w:szCs w:val="24"/>
                <w:lang w:val="zh-CN"/>
              </w:rPr>
              <w:t>评分细则</w:t>
            </w:r>
          </w:p>
        </w:tc>
        <w:tc>
          <w:tcPr>
            <w:tcW w:w="915" w:type="dxa"/>
            <w:gridSpan w:val="2"/>
            <w:vAlign w:val="center"/>
          </w:tcPr>
          <w:p>
            <w:pPr>
              <w:autoSpaceDE w:val="0"/>
              <w:autoSpaceDN w:val="0"/>
              <w:adjustRightInd w:val="0"/>
              <w:spacing w:line="280" w:lineRule="exact"/>
              <w:jc w:val="center"/>
              <w:rPr>
                <w:rFonts w:asciiTheme="minorEastAsia" w:hAnsiTheme="minorEastAsia"/>
                <w:b/>
                <w:sz w:val="24"/>
                <w:lang w:val="zh-CN"/>
              </w:rPr>
            </w:pPr>
            <w:r>
              <w:rPr>
                <w:rFonts w:hint="eastAsia" w:asciiTheme="minorEastAsia" w:hAnsiTheme="minorEastAsia"/>
                <w:b/>
                <w:sz w:val="24"/>
                <w:lang w:val="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215" w:type="dxa"/>
            <w:vMerge w:val="continue"/>
            <w:vAlign w:val="center"/>
          </w:tcPr>
          <w:p>
            <w:pPr>
              <w:autoSpaceDE w:val="0"/>
              <w:autoSpaceDN w:val="0"/>
              <w:adjustRightInd w:val="0"/>
              <w:jc w:val="center"/>
              <w:rPr>
                <w:rFonts w:asciiTheme="minorEastAsia" w:hAnsiTheme="minorEastAsia"/>
                <w:b/>
                <w:sz w:val="24"/>
                <w:szCs w:val="24"/>
                <w:lang w:val="zh-CN"/>
              </w:rPr>
            </w:pPr>
          </w:p>
        </w:tc>
        <w:tc>
          <w:tcPr>
            <w:tcW w:w="1445" w:type="dxa"/>
            <w:vMerge w:val="continue"/>
            <w:vAlign w:val="center"/>
          </w:tcPr>
          <w:p>
            <w:pPr>
              <w:autoSpaceDE w:val="0"/>
              <w:autoSpaceDN w:val="0"/>
              <w:adjustRightInd w:val="0"/>
              <w:jc w:val="center"/>
              <w:rPr>
                <w:rFonts w:asciiTheme="minorEastAsia" w:hAnsiTheme="minorEastAsia"/>
                <w:b/>
                <w:sz w:val="24"/>
                <w:szCs w:val="24"/>
                <w:lang w:val="zh-CN"/>
              </w:rPr>
            </w:pPr>
          </w:p>
        </w:tc>
        <w:tc>
          <w:tcPr>
            <w:tcW w:w="5396" w:type="dxa"/>
            <w:vMerge w:val="continue"/>
            <w:vAlign w:val="center"/>
          </w:tcPr>
          <w:p>
            <w:pPr>
              <w:autoSpaceDE w:val="0"/>
              <w:autoSpaceDN w:val="0"/>
              <w:adjustRightInd w:val="0"/>
              <w:jc w:val="center"/>
              <w:rPr>
                <w:rFonts w:asciiTheme="minorEastAsia" w:hAnsiTheme="minorEastAsia"/>
                <w:b/>
                <w:sz w:val="24"/>
                <w:szCs w:val="24"/>
                <w:lang w:val="zh-CN"/>
              </w:rPr>
            </w:pPr>
          </w:p>
        </w:tc>
        <w:tc>
          <w:tcPr>
            <w:tcW w:w="465" w:type="dxa"/>
            <w:vAlign w:val="center"/>
          </w:tcPr>
          <w:p>
            <w:pPr>
              <w:autoSpaceDE w:val="0"/>
              <w:autoSpaceDN w:val="0"/>
              <w:adjustRightInd w:val="0"/>
              <w:spacing w:line="280" w:lineRule="exact"/>
              <w:rPr>
                <w:rFonts w:asciiTheme="minorEastAsia" w:hAnsiTheme="minorEastAsia"/>
                <w:b/>
                <w:sz w:val="24"/>
                <w:lang w:val="zh-CN"/>
              </w:rPr>
            </w:pPr>
            <w:r>
              <w:rPr>
                <w:rFonts w:hint="eastAsia" w:asciiTheme="minorEastAsia" w:hAnsiTheme="minorEastAsia"/>
                <w:b/>
                <w:sz w:val="24"/>
                <w:lang w:val="zh-CN"/>
              </w:rPr>
              <w:t>自评</w:t>
            </w:r>
          </w:p>
        </w:tc>
        <w:tc>
          <w:tcPr>
            <w:tcW w:w="450" w:type="dxa"/>
            <w:vAlign w:val="center"/>
          </w:tcPr>
          <w:p>
            <w:pPr>
              <w:autoSpaceDE w:val="0"/>
              <w:autoSpaceDN w:val="0"/>
              <w:adjustRightInd w:val="0"/>
              <w:spacing w:line="280" w:lineRule="exact"/>
              <w:jc w:val="center"/>
              <w:rPr>
                <w:rFonts w:asciiTheme="minorEastAsia" w:hAnsiTheme="minorEastAsia"/>
                <w:b/>
                <w:sz w:val="24"/>
                <w:lang w:val="zh-CN"/>
              </w:rPr>
            </w:pPr>
            <w:r>
              <w:rPr>
                <w:rFonts w:hint="eastAsia" w:asciiTheme="minorEastAsia" w:hAnsiTheme="minorEastAsia"/>
                <w:b/>
                <w:sz w:val="24"/>
                <w:lang w:val="zh-CN"/>
              </w:rPr>
              <w:t>督查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Merge w:val="restart"/>
            <w:vAlign w:val="center"/>
          </w:tcPr>
          <w:p>
            <w:pPr>
              <w:spacing w:line="340" w:lineRule="exact"/>
              <w:jc w:val="center"/>
              <w:rPr>
                <w:rFonts w:ascii="仿宋_GB2312" w:eastAsia="仿宋_GB2312"/>
                <w:b/>
                <w:sz w:val="24"/>
                <w:szCs w:val="24"/>
              </w:rPr>
            </w:pPr>
            <w:r>
              <w:rPr>
                <w:rFonts w:hint="eastAsia" w:ascii="仿宋_GB2312" w:eastAsia="仿宋_GB2312"/>
                <w:b/>
                <w:sz w:val="24"/>
                <w:szCs w:val="24"/>
              </w:rPr>
              <w:t>一、开学条件保障</w:t>
            </w:r>
            <w:r>
              <w:rPr>
                <w:rFonts w:hint="eastAsia" w:ascii="仿宋_GB2312" w:eastAsia="仿宋_GB2312"/>
                <w:sz w:val="24"/>
                <w:szCs w:val="24"/>
              </w:rPr>
              <w:t>(35分)</w:t>
            </w: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1.组织师生按时返校情况。(5分)</w:t>
            </w:r>
          </w:p>
        </w:tc>
        <w:tc>
          <w:tcPr>
            <w:tcW w:w="5396"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教职员工是否及时到岗，学生是否按时返校。(5分)</w:t>
            </w:r>
          </w:p>
        </w:tc>
        <w:tc>
          <w:tcPr>
            <w:tcW w:w="465" w:type="dxa"/>
            <w:vAlign w:val="center"/>
          </w:tcPr>
          <w:p>
            <w:pPr>
              <w:spacing w:line="340" w:lineRule="exact"/>
              <w:jc w:val="left"/>
              <w:rPr>
                <w:rFonts w:ascii="仿宋_GB2312" w:eastAsia="仿宋_GB2312"/>
                <w:b/>
                <w:sz w:val="24"/>
                <w:szCs w:val="24"/>
              </w:rPr>
            </w:pPr>
          </w:p>
        </w:tc>
        <w:tc>
          <w:tcPr>
            <w:tcW w:w="450" w:type="dxa"/>
            <w:vAlign w:val="center"/>
          </w:tcPr>
          <w:p>
            <w:pPr>
              <w:spacing w:line="340" w:lineRule="exact"/>
              <w:jc w:val="left"/>
              <w:rPr>
                <w:rFonts w:ascii="仿宋_GB2312"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Merge w:val="continue"/>
            <w:vAlign w:val="center"/>
          </w:tcPr>
          <w:p>
            <w:pPr>
              <w:spacing w:line="340" w:lineRule="exact"/>
              <w:jc w:val="center"/>
              <w:rPr>
                <w:rFonts w:ascii="仿宋_GB2312" w:eastAsia="仿宋_GB2312"/>
                <w:b/>
                <w:sz w:val="24"/>
                <w:szCs w:val="24"/>
              </w:rPr>
            </w:pP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2.落实学生资助政策情况。(5分)</w:t>
            </w:r>
          </w:p>
        </w:tc>
        <w:tc>
          <w:tcPr>
            <w:tcW w:w="5396"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是否积极落实国家资助政策，是否出现学生因家庭经济困难而辍学。(5分)</w:t>
            </w:r>
          </w:p>
        </w:tc>
        <w:tc>
          <w:tcPr>
            <w:tcW w:w="465" w:type="dxa"/>
            <w:vAlign w:val="center"/>
          </w:tcPr>
          <w:p>
            <w:pPr>
              <w:spacing w:line="340" w:lineRule="exact"/>
              <w:jc w:val="left"/>
              <w:rPr>
                <w:rFonts w:ascii="仿宋_GB2312" w:eastAsia="仿宋_GB2312"/>
                <w:b/>
                <w:sz w:val="24"/>
                <w:szCs w:val="24"/>
              </w:rPr>
            </w:pPr>
          </w:p>
        </w:tc>
        <w:tc>
          <w:tcPr>
            <w:tcW w:w="450" w:type="dxa"/>
            <w:vAlign w:val="center"/>
          </w:tcPr>
          <w:p>
            <w:pPr>
              <w:spacing w:line="340" w:lineRule="exact"/>
              <w:jc w:val="left"/>
              <w:rPr>
                <w:rFonts w:ascii="仿宋_GB2312"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Merge w:val="continue"/>
            <w:vAlign w:val="center"/>
          </w:tcPr>
          <w:p>
            <w:pPr>
              <w:spacing w:line="340" w:lineRule="exact"/>
              <w:jc w:val="center"/>
              <w:rPr>
                <w:rFonts w:ascii="仿宋_GB2312" w:eastAsia="仿宋_GB2312"/>
                <w:b/>
                <w:sz w:val="24"/>
                <w:szCs w:val="24"/>
              </w:rPr>
            </w:pP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3.义务教育道德与法治、语文、历史三科统编教材是否按照中央要求，在所有地区起始年级实现全覆盖使用。(5分)</w:t>
            </w:r>
          </w:p>
        </w:tc>
        <w:tc>
          <w:tcPr>
            <w:tcW w:w="5396"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义务教育小学科学一年级教材是否按教学用书要求在所有学校都开设课程。小学书法作为必修课程，是否都已开课。教材和教辅材料是否符合国家有关规定要求。教材选用工作是否符合《中小学教科书选用管理暂行办法》有关规定。是否在开课前将教材发放到学生手中。教辅材料的选用是否符合《中小学教辅材料管理办法》有关规定。(5分)</w:t>
            </w:r>
          </w:p>
        </w:tc>
        <w:tc>
          <w:tcPr>
            <w:tcW w:w="465" w:type="dxa"/>
            <w:vAlign w:val="center"/>
          </w:tcPr>
          <w:p>
            <w:pPr>
              <w:spacing w:line="340" w:lineRule="exact"/>
              <w:jc w:val="left"/>
              <w:rPr>
                <w:rFonts w:ascii="仿宋_GB2312" w:eastAsia="仿宋_GB2312"/>
                <w:b/>
                <w:sz w:val="24"/>
                <w:szCs w:val="24"/>
              </w:rPr>
            </w:pPr>
          </w:p>
        </w:tc>
        <w:tc>
          <w:tcPr>
            <w:tcW w:w="450" w:type="dxa"/>
            <w:vAlign w:val="center"/>
          </w:tcPr>
          <w:p>
            <w:pPr>
              <w:spacing w:line="340" w:lineRule="exact"/>
              <w:jc w:val="left"/>
              <w:rPr>
                <w:rFonts w:ascii="仿宋_GB2312"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Merge w:val="continue"/>
            <w:vAlign w:val="center"/>
          </w:tcPr>
          <w:p>
            <w:pPr>
              <w:spacing w:line="340" w:lineRule="exact"/>
              <w:jc w:val="center"/>
              <w:rPr>
                <w:rFonts w:ascii="仿宋_GB2312" w:eastAsia="仿宋_GB2312"/>
                <w:b/>
                <w:sz w:val="24"/>
                <w:szCs w:val="24"/>
              </w:rPr>
            </w:pP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4.实验室及实习、实训保障情况。(5分)</w:t>
            </w:r>
          </w:p>
        </w:tc>
        <w:tc>
          <w:tcPr>
            <w:tcW w:w="5396"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实验室、实习场所及其设施设备配置是否符合教学需要，运行维护是否符合国家规范。职业院校落实《职业学校学生实习管理规定》情况以及校内实训基地和校外实习基地条件是否满足教学计划需要，管理制度是否健全，“双师型”教师是否满足教育教学需要。(5分)</w:t>
            </w:r>
          </w:p>
        </w:tc>
        <w:tc>
          <w:tcPr>
            <w:tcW w:w="465" w:type="dxa"/>
            <w:vAlign w:val="center"/>
          </w:tcPr>
          <w:p>
            <w:pPr>
              <w:spacing w:line="340" w:lineRule="exact"/>
              <w:jc w:val="left"/>
              <w:rPr>
                <w:rFonts w:ascii="仿宋_GB2312" w:eastAsia="仿宋_GB2312"/>
                <w:b/>
                <w:sz w:val="24"/>
                <w:szCs w:val="24"/>
              </w:rPr>
            </w:pPr>
          </w:p>
        </w:tc>
        <w:tc>
          <w:tcPr>
            <w:tcW w:w="450" w:type="dxa"/>
            <w:vAlign w:val="center"/>
          </w:tcPr>
          <w:p>
            <w:pPr>
              <w:spacing w:line="340" w:lineRule="exact"/>
              <w:jc w:val="left"/>
              <w:rPr>
                <w:rFonts w:ascii="仿宋_GB2312"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Merge w:val="continue"/>
            <w:vAlign w:val="center"/>
          </w:tcPr>
          <w:p>
            <w:pPr>
              <w:spacing w:line="340" w:lineRule="exact"/>
              <w:jc w:val="center"/>
              <w:rPr>
                <w:rFonts w:ascii="仿宋_GB2312" w:eastAsia="仿宋_GB2312"/>
                <w:b/>
                <w:sz w:val="24"/>
                <w:szCs w:val="24"/>
              </w:rPr>
            </w:pP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5.后勤保障情况。(5分)</w:t>
            </w:r>
          </w:p>
        </w:tc>
        <w:tc>
          <w:tcPr>
            <w:tcW w:w="5396" w:type="dxa"/>
            <w:vAlign w:val="center"/>
          </w:tcPr>
          <w:p>
            <w:pPr>
              <w:spacing w:line="340" w:lineRule="exact"/>
              <w:jc w:val="left"/>
              <w:rPr>
                <w:rFonts w:ascii="仿宋_GB2312" w:eastAsia="仿宋_GB2312"/>
                <w:sz w:val="24"/>
                <w:szCs w:val="24"/>
              </w:rPr>
            </w:pPr>
            <w:r>
              <w:rPr>
                <w:rFonts w:hint="eastAsia" w:ascii="仿宋_GB2312" w:eastAsia="仿宋_GB2312"/>
                <w:sz w:val="24"/>
                <w:szCs w:val="24"/>
              </w:rPr>
              <w:t>学校网络、多媒体设备、教学终端等各种教学设施设备及生活设施设备是否经过检修维护，饮食、住宿、水电暖等各项后勤保障工作是否到位。(5分)</w:t>
            </w:r>
          </w:p>
        </w:tc>
        <w:tc>
          <w:tcPr>
            <w:tcW w:w="465" w:type="dxa"/>
            <w:vAlign w:val="center"/>
          </w:tcPr>
          <w:p>
            <w:pPr>
              <w:spacing w:line="340" w:lineRule="exact"/>
              <w:jc w:val="left"/>
              <w:rPr>
                <w:rFonts w:ascii="仿宋_GB2312" w:eastAsia="仿宋_GB2312"/>
                <w:sz w:val="24"/>
                <w:szCs w:val="24"/>
              </w:rPr>
            </w:pPr>
          </w:p>
        </w:tc>
        <w:tc>
          <w:tcPr>
            <w:tcW w:w="450" w:type="dxa"/>
            <w:vAlign w:val="center"/>
          </w:tcPr>
          <w:p>
            <w:pPr>
              <w:spacing w:line="340" w:lineRule="exact"/>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Merge w:val="continue"/>
            <w:vAlign w:val="center"/>
          </w:tcPr>
          <w:p>
            <w:pPr>
              <w:spacing w:line="340" w:lineRule="exact"/>
              <w:jc w:val="center"/>
              <w:rPr>
                <w:rFonts w:ascii="仿宋_GB2312" w:eastAsia="仿宋_GB2312"/>
                <w:b/>
                <w:sz w:val="24"/>
                <w:szCs w:val="24"/>
              </w:rPr>
            </w:pP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6.经费保障机制落实情况。(5分)</w:t>
            </w:r>
          </w:p>
        </w:tc>
        <w:tc>
          <w:tcPr>
            <w:tcW w:w="5396" w:type="dxa"/>
            <w:vAlign w:val="center"/>
          </w:tcPr>
          <w:p>
            <w:pPr>
              <w:spacing w:line="340" w:lineRule="exact"/>
              <w:jc w:val="left"/>
              <w:rPr>
                <w:rFonts w:ascii="仿宋_GB2312" w:eastAsia="仿宋_GB2312"/>
                <w:sz w:val="24"/>
                <w:szCs w:val="24"/>
              </w:rPr>
            </w:pPr>
            <w:r>
              <w:rPr>
                <w:rFonts w:hint="eastAsia" w:ascii="仿宋_GB2312" w:eastAsia="仿宋_GB2312"/>
                <w:sz w:val="24"/>
                <w:szCs w:val="24"/>
              </w:rPr>
              <w:t>是否统一城乡义务教育学校生均公用经费基准定额并落实资金，是否对学生规模不足100人的村小学和教学点按100人核定公用经费。是否落实高职生均拨款制度，是否采取措施保障今年生均财政拨款标准不低于12000元。(5分)</w:t>
            </w:r>
          </w:p>
        </w:tc>
        <w:tc>
          <w:tcPr>
            <w:tcW w:w="465" w:type="dxa"/>
            <w:vAlign w:val="center"/>
          </w:tcPr>
          <w:p>
            <w:pPr>
              <w:spacing w:line="340" w:lineRule="exact"/>
              <w:jc w:val="left"/>
              <w:rPr>
                <w:rFonts w:ascii="仿宋_GB2312" w:eastAsia="仿宋_GB2312"/>
                <w:sz w:val="24"/>
                <w:szCs w:val="24"/>
              </w:rPr>
            </w:pPr>
          </w:p>
        </w:tc>
        <w:tc>
          <w:tcPr>
            <w:tcW w:w="450" w:type="dxa"/>
            <w:vAlign w:val="center"/>
          </w:tcPr>
          <w:p>
            <w:pPr>
              <w:spacing w:line="340" w:lineRule="exact"/>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Merge w:val="continue"/>
            <w:vAlign w:val="center"/>
          </w:tcPr>
          <w:p>
            <w:pPr>
              <w:spacing w:line="340" w:lineRule="exact"/>
              <w:jc w:val="center"/>
              <w:rPr>
                <w:rFonts w:ascii="仿宋_GB2312" w:eastAsia="仿宋_GB2312"/>
                <w:b/>
                <w:sz w:val="24"/>
                <w:szCs w:val="24"/>
              </w:rPr>
            </w:pP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7.开学主题教育活动情况。(5分)</w:t>
            </w:r>
          </w:p>
        </w:tc>
        <w:tc>
          <w:tcPr>
            <w:tcW w:w="5396" w:type="dxa"/>
            <w:vAlign w:val="center"/>
          </w:tcPr>
          <w:p>
            <w:pPr>
              <w:spacing w:line="340" w:lineRule="exact"/>
              <w:jc w:val="left"/>
              <w:rPr>
                <w:rFonts w:ascii="仿宋_GB2312" w:eastAsia="仿宋_GB2312"/>
                <w:sz w:val="24"/>
                <w:szCs w:val="24"/>
              </w:rPr>
            </w:pPr>
            <w:r>
              <w:rPr>
                <w:rFonts w:hint="eastAsia" w:ascii="仿宋_GB2312" w:eastAsia="仿宋_GB2312"/>
                <w:sz w:val="24"/>
                <w:szCs w:val="24"/>
              </w:rPr>
              <w:t>是否认真落实《中小学守则(2015年修订)》，做到上墙、入屏，并开展爱学习、爱劳动、爱祖国“三爱”和节粮、节水、节电“三节”教育活动以及安全防范主题教育活动。是否做好新生心理健康状况普查和心理危机排查工作。(5分)</w:t>
            </w:r>
          </w:p>
        </w:tc>
        <w:tc>
          <w:tcPr>
            <w:tcW w:w="465" w:type="dxa"/>
            <w:vAlign w:val="center"/>
          </w:tcPr>
          <w:p>
            <w:pPr>
              <w:spacing w:line="340" w:lineRule="exact"/>
              <w:jc w:val="left"/>
              <w:rPr>
                <w:rFonts w:ascii="仿宋_GB2312" w:eastAsia="仿宋_GB2312"/>
                <w:sz w:val="24"/>
                <w:szCs w:val="24"/>
              </w:rPr>
            </w:pPr>
          </w:p>
        </w:tc>
        <w:tc>
          <w:tcPr>
            <w:tcW w:w="450" w:type="dxa"/>
            <w:vAlign w:val="center"/>
          </w:tcPr>
          <w:p>
            <w:pPr>
              <w:spacing w:line="340" w:lineRule="exact"/>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Align w:val="center"/>
          </w:tcPr>
          <w:p>
            <w:pPr>
              <w:spacing w:line="340" w:lineRule="exact"/>
              <w:jc w:val="center"/>
              <w:rPr>
                <w:rFonts w:ascii="仿宋_GB2312" w:eastAsia="仿宋_GB2312"/>
                <w:b/>
                <w:sz w:val="24"/>
                <w:szCs w:val="24"/>
              </w:rPr>
            </w:pPr>
            <w:r>
              <w:rPr>
                <w:rFonts w:hint="eastAsia" w:ascii="仿宋_GB2312" w:eastAsia="仿宋_GB2312"/>
                <w:b/>
                <w:sz w:val="24"/>
                <w:szCs w:val="24"/>
              </w:rPr>
              <w:t>二、校舍安全管理</w:t>
            </w:r>
          </w:p>
          <w:p>
            <w:pPr>
              <w:spacing w:line="340" w:lineRule="exact"/>
              <w:jc w:val="center"/>
              <w:rPr>
                <w:rFonts w:ascii="仿宋_GB2312" w:eastAsia="仿宋_GB2312"/>
                <w:b/>
                <w:sz w:val="24"/>
                <w:szCs w:val="24"/>
              </w:rPr>
            </w:pPr>
            <w:r>
              <w:rPr>
                <w:rFonts w:hint="eastAsia" w:ascii="仿宋_GB2312" w:eastAsia="仿宋_GB2312"/>
                <w:sz w:val="24"/>
                <w:szCs w:val="24"/>
              </w:rPr>
              <w:t>(10分)</w:t>
            </w: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8.校舍隐患排查情况。(10分)</w:t>
            </w:r>
          </w:p>
        </w:tc>
        <w:tc>
          <w:tcPr>
            <w:tcW w:w="5396" w:type="dxa"/>
            <w:vAlign w:val="center"/>
          </w:tcPr>
          <w:p>
            <w:pPr>
              <w:spacing w:line="340" w:lineRule="exact"/>
              <w:jc w:val="left"/>
              <w:rPr>
                <w:rFonts w:ascii="仿宋_GB2312" w:eastAsia="仿宋_GB2312"/>
                <w:sz w:val="24"/>
                <w:szCs w:val="24"/>
              </w:rPr>
            </w:pPr>
            <w:r>
              <w:rPr>
                <w:rFonts w:hint="eastAsia" w:ascii="仿宋_GB2312" w:eastAsia="仿宋_GB2312"/>
                <w:sz w:val="24"/>
                <w:szCs w:val="24"/>
              </w:rPr>
              <w:t>是否建立中小学校含安全年检制度，定期对校舍进行安全隐患排查，并将排查信息录入全国中小学校校舍信息管理系统，消除所有D级危房。是否建立高校危旧房屋排查整治台账，对D级危房是否及时封存并落实拆除措施。(10分)</w:t>
            </w:r>
          </w:p>
        </w:tc>
        <w:tc>
          <w:tcPr>
            <w:tcW w:w="465" w:type="dxa"/>
            <w:vAlign w:val="center"/>
          </w:tcPr>
          <w:p>
            <w:pPr>
              <w:spacing w:line="340" w:lineRule="exact"/>
              <w:jc w:val="left"/>
              <w:rPr>
                <w:rFonts w:ascii="仿宋_GB2312" w:eastAsia="仿宋_GB2312"/>
                <w:sz w:val="24"/>
                <w:szCs w:val="24"/>
              </w:rPr>
            </w:pPr>
          </w:p>
        </w:tc>
        <w:tc>
          <w:tcPr>
            <w:tcW w:w="450" w:type="dxa"/>
            <w:vAlign w:val="center"/>
          </w:tcPr>
          <w:p>
            <w:pPr>
              <w:spacing w:line="340" w:lineRule="exact"/>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Align w:val="center"/>
          </w:tcPr>
          <w:p>
            <w:pPr>
              <w:spacing w:line="340" w:lineRule="exact"/>
              <w:jc w:val="center"/>
              <w:rPr>
                <w:rFonts w:ascii="仿宋_GB2312" w:eastAsia="仿宋_GB2312"/>
                <w:b/>
                <w:sz w:val="24"/>
                <w:szCs w:val="24"/>
              </w:rPr>
            </w:pPr>
            <w:r>
              <w:rPr>
                <w:rFonts w:hint="eastAsia" w:ascii="仿宋_GB2312" w:eastAsia="仿宋_GB2312"/>
                <w:b/>
                <w:sz w:val="24"/>
                <w:szCs w:val="24"/>
              </w:rPr>
              <w:t>三、食品饮水安全与卫生防疫管理</w:t>
            </w:r>
            <w:r>
              <w:rPr>
                <w:rFonts w:hint="eastAsia" w:ascii="仿宋_GB2312" w:eastAsia="仿宋_GB2312"/>
                <w:sz w:val="24"/>
                <w:szCs w:val="24"/>
              </w:rPr>
              <w:t>(10分)</w:t>
            </w:r>
          </w:p>
          <w:p>
            <w:pPr>
              <w:spacing w:line="340" w:lineRule="exact"/>
              <w:jc w:val="center"/>
              <w:rPr>
                <w:rFonts w:ascii="仿宋_GB2312" w:eastAsia="仿宋_GB2312"/>
                <w:b/>
                <w:sz w:val="24"/>
                <w:szCs w:val="24"/>
              </w:rPr>
            </w:pP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9.食品与饮水安全管理情况。(10分)</w:t>
            </w:r>
          </w:p>
        </w:tc>
        <w:tc>
          <w:tcPr>
            <w:tcW w:w="5396" w:type="dxa"/>
            <w:vAlign w:val="center"/>
          </w:tcPr>
          <w:p>
            <w:pPr>
              <w:spacing w:line="340" w:lineRule="exact"/>
              <w:jc w:val="left"/>
              <w:rPr>
                <w:rFonts w:ascii="仿宋_GB2312" w:eastAsia="仿宋_GB2312"/>
                <w:sz w:val="24"/>
                <w:szCs w:val="24"/>
              </w:rPr>
            </w:pPr>
            <w:r>
              <w:rPr>
                <w:rFonts w:hint="eastAsia" w:ascii="仿宋_GB2312" w:eastAsia="仿宋_GB2312"/>
                <w:sz w:val="24"/>
                <w:szCs w:val="24"/>
              </w:rPr>
              <w:t>是否加强食品安全和卫生防疫工作，不断完善学校食品安全管理制度和食堂就餐环境。学校食堂食品采购环节、运输环节、储存环节、加工环节等是否存在卫生和安全隐患。自备水源、二次供水及直饮水设施、食堂蓄水池等是否清洁、消毒，是否进行水质检测。(10分)</w:t>
            </w:r>
          </w:p>
        </w:tc>
        <w:tc>
          <w:tcPr>
            <w:tcW w:w="465" w:type="dxa"/>
            <w:vAlign w:val="center"/>
          </w:tcPr>
          <w:p>
            <w:pPr>
              <w:spacing w:line="340" w:lineRule="exact"/>
              <w:jc w:val="left"/>
              <w:rPr>
                <w:rFonts w:ascii="仿宋_GB2312" w:eastAsia="仿宋_GB2312"/>
                <w:sz w:val="24"/>
                <w:szCs w:val="24"/>
              </w:rPr>
            </w:pPr>
          </w:p>
        </w:tc>
        <w:tc>
          <w:tcPr>
            <w:tcW w:w="450" w:type="dxa"/>
            <w:vAlign w:val="center"/>
          </w:tcPr>
          <w:p>
            <w:pPr>
              <w:spacing w:line="340" w:lineRule="exact"/>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Merge w:val="restart"/>
            <w:vAlign w:val="center"/>
          </w:tcPr>
          <w:p>
            <w:pPr>
              <w:spacing w:line="340" w:lineRule="exact"/>
              <w:jc w:val="center"/>
              <w:rPr>
                <w:rFonts w:ascii="仿宋_GB2312" w:eastAsia="仿宋_GB2312"/>
                <w:b/>
                <w:sz w:val="24"/>
                <w:szCs w:val="24"/>
              </w:rPr>
            </w:pPr>
            <w:r>
              <w:rPr>
                <w:rFonts w:hint="eastAsia" w:ascii="仿宋_GB2312" w:eastAsia="仿宋_GB2312"/>
                <w:b/>
                <w:sz w:val="24"/>
                <w:szCs w:val="24"/>
              </w:rPr>
              <w:t>四、校车安全管理</w:t>
            </w:r>
            <w:r>
              <w:rPr>
                <w:rFonts w:hint="eastAsia" w:ascii="仿宋_GB2312" w:eastAsia="仿宋_GB2312"/>
                <w:sz w:val="24"/>
                <w:szCs w:val="24"/>
              </w:rPr>
              <w:t>(10分)</w:t>
            </w:r>
          </w:p>
          <w:p>
            <w:pPr>
              <w:spacing w:line="340" w:lineRule="exact"/>
              <w:jc w:val="center"/>
              <w:rPr>
                <w:rFonts w:ascii="仿宋_GB2312" w:eastAsia="仿宋_GB2312"/>
                <w:b/>
                <w:sz w:val="24"/>
                <w:szCs w:val="24"/>
              </w:rPr>
            </w:pP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10.管理制度建设情况。(5分)</w:t>
            </w:r>
          </w:p>
        </w:tc>
        <w:tc>
          <w:tcPr>
            <w:tcW w:w="5396" w:type="dxa"/>
            <w:vAlign w:val="center"/>
          </w:tcPr>
          <w:p>
            <w:pPr>
              <w:spacing w:line="340" w:lineRule="exact"/>
              <w:jc w:val="left"/>
              <w:rPr>
                <w:rFonts w:ascii="仿宋_GB2312" w:eastAsia="仿宋_GB2312"/>
                <w:sz w:val="24"/>
                <w:szCs w:val="24"/>
              </w:rPr>
            </w:pPr>
            <w:r>
              <w:rPr>
                <w:rFonts w:hint="eastAsia" w:ascii="仿宋_GB2312" w:eastAsia="仿宋_GB2312"/>
                <w:sz w:val="24"/>
                <w:szCs w:val="24"/>
              </w:rPr>
              <w:t>是否制定《校车安全管理条例》实施办法和省级校车服务方案，校车管理机构及协调工作机制是否健全。(5分)</w:t>
            </w:r>
          </w:p>
        </w:tc>
        <w:tc>
          <w:tcPr>
            <w:tcW w:w="465" w:type="dxa"/>
            <w:vAlign w:val="center"/>
          </w:tcPr>
          <w:p>
            <w:pPr>
              <w:spacing w:line="340" w:lineRule="exact"/>
              <w:jc w:val="left"/>
              <w:rPr>
                <w:rFonts w:ascii="仿宋_GB2312" w:eastAsia="仿宋_GB2312"/>
                <w:sz w:val="24"/>
                <w:szCs w:val="24"/>
              </w:rPr>
            </w:pPr>
          </w:p>
        </w:tc>
        <w:tc>
          <w:tcPr>
            <w:tcW w:w="450" w:type="dxa"/>
            <w:vAlign w:val="center"/>
          </w:tcPr>
          <w:p>
            <w:pPr>
              <w:spacing w:line="340" w:lineRule="exact"/>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Merge w:val="continue"/>
            <w:vAlign w:val="center"/>
          </w:tcPr>
          <w:p>
            <w:pPr>
              <w:spacing w:line="340" w:lineRule="exact"/>
              <w:jc w:val="center"/>
              <w:rPr>
                <w:rFonts w:ascii="仿宋_GB2312" w:eastAsia="仿宋_GB2312"/>
                <w:b/>
                <w:sz w:val="24"/>
                <w:szCs w:val="24"/>
              </w:rPr>
            </w:pP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11.学生上下学交通安全和校车安全管理情况。(5分)</w:t>
            </w:r>
          </w:p>
        </w:tc>
        <w:tc>
          <w:tcPr>
            <w:tcW w:w="5396"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是否存在使用拼装车、报废车、未取得校车使用许可车辆接送学生，以及未取得校车驾驶资格人员驾驶校车、超速、超员、不按许可路线行驶等违法行为。是否按照要求设置校车站点，校车运营是否按照要求落实各项安全管理制度，学校门口道路是否设置警示牌、减震带。是否针对不同季节交通安全特点，完善事故应急处置预案，开展事故逃生演练和应急处置演练。(5分)</w:t>
            </w:r>
          </w:p>
        </w:tc>
        <w:tc>
          <w:tcPr>
            <w:tcW w:w="465" w:type="dxa"/>
            <w:vAlign w:val="center"/>
          </w:tcPr>
          <w:p>
            <w:pPr>
              <w:spacing w:line="340" w:lineRule="exact"/>
              <w:jc w:val="left"/>
              <w:rPr>
                <w:rFonts w:ascii="仿宋_GB2312" w:eastAsia="仿宋_GB2312"/>
                <w:b/>
                <w:sz w:val="24"/>
                <w:szCs w:val="24"/>
              </w:rPr>
            </w:pPr>
          </w:p>
        </w:tc>
        <w:tc>
          <w:tcPr>
            <w:tcW w:w="450" w:type="dxa"/>
            <w:vAlign w:val="center"/>
          </w:tcPr>
          <w:p>
            <w:pPr>
              <w:spacing w:line="340" w:lineRule="exact"/>
              <w:jc w:val="left"/>
              <w:rPr>
                <w:rFonts w:ascii="仿宋_GB2312"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Merge w:val="restart"/>
            <w:vAlign w:val="center"/>
          </w:tcPr>
          <w:p>
            <w:pPr>
              <w:spacing w:line="340" w:lineRule="exact"/>
              <w:jc w:val="center"/>
              <w:rPr>
                <w:rFonts w:ascii="仿宋_GB2312" w:eastAsia="仿宋_GB2312"/>
                <w:b/>
                <w:sz w:val="24"/>
                <w:szCs w:val="24"/>
              </w:rPr>
            </w:pPr>
            <w:r>
              <w:rPr>
                <w:rFonts w:hint="eastAsia" w:ascii="仿宋_GB2312" w:eastAsia="仿宋_GB2312"/>
                <w:b/>
                <w:sz w:val="24"/>
                <w:szCs w:val="24"/>
              </w:rPr>
              <w:t>五、校园安全管理和安全教育</w:t>
            </w:r>
            <w:r>
              <w:rPr>
                <w:rFonts w:hint="eastAsia" w:ascii="仿宋_GB2312" w:eastAsia="仿宋_GB2312"/>
                <w:sz w:val="24"/>
                <w:szCs w:val="24"/>
              </w:rPr>
              <w:t>(35分)</w:t>
            </w: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12.学校"三防"建设落实情况。(5分)</w:t>
            </w:r>
          </w:p>
        </w:tc>
        <w:tc>
          <w:tcPr>
            <w:tcW w:w="5396" w:type="dxa"/>
            <w:vAlign w:val="center"/>
          </w:tcPr>
          <w:p>
            <w:pPr>
              <w:spacing w:line="340" w:lineRule="exact"/>
              <w:jc w:val="left"/>
              <w:rPr>
                <w:rFonts w:ascii="仿宋_GB2312" w:eastAsia="仿宋_GB2312"/>
                <w:sz w:val="24"/>
                <w:szCs w:val="24"/>
              </w:rPr>
            </w:pPr>
            <w:r>
              <w:rPr>
                <w:rFonts w:hint="eastAsia" w:ascii="仿宋_GB2312" w:eastAsia="仿宋_GB2312"/>
                <w:sz w:val="24"/>
                <w:szCs w:val="24"/>
              </w:rPr>
              <w:t>学校是否配齐必要的安全防护、应急处置装备，校园重点部位是否安装视频监控，寄宿制校园是否设专职宿舍管理员，校园安全管理制度是否完善。(5分)</w:t>
            </w:r>
          </w:p>
        </w:tc>
        <w:tc>
          <w:tcPr>
            <w:tcW w:w="465" w:type="dxa"/>
            <w:vAlign w:val="center"/>
          </w:tcPr>
          <w:p>
            <w:pPr>
              <w:spacing w:line="340" w:lineRule="exact"/>
              <w:jc w:val="left"/>
              <w:rPr>
                <w:rFonts w:ascii="仿宋_GB2312" w:eastAsia="仿宋_GB2312"/>
                <w:sz w:val="24"/>
                <w:szCs w:val="24"/>
              </w:rPr>
            </w:pPr>
          </w:p>
        </w:tc>
        <w:tc>
          <w:tcPr>
            <w:tcW w:w="450" w:type="dxa"/>
            <w:vAlign w:val="center"/>
          </w:tcPr>
          <w:p>
            <w:pPr>
              <w:spacing w:line="340" w:lineRule="exact"/>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Merge w:val="continue"/>
            <w:vAlign w:val="center"/>
          </w:tcPr>
          <w:p>
            <w:pPr>
              <w:spacing w:line="340" w:lineRule="exact"/>
              <w:jc w:val="center"/>
              <w:rPr>
                <w:rFonts w:ascii="仿宋_GB2312" w:eastAsia="仿宋_GB2312"/>
                <w:b/>
                <w:sz w:val="24"/>
                <w:szCs w:val="24"/>
              </w:rPr>
            </w:pP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13.重点领域治理情况。(5分)</w:t>
            </w:r>
          </w:p>
        </w:tc>
        <w:tc>
          <w:tcPr>
            <w:tcW w:w="5396" w:type="dxa"/>
            <w:vAlign w:val="center"/>
          </w:tcPr>
          <w:p>
            <w:pPr>
              <w:spacing w:line="340" w:lineRule="exact"/>
              <w:jc w:val="left"/>
              <w:rPr>
                <w:rFonts w:ascii="仿宋_GB2312" w:eastAsia="仿宋_GB2312"/>
                <w:sz w:val="24"/>
                <w:szCs w:val="24"/>
              </w:rPr>
            </w:pPr>
            <w:r>
              <w:rPr>
                <w:rFonts w:hint="eastAsia" w:ascii="仿宋_GB2312" w:eastAsia="仿宋_GB2312"/>
                <w:sz w:val="24"/>
                <w:szCs w:val="24"/>
              </w:rPr>
              <w:t>是否按照要求切实加强学生预防溺水事故的宣传教育。是否采取措施有效防止校园拥挤踩踏事故，维持好高峰时段学生上下楼秩序。是否强化校园消防安全防控，进行电器火灾综合治理，落实消防安全责任制，定期检查消防设施和器材配置及完好有效情况，组织开展消防演练和应急疏散演练。(5分)</w:t>
            </w:r>
          </w:p>
        </w:tc>
        <w:tc>
          <w:tcPr>
            <w:tcW w:w="465" w:type="dxa"/>
            <w:vAlign w:val="center"/>
          </w:tcPr>
          <w:p>
            <w:pPr>
              <w:spacing w:line="340" w:lineRule="exact"/>
              <w:jc w:val="left"/>
              <w:rPr>
                <w:rFonts w:ascii="仿宋_GB2312" w:eastAsia="仿宋_GB2312"/>
                <w:sz w:val="24"/>
                <w:szCs w:val="24"/>
              </w:rPr>
            </w:pPr>
          </w:p>
        </w:tc>
        <w:tc>
          <w:tcPr>
            <w:tcW w:w="450" w:type="dxa"/>
            <w:vAlign w:val="center"/>
          </w:tcPr>
          <w:p>
            <w:pPr>
              <w:spacing w:line="340" w:lineRule="exact"/>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Merge w:val="continue"/>
            <w:vAlign w:val="center"/>
          </w:tcPr>
          <w:p>
            <w:pPr>
              <w:spacing w:line="340" w:lineRule="exact"/>
              <w:jc w:val="center"/>
              <w:rPr>
                <w:rFonts w:ascii="仿宋_GB2312" w:eastAsia="仿宋_GB2312"/>
                <w:b/>
                <w:sz w:val="24"/>
                <w:szCs w:val="24"/>
              </w:rPr>
            </w:pP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14.高校校园安全稳定情况。(5分)</w:t>
            </w:r>
          </w:p>
        </w:tc>
        <w:tc>
          <w:tcPr>
            <w:tcW w:w="5396"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是否落实反恐怖工作责任制要求，强化反恐防范知识宣传教育，全面清缴恐怖音视频，完善反恐防范工作预案，强化应急处突工作准备，加强网络安全和舆情引导，确保高校安全稳定。是否加强高校实验室安全管理，构建由学校、二级单位、实验室组成的三级联动的安全管理责任体系，建立实验室全生产周期安全运行机制，建立实验室安全准入制度，开展实验室重大危险源专项定期检查，开展实验室安全应急能力建设，建立实验室安全年度报告制度等，及时消除安全隐患。(5分)</w:t>
            </w:r>
          </w:p>
        </w:tc>
        <w:tc>
          <w:tcPr>
            <w:tcW w:w="465" w:type="dxa"/>
            <w:vAlign w:val="center"/>
          </w:tcPr>
          <w:p>
            <w:pPr>
              <w:spacing w:line="340" w:lineRule="exact"/>
              <w:jc w:val="left"/>
              <w:rPr>
                <w:rFonts w:ascii="仿宋_GB2312" w:eastAsia="仿宋_GB2312"/>
                <w:b/>
                <w:sz w:val="24"/>
                <w:szCs w:val="24"/>
              </w:rPr>
            </w:pPr>
          </w:p>
        </w:tc>
        <w:tc>
          <w:tcPr>
            <w:tcW w:w="450" w:type="dxa"/>
            <w:vAlign w:val="center"/>
          </w:tcPr>
          <w:p>
            <w:pPr>
              <w:spacing w:line="340" w:lineRule="exact"/>
              <w:jc w:val="left"/>
              <w:rPr>
                <w:rFonts w:ascii="仿宋_GB2312"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Merge w:val="continue"/>
            <w:vAlign w:val="center"/>
          </w:tcPr>
          <w:p>
            <w:pPr>
              <w:spacing w:line="340" w:lineRule="exact"/>
              <w:jc w:val="center"/>
              <w:rPr>
                <w:rFonts w:ascii="仿宋_GB2312" w:eastAsia="仿宋_GB2312"/>
                <w:b/>
                <w:sz w:val="24"/>
                <w:szCs w:val="24"/>
              </w:rPr>
            </w:pP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15.防范非法入侵校园导致学生伤亡情况。(5分)</w:t>
            </w:r>
          </w:p>
        </w:tc>
        <w:tc>
          <w:tcPr>
            <w:tcW w:w="5396"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各地各校是否制定健全舆情信息分析安全预警快速反应和排查化解联动处置机制和工作责任制，是否加强安全保卫工作队伍建设，是否定期开展安全应急演练工作，是否经常性对师生开展法治教育、公共安全教育和反邪教警示教育。(5分)</w:t>
            </w:r>
          </w:p>
        </w:tc>
        <w:tc>
          <w:tcPr>
            <w:tcW w:w="465" w:type="dxa"/>
            <w:vAlign w:val="center"/>
          </w:tcPr>
          <w:p>
            <w:pPr>
              <w:spacing w:line="340" w:lineRule="exact"/>
              <w:jc w:val="left"/>
              <w:rPr>
                <w:rFonts w:ascii="仿宋_GB2312" w:eastAsia="仿宋_GB2312"/>
                <w:b/>
                <w:sz w:val="24"/>
                <w:szCs w:val="24"/>
              </w:rPr>
            </w:pPr>
          </w:p>
        </w:tc>
        <w:tc>
          <w:tcPr>
            <w:tcW w:w="450" w:type="dxa"/>
            <w:vAlign w:val="center"/>
          </w:tcPr>
          <w:p>
            <w:pPr>
              <w:spacing w:line="340" w:lineRule="exact"/>
              <w:jc w:val="left"/>
              <w:rPr>
                <w:rFonts w:ascii="仿宋_GB2312"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Merge w:val="continue"/>
            <w:vAlign w:val="center"/>
          </w:tcPr>
          <w:p>
            <w:pPr>
              <w:spacing w:line="340" w:lineRule="exact"/>
              <w:jc w:val="center"/>
              <w:rPr>
                <w:rFonts w:ascii="仿宋_GB2312" w:eastAsia="仿宋_GB2312"/>
                <w:b/>
                <w:sz w:val="24"/>
                <w:szCs w:val="24"/>
              </w:rPr>
            </w:pP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16.校园欺凌和暴力治理情况。(5分)</w:t>
            </w:r>
          </w:p>
        </w:tc>
        <w:tc>
          <w:tcPr>
            <w:tcW w:w="5396"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是否集中对学生开展以校园欺凌治理为主题的专题教育，是否建立学校安全风险预防、管控与处置制度和工作机制，是否制定完善安全预警快速反应和联动处置机制，形成防治学生欺凌和暴力的工作合力。(5分)</w:t>
            </w:r>
          </w:p>
        </w:tc>
        <w:tc>
          <w:tcPr>
            <w:tcW w:w="465" w:type="dxa"/>
            <w:vAlign w:val="center"/>
          </w:tcPr>
          <w:p>
            <w:pPr>
              <w:spacing w:line="340" w:lineRule="exact"/>
              <w:jc w:val="left"/>
              <w:rPr>
                <w:rFonts w:ascii="仿宋_GB2312" w:eastAsia="仿宋_GB2312"/>
                <w:b/>
                <w:sz w:val="24"/>
                <w:szCs w:val="24"/>
              </w:rPr>
            </w:pPr>
          </w:p>
        </w:tc>
        <w:tc>
          <w:tcPr>
            <w:tcW w:w="450" w:type="dxa"/>
            <w:vAlign w:val="center"/>
          </w:tcPr>
          <w:p>
            <w:pPr>
              <w:spacing w:line="340" w:lineRule="exact"/>
              <w:jc w:val="left"/>
              <w:rPr>
                <w:rFonts w:ascii="仿宋_GB2312"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Merge w:val="continue"/>
            <w:vAlign w:val="center"/>
          </w:tcPr>
          <w:p>
            <w:pPr>
              <w:spacing w:line="340" w:lineRule="exact"/>
              <w:jc w:val="center"/>
              <w:rPr>
                <w:rFonts w:ascii="仿宋_GB2312" w:eastAsia="仿宋_GB2312"/>
                <w:b/>
                <w:sz w:val="24"/>
                <w:szCs w:val="24"/>
              </w:rPr>
            </w:pP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17.校园周边综合防控工作开展情况。(5分)</w:t>
            </w:r>
          </w:p>
        </w:tc>
        <w:tc>
          <w:tcPr>
            <w:tcW w:w="5396" w:type="dxa"/>
            <w:vAlign w:val="center"/>
          </w:tcPr>
          <w:p>
            <w:pPr>
              <w:spacing w:line="340" w:lineRule="exact"/>
              <w:jc w:val="left"/>
              <w:rPr>
                <w:rFonts w:ascii="仿宋_GB2312" w:eastAsia="仿宋_GB2312"/>
                <w:sz w:val="24"/>
                <w:szCs w:val="24"/>
              </w:rPr>
            </w:pPr>
            <w:r>
              <w:rPr>
                <w:rFonts w:hint="eastAsia" w:ascii="仿宋_GB2312" w:eastAsia="仿宋_GB2312"/>
                <w:sz w:val="24"/>
                <w:szCs w:val="24"/>
              </w:rPr>
              <w:t>警校联动机制是否建立，校园周边公安机关高峰勤务、“护学岗”和群防群治机制是否健全，校园周边警务室民警是否经常到校沟通联系、指导工作，教育行政部门是否经常协调有关部门对校园及周边治安乱点和重点隐患进行专项排查整改，非法出版物、网吧、娱乐场所、危险玩具销售整治，加强校园及周边治安环境综合治理工作。(5分)</w:t>
            </w:r>
          </w:p>
        </w:tc>
        <w:tc>
          <w:tcPr>
            <w:tcW w:w="465" w:type="dxa"/>
            <w:vAlign w:val="center"/>
          </w:tcPr>
          <w:p>
            <w:pPr>
              <w:spacing w:line="340" w:lineRule="exact"/>
              <w:jc w:val="left"/>
              <w:rPr>
                <w:rFonts w:ascii="仿宋_GB2312" w:eastAsia="仿宋_GB2312"/>
                <w:sz w:val="24"/>
                <w:szCs w:val="24"/>
              </w:rPr>
            </w:pPr>
          </w:p>
        </w:tc>
        <w:tc>
          <w:tcPr>
            <w:tcW w:w="450" w:type="dxa"/>
            <w:vAlign w:val="center"/>
          </w:tcPr>
          <w:p>
            <w:pPr>
              <w:spacing w:line="340" w:lineRule="exact"/>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Merge w:val="continue"/>
            <w:vAlign w:val="center"/>
          </w:tcPr>
          <w:p>
            <w:pPr>
              <w:spacing w:line="340" w:lineRule="exact"/>
              <w:jc w:val="center"/>
              <w:rPr>
                <w:rFonts w:ascii="仿宋_GB2312" w:eastAsia="仿宋_GB2312"/>
                <w:b/>
                <w:sz w:val="24"/>
                <w:szCs w:val="24"/>
              </w:rPr>
            </w:pPr>
          </w:p>
        </w:tc>
        <w:tc>
          <w:tcPr>
            <w:tcW w:w="1445" w:type="dxa"/>
            <w:vAlign w:val="center"/>
          </w:tcPr>
          <w:p>
            <w:pPr>
              <w:spacing w:line="340" w:lineRule="exact"/>
              <w:jc w:val="left"/>
              <w:rPr>
                <w:rFonts w:ascii="仿宋_GB2312" w:eastAsia="仿宋_GB2312"/>
                <w:b/>
                <w:sz w:val="24"/>
                <w:szCs w:val="24"/>
              </w:rPr>
            </w:pPr>
            <w:r>
              <w:rPr>
                <w:rFonts w:hint="eastAsia" w:ascii="仿宋_GB2312" w:eastAsia="仿宋_GB2312"/>
                <w:sz w:val="24"/>
                <w:szCs w:val="24"/>
              </w:rPr>
              <w:t>18.中小学生安全教育情况。(5分)</w:t>
            </w:r>
          </w:p>
        </w:tc>
        <w:tc>
          <w:tcPr>
            <w:tcW w:w="5396" w:type="dxa"/>
            <w:vAlign w:val="center"/>
          </w:tcPr>
          <w:p>
            <w:pPr>
              <w:spacing w:line="340" w:lineRule="exact"/>
              <w:jc w:val="left"/>
              <w:rPr>
                <w:rFonts w:ascii="仿宋_GB2312" w:eastAsia="仿宋_GB2312"/>
                <w:sz w:val="24"/>
                <w:szCs w:val="24"/>
              </w:rPr>
            </w:pPr>
            <w:r>
              <w:rPr>
                <w:rFonts w:hint="eastAsia" w:ascii="仿宋_GB2312" w:eastAsia="仿宋_GB2312"/>
                <w:sz w:val="24"/>
                <w:szCs w:val="24"/>
              </w:rPr>
              <w:t>是否利用开学初对中小学生集中开展安全教育，是否突出防溺水、交通安全、消防安全、食品安全等安全教育重点，是否定期组织学生开展应急疏散演练。(5分)</w:t>
            </w:r>
          </w:p>
        </w:tc>
        <w:tc>
          <w:tcPr>
            <w:tcW w:w="465" w:type="dxa"/>
            <w:vAlign w:val="center"/>
          </w:tcPr>
          <w:p>
            <w:pPr>
              <w:spacing w:line="340" w:lineRule="exact"/>
              <w:jc w:val="left"/>
              <w:rPr>
                <w:rFonts w:ascii="仿宋_GB2312" w:eastAsia="仿宋_GB2312"/>
                <w:sz w:val="24"/>
                <w:szCs w:val="24"/>
              </w:rPr>
            </w:pPr>
          </w:p>
        </w:tc>
        <w:tc>
          <w:tcPr>
            <w:tcW w:w="450" w:type="dxa"/>
            <w:vAlign w:val="center"/>
          </w:tcPr>
          <w:p>
            <w:pPr>
              <w:spacing w:line="340" w:lineRule="exact"/>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5" w:type="dxa"/>
            <w:vAlign w:val="center"/>
          </w:tcPr>
          <w:p>
            <w:pPr>
              <w:spacing w:line="340" w:lineRule="exact"/>
              <w:jc w:val="center"/>
              <w:rPr>
                <w:rFonts w:ascii="仿宋_GB2312" w:eastAsia="仿宋_GB2312"/>
                <w:b/>
                <w:sz w:val="24"/>
                <w:szCs w:val="24"/>
              </w:rPr>
            </w:pPr>
            <w:r>
              <w:rPr>
                <w:rFonts w:hint="eastAsia" w:ascii="仿宋_GB2312" w:eastAsia="仿宋_GB2312"/>
                <w:b/>
                <w:sz w:val="24"/>
                <w:szCs w:val="24"/>
              </w:rPr>
              <w:t>总分</w:t>
            </w:r>
          </w:p>
        </w:tc>
        <w:tc>
          <w:tcPr>
            <w:tcW w:w="6841" w:type="dxa"/>
            <w:gridSpan w:val="2"/>
            <w:vAlign w:val="center"/>
          </w:tcPr>
          <w:p>
            <w:pPr>
              <w:spacing w:line="340" w:lineRule="exact"/>
              <w:jc w:val="center"/>
              <w:rPr>
                <w:rFonts w:ascii="仿宋_GB2312" w:eastAsia="仿宋_GB2312"/>
                <w:b/>
                <w:sz w:val="24"/>
                <w:szCs w:val="24"/>
              </w:rPr>
            </w:pPr>
            <w:r>
              <w:rPr>
                <w:rFonts w:hint="eastAsia" w:ascii="仿宋_GB2312" w:eastAsia="仿宋_GB2312"/>
                <w:b/>
                <w:sz w:val="24"/>
                <w:szCs w:val="24"/>
              </w:rPr>
              <w:t>100</w:t>
            </w:r>
          </w:p>
        </w:tc>
        <w:tc>
          <w:tcPr>
            <w:tcW w:w="465" w:type="dxa"/>
            <w:vAlign w:val="center"/>
          </w:tcPr>
          <w:p>
            <w:pPr>
              <w:spacing w:line="340" w:lineRule="exact"/>
              <w:jc w:val="center"/>
              <w:rPr>
                <w:rFonts w:ascii="仿宋_GB2312" w:eastAsia="仿宋_GB2312"/>
                <w:b/>
                <w:sz w:val="24"/>
                <w:szCs w:val="24"/>
              </w:rPr>
            </w:pPr>
          </w:p>
        </w:tc>
        <w:tc>
          <w:tcPr>
            <w:tcW w:w="450" w:type="dxa"/>
            <w:vAlign w:val="center"/>
          </w:tcPr>
          <w:p>
            <w:pPr>
              <w:spacing w:line="340" w:lineRule="exact"/>
              <w:jc w:val="center"/>
              <w:rPr>
                <w:rFonts w:ascii="仿宋_GB2312" w:eastAsia="仿宋_GB2312"/>
                <w:b/>
                <w:sz w:val="24"/>
                <w:szCs w:val="24"/>
              </w:rPr>
            </w:pPr>
          </w:p>
        </w:tc>
      </w:tr>
    </w:tbl>
    <w:p>
      <w:pPr>
        <w:autoSpaceDE w:val="0"/>
        <w:autoSpaceDN w:val="0"/>
        <w:adjustRightInd w:val="0"/>
        <w:spacing w:line="340" w:lineRule="exact"/>
        <w:jc w:val="left"/>
        <w:rPr>
          <w:rFonts w:ascii="仿宋_GB2312" w:eastAsia="仿宋_GB2312"/>
          <w:b/>
          <w:sz w:val="24"/>
          <w:szCs w:val="24"/>
        </w:rPr>
      </w:pPr>
      <w:r>
        <w:rPr>
          <w:rFonts w:hint="eastAsia" w:ascii="仿宋_GB2312" w:hAnsi="宋体" w:eastAsia="仿宋_GB2312" w:cs="宋体"/>
          <w:kern w:val="0"/>
          <w:sz w:val="24"/>
          <w:szCs w:val="24"/>
        </w:rPr>
        <w:t>注：</w:t>
      </w:r>
      <w:r>
        <w:rPr>
          <w:rFonts w:hint="eastAsia" w:ascii="仿宋_GB2312" w:hAnsi="仿宋" w:eastAsia="仿宋_GB2312" w:cs="宋体"/>
          <w:kern w:val="0"/>
          <w:sz w:val="24"/>
          <w:szCs w:val="24"/>
        </w:rPr>
        <w:t>①不同学段学校的有关评分要求，</w:t>
      </w:r>
      <w:r>
        <w:rPr>
          <w:rFonts w:hint="eastAsia" w:ascii="仿宋_GB2312" w:hAnsi="宋体" w:eastAsia="仿宋_GB2312" w:cs="宋体"/>
          <w:kern w:val="0"/>
          <w:sz w:val="24"/>
          <w:szCs w:val="24"/>
        </w:rPr>
        <w:t>其他学段学校参照提供佐证材料；实在无法提供佐证材料的，则无需提供，自评分打满分。</w:t>
      </w:r>
      <w:r>
        <w:rPr>
          <w:rFonts w:hint="eastAsia" w:ascii="仿宋_GB2312" w:hAnsi="仿宋" w:eastAsia="仿宋_GB2312" w:cs="宋体"/>
          <w:kern w:val="0"/>
          <w:sz w:val="24"/>
          <w:szCs w:val="24"/>
        </w:rPr>
        <w:t>②</w:t>
      </w:r>
      <w:r>
        <w:rPr>
          <w:rFonts w:hint="eastAsia" w:ascii="仿宋_GB2312" w:hAnsi="宋体" w:eastAsia="仿宋_GB2312" w:cs="宋体"/>
          <w:kern w:val="0"/>
          <w:sz w:val="24"/>
          <w:szCs w:val="24"/>
        </w:rPr>
        <w:t>没有校车、没有寄宿生的学校无需提供相应佐证材料，自评打满</w:t>
      </w:r>
      <w:r>
        <w:rPr>
          <w:rFonts w:hint="eastAsia" w:ascii="仿宋_GB2312" w:hAnsi="仿宋" w:eastAsia="仿宋_GB2312" w:cs="宋体"/>
          <w:kern w:val="0"/>
          <w:sz w:val="24"/>
          <w:szCs w:val="24"/>
        </w:rPr>
        <w:t>分。</w:t>
      </w:r>
      <w:r>
        <w:rPr>
          <w:rFonts w:hint="eastAsia" w:ascii="仿宋_GB2312" w:hAnsi="仿宋" w:eastAsia="仿宋_GB2312" w:cs="宋体"/>
          <w:kern w:val="0"/>
          <w:sz w:val="24"/>
          <w:szCs w:val="24"/>
        </w:rPr>
        <w:sym w:font="Wingdings" w:char="F083"/>
      </w:r>
      <w:r>
        <w:rPr>
          <w:rFonts w:hint="eastAsia" w:ascii="仿宋_GB2312" w:hAnsi="仿宋" w:eastAsia="仿宋_GB2312" w:cs="宋体"/>
          <w:kern w:val="0"/>
          <w:sz w:val="24"/>
          <w:szCs w:val="24"/>
          <w:lang w:val="en-US" w:eastAsia="zh-CN"/>
        </w:rPr>
        <w:t>自评分由学校给出，督查分由督学完成，校长和督学必须在首页签字并加盖学校公章，纸质稿</w:t>
      </w:r>
      <w:bookmarkStart w:id="0" w:name="_GoBack"/>
      <w:bookmarkEnd w:id="0"/>
      <w:r>
        <w:rPr>
          <w:rFonts w:hint="eastAsia" w:ascii="仿宋_GB2312" w:hAnsi="仿宋" w:eastAsia="仿宋_GB2312" w:cs="宋体"/>
          <w:kern w:val="0"/>
          <w:sz w:val="24"/>
          <w:szCs w:val="24"/>
          <w:lang w:val="en-US" w:eastAsia="zh-CN"/>
        </w:rPr>
        <w:t>可由开学跑面人员带回。</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仿宋_GB2312">
    <w:altName w:val="仿宋"/>
    <w:panose1 w:val="02010609030101010101"/>
    <w:charset w:val="86"/>
    <w:family w:val="decorative"/>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EA"/>
    <w:rsid w:val="000559C4"/>
    <w:rsid w:val="00085006"/>
    <w:rsid w:val="0008757E"/>
    <w:rsid w:val="000E375D"/>
    <w:rsid w:val="00157A36"/>
    <w:rsid w:val="00161F28"/>
    <w:rsid w:val="00167A5C"/>
    <w:rsid w:val="00183FA7"/>
    <w:rsid w:val="002D151D"/>
    <w:rsid w:val="003209CD"/>
    <w:rsid w:val="003355D3"/>
    <w:rsid w:val="00386458"/>
    <w:rsid w:val="003A1C45"/>
    <w:rsid w:val="003B669E"/>
    <w:rsid w:val="003C628F"/>
    <w:rsid w:val="003F296E"/>
    <w:rsid w:val="00420758"/>
    <w:rsid w:val="00480094"/>
    <w:rsid w:val="00491387"/>
    <w:rsid w:val="004F004B"/>
    <w:rsid w:val="005420E7"/>
    <w:rsid w:val="005C001C"/>
    <w:rsid w:val="006B4650"/>
    <w:rsid w:val="006E4694"/>
    <w:rsid w:val="006F738F"/>
    <w:rsid w:val="0073290F"/>
    <w:rsid w:val="007774F2"/>
    <w:rsid w:val="00786A67"/>
    <w:rsid w:val="00810B16"/>
    <w:rsid w:val="00844038"/>
    <w:rsid w:val="008535FE"/>
    <w:rsid w:val="008710EA"/>
    <w:rsid w:val="008F6A8B"/>
    <w:rsid w:val="00A02F81"/>
    <w:rsid w:val="00A62B14"/>
    <w:rsid w:val="00A92F4B"/>
    <w:rsid w:val="00AE505F"/>
    <w:rsid w:val="00B32DCC"/>
    <w:rsid w:val="00B536A6"/>
    <w:rsid w:val="00B53A00"/>
    <w:rsid w:val="00BC25E1"/>
    <w:rsid w:val="00BE50F7"/>
    <w:rsid w:val="00C21799"/>
    <w:rsid w:val="00CA0716"/>
    <w:rsid w:val="00D771AD"/>
    <w:rsid w:val="00DA40ED"/>
    <w:rsid w:val="00E06B52"/>
    <w:rsid w:val="00E116C7"/>
    <w:rsid w:val="00E33AC2"/>
    <w:rsid w:val="00E633B3"/>
    <w:rsid w:val="00E72456"/>
    <w:rsid w:val="00EF6B83"/>
    <w:rsid w:val="00F3556B"/>
    <w:rsid w:val="00F90C3F"/>
    <w:rsid w:val="00FA386C"/>
    <w:rsid w:val="00FC5B66"/>
    <w:rsid w:val="00FE372F"/>
    <w:rsid w:val="2CF25ACF"/>
    <w:rsid w:val="69881FB0"/>
    <w:rsid w:val="76F33917"/>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uiPriority w:val="99"/>
    <w:rPr>
      <w:sz w:val="18"/>
      <w:szCs w:val="18"/>
    </w:rPr>
  </w:style>
  <w:style w:type="character" w:customStyle="1" w:styleId="8">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9E140B-EA0C-42DA-BADF-3FC25F620AD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1299</Words>
  <Characters>1339</Characters>
  <Lines>111</Lines>
  <Paragraphs>90</Paragraphs>
  <TotalTime>0</TotalTime>
  <ScaleCrop>false</ScaleCrop>
  <LinksUpToDate>false</LinksUpToDate>
  <CharactersWithSpaces>2548</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2017-08-21T06:06:00Z</dcterms:created>
  <dc:creator>微软用户</dc:creator>
  <cp:lastModifiedBy>Administrator</cp:lastModifiedBy>
  <dcterms:modified xsi:type="dcterms:W3CDTF">2017-08-25T01:55:15Z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