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D" w:rsidRDefault="0000320D" w:rsidP="0000320D">
      <w:pPr>
        <w:spacing w:line="600" w:lineRule="exact"/>
        <w:rPr>
          <w:rFonts w:ascii="黑体" w:eastAsia="黑体" w:hint="eastAsia"/>
          <w:bCs/>
          <w:sz w:val="32"/>
          <w:szCs w:val="32"/>
        </w:rPr>
      </w:pPr>
      <w:r w:rsidRPr="00BA5DDB">
        <w:rPr>
          <w:rFonts w:ascii="黑体" w:eastAsia="黑体" w:hint="eastAsia"/>
          <w:bCs/>
          <w:sz w:val="32"/>
          <w:szCs w:val="32"/>
        </w:rPr>
        <w:t>附件3：</w:t>
      </w:r>
    </w:p>
    <w:p w:rsidR="0000320D" w:rsidRPr="00BA5DDB" w:rsidRDefault="0000320D" w:rsidP="0000320D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r w:rsidRPr="00BA5DDB">
        <w:rPr>
          <w:rFonts w:ascii="方正小标宋简体" w:eastAsia="方正小标宋简体" w:hint="eastAsia"/>
          <w:b/>
          <w:bCs/>
          <w:sz w:val="36"/>
          <w:szCs w:val="36"/>
        </w:rPr>
        <w:t>2015年武进区重点寄生虫病防治工作方案</w:t>
      </w:r>
    </w:p>
    <w:bookmarkEnd w:id="0"/>
    <w:p w:rsidR="0000320D" w:rsidRPr="009625A8" w:rsidRDefault="0000320D" w:rsidP="0000320D">
      <w:pPr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00320D" w:rsidRPr="00624401" w:rsidRDefault="0000320D" w:rsidP="0000320D">
      <w:pPr>
        <w:spacing w:line="600" w:lineRule="exact"/>
        <w:ind w:firstLineChars="200" w:firstLine="640"/>
        <w:rPr>
          <w:rFonts w:ascii="方正仿宋简体" w:eastAsia="方正仿宋简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2015年，我区将参照《江苏省疟疾等重点寄生虫病防治规划（2007-2015年）》和《2015年常州市重点寄生虫病防治工作方案）》的目标及工作要求，进一步加强对肠道寄生虫病、食源性寄生虫病、包虫病、肝吸虫病、慢性丝虫病等重点寄生虫病的防治与监测工作，实行科学防治、计划防治，认真落实各项措施，有效控制疫情</w:t>
      </w:r>
      <w:r w:rsidRPr="00624401">
        <w:rPr>
          <w:rFonts w:ascii="方正仿宋简体" w:eastAsia="方正仿宋简体" w:hint="eastAsia"/>
          <w:bCs/>
          <w:sz w:val="32"/>
          <w:szCs w:val="32"/>
        </w:rPr>
        <w:t>，切实保护人民群众身体健康。现制订防治方案如下: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624401">
        <w:rPr>
          <w:rFonts w:ascii="黑体" w:eastAsia="黑体" w:hAnsi="宋体" w:hint="eastAsia"/>
          <w:bCs/>
          <w:sz w:val="32"/>
          <w:szCs w:val="32"/>
        </w:rPr>
        <w:t>一、肠道寄生虫病监测</w:t>
      </w:r>
    </w:p>
    <w:p w:rsidR="0000320D" w:rsidRPr="00624401" w:rsidRDefault="0000320D" w:rsidP="0000320D">
      <w:pPr>
        <w:spacing w:line="600" w:lineRule="exact"/>
        <w:ind w:firstLineChars="200" w:firstLine="643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1、监测查病</w:t>
      </w:r>
    </w:p>
    <w:p w:rsidR="0000320D" w:rsidRPr="00624401" w:rsidRDefault="0000320D" w:rsidP="0000320D">
      <w:pPr>
        <w:spacing w:line="600" w:lineRule="exact"/>
        <w:ind w:firstLine="57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根据肠道线虫病流行和防治工作情况设立前黄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镇寨桥为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今年监测点，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查病人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数不少于700人，采取改良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加藤氏厚涂片法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，检查各种肠道线虫虫卵。在采样过程中严格规范操作程序，并及时阅片审查出调查结果，同时随机抽取10%的阴性片及全部的阳性片送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市疾控中心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复核。对查出的阳性患者，及时告知并进行驱虫治疗，并对周围居民开展肠道寄生虫病防治的健康教育。</w:t>
      </w:r>
    </w:p>
    <w:p w:rsidR="0000320D" w:rsidRDefault="0000320D" w:rsidP="0000320D">
      <w:pPr>
        <w:spacing w:line="600" w:lineRule="exact"/>
        <w:ind w:firstLineChars="196" w:firstLine="630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2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、蛲虫病调查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牛塘镇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和遥观镇，各抽查1所幼儿园和1所小学低年级学生共250人，采取透明胶纸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肛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拭法，在采样过程中严格规范操作程序，并及时阅片审查做出调查结果。根据抽查感染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lastRenderedPageBreak/>
        <w:t>率的高低，指导学校做好蛲虫防治工作，在春秋季开展防治服药（可将家长列入防治服药对象），或进行选择性治疗（阳性者治疗）。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624401">
        <w:rPr>
          <w:rFonts w:ascii="黑体" w:eastAsia="黑体" w:hAnsi="宋体" w:hint="eastAsia"/>
          <w:bCs/>
          <w:sz w:val="32"/>
          <w:szCs w:val="32"/>
        </w:rPr>
        <w:t>二、慢性丝虫病关怀照料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2015年我区将继续积极开展慢性丝虫病的关怀照料工作。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2012年慢丝关怀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照料工作已纳入当地农村基本公共卫生服务项目，要争取与当地残联等组织联合开展本项工作。对新发现的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慢丝病人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做好建档工作，把WHO推荐的方法教会给每一位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慢丝病人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或家属做好自我照料工作</w:t>
      </w:r>
      <w:r w:rsidRPr="00624401">
        <w:rPr>
          <w:rFonts w:ascii="方正仿宋简体" w:eastAsia="方正仿宋简体" w:hAnsi="Calibri" w:hint="eastAsia"/>
          <w:bCs/>
          <w:sz w:val="32"/>
          <w:szCs w:val="32"/>
        </w:rPr>
        <w:t>，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以减轻病人的症状减少痛苦。对门诊病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人咨询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和指导要做好登记（包括外来人员），对新发现的病人要给予建档，并统计上报。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624401">
        <w:rPr>
          <w:rFonts w:ascii="黑体" w:eastAsia="黑体" w:hAnsi="宋体" w:hint="eastAsia"/>
          <w:bCs/>
          <w:sz w:val="32"/>
          <w:szCs w:val="32"/>
        </w:rPr>
        <w:t>三、食源性寄生虫病监测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我区今年将作为市监测点，开展肝吸虫病中间宿主淡水鱼肝吸虫感染情况监测工作。</w:t>
      </w:r>
    </w:p>
    <w:p w:rsidR="0000320D" w:rsidRPr="00624401" w:rsidRDefault="0000320D" w:rsidP="0000320D">
      <w:pPr>
        <w:spacing w:line="600" w:lineRule="exact"/>
        <w:ind w:firstLineChars="196" w:firstLine="63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1、监测范围：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选择靠近湖、河的乡镇农贸市场，采集当地新鲜的淡水鱼。</w:t>
      </w:r>
    </w:p>
    <w:p w:rsidR="0000320D" w:rsidRPr="00624401" w:rsidRDefault="0000320D" w:rsidP="0000320D">
      <w:pPr>
        <w:spacing w:line="600" w:lineRule="exact"/>
        <w:ind w:firstLineChars="196" w:firstLine="63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2、样品数量：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 xml:space="preserve">每次采集不少于4个鱼种（最好选择感染率高的野生小型鱼种如麦穗鱼、克氏鲦鱼等），每个鱼种不少于5条。 </w:t>
      </w:r>
    </w:p>
    <w:p w:rsidR="0000320D" w:rsidRPr="00624401" w:rsidRDefault="0000320D" w:rsidP="0000320D">
      <w:pPr>
        <w:spacing w:line="600" w:lineRule="exact"/>
        <w:ind w:firstLineChars="196" w:firstLine="63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3、监测时间：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全年共四次，初定在</w:t>
      </w:r>
      <w:smartTag w:uri="urn:schemas-microsoft-com:office:smarttags" w:element="chsdate">
        <w:smartTagPr>
          <w:attr w:name="Year" w:val="2015"/>
          <w:attr w:name="Month" w:val="4"/>
          <w:attr w:name="Day" w:val="28"/>
          <w:attr w:name="IsLunarDate" w:val="False"/>
          <w:attr w:name="IsROCDate" w:val="False"/>
        </w:smartTagPr>
        <w:r w:rsidRPr="00624401">
          <w:rPr>
            <w:rFonts w:ascii="方正仿宋简体" w:eastAsia="方正仿宋简体" w:hAnsi="宋体" w:hint="eastAsia"/>
            <w:bCs/>
            <w:sz w:val="32"/>
            <w:szCs w:val="32"/>
          </w:rPr>
          <w:t>4月28日</w:t>
        </w:r>
      </w:smartTag>
      <w:r w:rsidRPr="00624401">
        <w:rPr>
          <w:rFonts w:ascii="方正仿宋简体" w:eastAsia="方正仿宋简体" w:hAnsi="宋体" w:hint="eastAsia"/>
          <w:bCs/>
          <w:sz w:val="32"/>
          <w:szCs w:val="32"/>
        </w:rPr>
        <w:t>、</w:t>
      </w:r>
      <w:smartTag w:uri="urn:schemas-microsoft-com:office:smarttags" w:element="chsdate">
        <w:smartTagPr>
          <w:attr w:name="Year" w:val="2015"/>
          <w:attr w:name="Month" w:val="6"/>
          <w:attr w:name="Day" w:val="25"/>
          <w:attr w:name="IsLunarDate" w:val="False"/>
          <w:attr w:name="IsROCDate" w:val="False"/>
        </w:smartTagPr>
        <w:r w:rsidRPr="00624401">
          <w:rPr>
            <w:rFonts w:ascii="方正仿宋简体" w:eastAsia="方正仿宋简体" w:hAnsi="宋体" w:hint="eastAsia"/>
            <w:bCs/>
            <w:sz w:val="32"/>
            <w:szCs w:val="32"/>
          </w:rPr>
          <w:t>6月25日</w:t>
        </w:r>
      </w:smartTag>
      <w:r w:rsidRPr="00624401">
        <w:rPr>
          <w:rFonts w:ascii="方正仿宋简体" w:eastAsia="方正仿宋简体" w:hAnsi="宋体" w:hint="eastAsia"/>
          <w:bCs/>
          <w:sz w:val="32"/>
          <w:szCs w:val="32"/>
        </w:rPr>
        <w:t>、</w:t>
      </w:r>
      <w:smartTag w:uri="urn:schemas-microsoft-com:office:smarttags" w:element="chsdate">
        <w:smartTagPr>
          <w:attr w:name="Year" w:val="2015"/>
          <w:attr w:name="Month" w:val="8"/>
          <w:attr w:name="Day" w:val="27"/>
          <w:attr w:name="IsLunarDate" w:val="False"/>
          <w:attr w:name="IsROCDate" w:val="False"/>
        </w:smartTagPr>
        <w:r w:rsidRPr="00624401">
          <w:rPr>
            <w:rFonts w:ascii="方正仿宋简体" w:eastAsia="方正仿宋简体" w:hAnsi="宋体" w:hint="eastAsia"/>
            <w:bCs/>
            <w:sz w:val="32"/>
            <w:szCs w:val="32"/>
          </w:rPr>
          <w:t>8月27日</w:t>
        </w:r>
      </w:smartTag>
      <w:r w:rsidRPr="00624401">
        <w:rPr>
          <w:rFonts w:ascii="方正仿宋简体" w:eastAsia="方正仿宋简体" w:hAnsi="宋体" w:hint="eastAsia"/>
          <w:bCs/>
          <w:sz w:val="32"/>
          <w:szCs w:val="32"/>
        </w:rPr>
        <w:t>、</w:t>
      </w:r>
      <w:smartTag w:uri="urn:schemas-microsoft-com:office:smarttags" w:element="chsdate">
        <w:smartTagPr>
          <w:attr w:name="Year" w:val="2015"/>
          <w:attr w:name="Month" w:val="10"/>
          <w:attr w:name="Day" w:val="27"/>
          <w:attr w:name="IsLunarDate" w:val="False"/>
          <w:attr w:name="IsROCDate" w:val="False"/>
        </w:smartTagPr>
        <w:r w:rsidRPr="00624401">
          <w:rPr>
            <w:rFonts w:ascii="方正仿宋简体" w:eastAsia="方正仿宋简体" w:hAnsi="宋体" w:hint="eastAsia"/>
            <w:bCs/>
            <w:sz w:val="32"/>
            <w:szCs w:val="32"/>
          </w:rPr>
          <w:t>10月27日</w:t>
        </w:r>
      </w:smartTag>
      <w:r w:rsidRPr="00624401">
        <w:rPr>
          <w:rFonts w:ascii="方正仿宋简体" w:eastAsia="方正仿宋简体" w:hAnsi="宋体" w:hint="eastAsia"/>
          <w:bCs/>
          <w:sz w:val="32"/>
          <w:szCs w:val="32"/>
        </w:rPr>
        <w:t>，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区疾控中心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负责采样，样本采集后由检验人员送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市疾控中心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，并参与完成样品检验。</w:t>
      </w:r>
    </w:p>
    <w:p w:rsidR="0000320D" w:rsidRPr="00624401" w:rsidRDefault="0000320D" w:rsidP="0000320D">
      <w:pPr>
        <w:spacing w:line="600" w:lineRule="exact"/>
        <w:ind w:firstLineChars="196" w:firstLine="63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楷体_GB2312" w:eastAsia="楷体_GB2312" w:hAnsi="宋体" w:hint="eastAsia"/>
          <w:b/>
          <w:bCs/>
          <w:sz w:val="32"/>
          <w:szCs w:val="32"/>
        </w:rPr>
        <w:t>4、检验方法：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直接压片法。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624401">
        <w:rPr>
          <w:rFonts w:ascii="黑体" w:eastAsia="黑体" w:hAnsi="宋体" w:hint="eastAsia"/>
          <w:bCs/>
          <w:sz w:val="32"/>
          <w:szCs w:val="32"/>
        </w:rPr>
        <w:lastRenderedPageBreak/>
        <w:t>四、其实重点寄生虫病监测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2015年其他重点寄生虫病的防治工作主要是加强对包虫病的疫情监测和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疫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点调查。辖区内各医疗单位如发现疑似包虫病和食源性寄生虫病的病例</w:t>
      </w:r>
      <w:r>
        <w:rPr>
          <w:rFonts w:ascii="方正仿宋简体" w:eastAsia="方正仿宋简体" w:hAnsi="宋体" w:hint="eastAsia"/>
          <w:bCs/>
          <w:sz w:val="32"/>
          <w:szCs w:val="32"/>
        </w:rPr>
        <w:t>，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应按要求及时上报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区疾控中心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，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配合疾控专业人员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对包虫病病例及时进行走访调查，确定感染来源，认真填写包虫病流行病学调查表并向</w:t>
      </w:r>
      <w:proofErr w:type="gramStart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市疾控中心</w:t>
      </w:r>
      <w:proofErr w:type="gramEnd"/>
      <w:r w:rsidRPr="00624401">
        <w:rPr>
          <w:rFonts w:ascii="方正仿宋简体" w:eastAsia="方正仿宋简体" w:hAnsi="宋体" w:hint="eastAsia"/>
          <w:bCs/>
          <w:sz w:val="32"/>
          <w:szCs w:val="32"/>
        </w:rPr>
        <w:t>报告。发现本地感染的病例按《江苏省包虫病疫情处置方案》执行。</w:t>
      </w:r>
    </w:p>
    <w:p w:rsidR="0000320D" w:rsidRPr="00624401" w:rsidRDefault="0000320D" w:rsidP="0000320D">
      <w:pPr>
        <w:spacing w:line="60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624401">
        <w:rPr>
          <w:rFonts w:ascii="黑体" w:eastAsia="黑体" w:hAnsi="宋体" w:hint="eastAsia"/>
          <w:bCs/>
          <w:sz w:val="32"/>
          <w:szCs w:val="32"/>
        </w:rPr>
        <w:t>五、寄生虫病防治知识宣传</w:t>
      </w:r>
    </w:p>
    <w:p w:rsidR="0000320D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  <w:r w:rsidRPr="00624401">
        <w:rPr>
          <w:rFonts w:ascii="方正仿宋简体" w:eastAsia="方正仿宋简体" w:hAnsi="宋体" w:hint="eastAsia"/>
          <w:bCs/>
          <w:sz w:val="32"/>
          <w:szCs w:val="32"/>
        </w:rPr>
        <w:t>各镇利用宣传栏张贴食源性寄生虫病宣传画，有寄生虫病监测工作的</w:t>
      </w:r>
      <w:r>
        <w:rPr>
          <w:rFonts w:ascii="方正仿宋简体" w:eastAsia="方正仿宋简体" w:hAnsi="宋体" w:hint="eastAsia"/>
          <w:bCs/>
          <w:sz w:val="32"/>
          <w:szCs w:val="32"/>
        </w:rPr>
        <w:t>乡</w:t>
      </w:r>
      <w:r w:rsidRPr="00624401">
        <w:rPr>
          <w:rFonts w:ascii="方正仿宋简体" w:eastAsia="方正仿宋简体" w:hAnsi="宋体" w:hint="eastAsia"/>
          <w:bCs/>
          <w:sz w:val="32"/>
          <w:szCs w:val="32"/>
        </w:rPr>
        <w:t>镇，结合监测工作组织开展食源性寄生虫病、肠道线虫病等防治知识的宣传，增强群众自我保护意识。</w:t>
      </w:r>
    </w:p>
    <w:p w:rsidR="0000320D" w:rsidRDefault="0000320D" w:rsidP="0000320D">
      <w:pPr>
        <w:spacing w:line="600" w:lineRule="exact"/>
        <w:ind w:firstLineChars="200" w:firstLine="640"/>
        <w:rPr>
          <w:rFonts w:ascii="方正仿宋简体" w:eastAsia="方正仿宋简体" w:hAnsi="宋体" w:hint="eastAsia"/>
          <w:bCs/>
          <w:sz w:val="32"/>
          <w:szCs w:val="32"/>
        </w:rPr>
      </w:pPr>
    </w:p>
    <w:p w:rsidR="00531F93" w:rsidRPr="0000320D" w:rsidRDefault="00531F93"/>
    <w:sectPr w:rsidR="00531F93" w:rsidRPr="0000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0D"/>
    <w:rsid w:val="0000320D"/>
    <w:rsid w:val="005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Sky123.Org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2015-04-30T01:51:00Z</dcterms:created>
  <dcterms:modified xsi:type="dcterms:W3CDTF">2015-04-30T01:51:00Z</dcterms:modified>
</cp:coreProperties>
</file>