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3D6DD">
      <w:pPr>
        <w:spacing w:line="300" w:lineRule="auto"/>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常州市武进区人民政府征地补偿安置方案公告</w:t>
      </w:r>
    </w:p>
    <w:p w14:paraId="1B86C018">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武征补安置告〔</w:t>
      </w:r>
      <w:r>
        <w:rPr>
          <w:rFonts w:hint="eastAsia" w:ascii="仿宋_GB2312" w:eastAsia="仿宋_GB2312" w:cs="Times New Roman"/>
          <w:bCs/>
          <w:sz w:val="36"/>
          <w:szCs w:val="36"/>
          <w:u w:val="single"/>
        </w:rPr>
        <w:t>2026</w:t>
      </w:r>
      <w:r>
        <w:rPr>
          <w:rFonts w:hint="eastAsia" w:ascii="仿宋_GB2312" w:eastAsia="仿宋_GB2312" w:cs="Times New Roman"/>
          <w:bCs/>
          <w:sz w:val="36"/>
          <w:szCs w:val="36"/>
        </w:rPr>
        <w:t>〕</w:t>
      </w:r>
      <w:r>
        <w:rPr>
          <w:rFonts w:ascii="仿宋_GB2312" w:eastAsia="仿宋_GB2312" w:cs="仿宋_GB2312"/>
          <w:sz w:val="36"/>
          <w:u w:color="auto"/>
        </w:rPr>
        <w:t>2562号</w:t>
      </w:r>
    </w:p>
    <w:p w14:paraId="1B840A19">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（本公告为第</w:t>
      </w:r>
      <w:r>
        <w:rPr>
          <w:rFonts w:ascii="仿宋_GB2312" w:eastAsia="仿宋_GB2312" w:cs="仿宋_GB2312"/>
          <w:sz w:val="36"/>
          <w:u w:color="auto"/>
        </w:rPr>
        <w:t>一</w:t>
      </w:r>
      <w:r>
        <w:rPr>
          <w:rFonts w:hint="eastAsia" w:ascii="仿宋_GB2312" w:eastAsia="仿宋_GB2312" w:cs="Times New Roman"/>
          <w:bCs/>
          <w:sz w:val="36"/>
          <w:szCs w:val="36"/>
        </w:rPr>
        <w:t>次公告）</w:t>
      </w:r>
    </w:p>
    <w:p w14:paraId="33842F75">
      <w:pPr>
        <w:spacing w:line="360" w:lineRule="auto"/>
        <w:ind w:firstLine="560" w:firstLineChars="200"/>
        <w:rPr>
          <w:rFonts w:cs="Times New Roman"/>
          <w:sz w:val="28"/>
          <w:szCs w:val="28"/>
        </w:rPr>
      </w:pPr>
    </w:p>
    <w:p w14:paraId="711D7531">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七条、第四十八条，《中华人民共和国土地管理法实施条例》第二十七条、第二十八条，《江苏省土地管理条例》第三十七条的规定，依据武预征告〔2025〕62号开展的拟征收土地现状调查和社会稳定风险评估结果，现将拟订的征收土地补偿安置方案有关事项公告如下：</w:t>
      </w:r>
    </w:p>
    <w:p w14:paraId="1225C2E7">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一、征收范围</w:t>
      </w:r>
    </w:p>
    <w:p w14:paraId="4DB2D330">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本次拟征收土地</w:t>
      </w:r>
      <w:r>
        <w:rPr>
          <w:rFonts w:ascii="仿宋_GB2312" w:eastAsia="仿宋_GB2312" w:cs="仿宋_GB2312"/>
          <w:sz w:val="32"/>
          <w:u w:color="auto"/>
        </w:rPr>
        <w:t>225113</w:t>
      </w:r>
      <w:r>
        <w:rPr>
          <w:rFonts w:hint="eastAsia" w:ascii="仿宋_GB2312" w:eastAsia="仿宋_GB2312" w:cs="Times New Roman"/>
          <w:sz w:val="32"/>
          <w:szCs w:val="32"/>
        </w:rPr>
        <w:t>地块位于</w:t>
      </w:r>
      <w:r>
        <w:rPr>
          <w:rFonts w:ascii="仿宋_GB2312" w:eastAsia="仿宋_GB2312" w:cs="仿宋_GB2312"/>
          <w:sz w:val="32"/>
          <w:u w:color="auto"/>
        </w:rPr>
        <w:t>南夏墅街道</w:t>
      </w:r>
      <w:r>
        <w:rPr>
          <w:rFonts w:hint="eastAsia" w:ascii="仿宋_GB2312" w:eastAsia="仿宋_GB2312" w:cs="Times New Roman"/>
          <w:sz w:val="32"/>
          <w:szCs w:val="32"/>
        </w:rPr>
        <w:t>范围内。拟征收土地位置详见附图。</w:t>
      </w:r>
    </w:p>
    <w:p w14:paraId="605CA5E9">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5D55D4CD">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二、土地现状</w:t>
      </w:r>
    </w:p>
    <w:p w14:paraId="40D1B1A9">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根据拟征收土地现状调查结果，本次拟征收土地现状如下：</w:t>
      </w:r>
    </w:p>
    <w:p w14:paraId="47997D88">
      <w:pPr>
        <w:spacing w:line="480" w:lineRule="auto"/>
        <w:ind w:right="44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 xml:space="preserve">单位：公顷 </w:t>
      </w:r>
    </w:p>
    <w:tbl>
      <w:tblPr>
        <w:tblStyle w:val="7"/>
        <w:tblW w:w="1318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094"/>
        <w:gridCol w:w="1591"/>
        <w:gridCol w:w="1591"/>
        <w:gridCol w:w="1796"/>
        <w:gridCol w:w="1560"/>
        <w:gridCol w:w="1559"/>
      </w:tblGrid>
      <w:tr w14:paraId="7DF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992" w:type="dxa"/>
            <w:vMerge w:val="restart"/>
            <w:vAlign w:val="center"/>
          </w:tcPr>
          <w:p w14:paraId="66719BC7">
            <w:pPr>
              <w:spacing w:line="480" w:lineRule="auto"/>
              <w:jc w:val="center"/>
              <w:rPr>
                <w:rFonts w:ascii="仿宋_GB2312" w:hAnsi="宋体" w:eastAsia="仿宋_GB2312"/>
                <w:sz w:val="32"/>
                <w:szCs w:val="32"/>
              </w:rPr>
            </w:pPr>
            <w:r>
              <w:rPr>
                <w:rFonts w:hint="eastAsia" w:ascii="仿宋_GB2312" w:hAnsi="宋体" w:eastAsia="仿宋_GB2312"/>
                <w:sz w:val="32"/>
                <w:szCs w:val="32"/>
              </w:rPr>
              <w:t>序号</w:t>
            </w:r>
          </w:p>
        </w:tc>
        <w:tc>
          <w:tcPr>
            <w:tcW w:w="4094" w:type="dxa"/>
            <w:vMerge w:val="restart"/>
            <w:vAlign w:val="center"/>
          </w:tcPr>
          <w:p w14:paraId="2F72052C">
            <w:pPr>
              <w:spacing w:line="480" w:lineRule="auto"/>
              <w:ind w:left="-63" w:leftChars="-30" w:right="-170"/>
              <w:jc w:val="center"/>
              <w:rPr>
                <w:rFonts w:ascii="仿宋_GB2312" w:hAnsi="宋体" w:eastAsia="仿宋_GB2312"/>
                <w:sz w:val="32"/>
                <w:szCs w:val="32"/>
              </w:rPr>
            </w:pPr>
            <w:r>
              <w:rPr>
                <w:rFonts w:hint="eastAsia" w:ascii="仿宋_GB2312" w:hAnsi="宋体" w:eastAsia="仿宋_GB2312"/>
                <w:sz w:val="32"/>
                <w:szCs w:val="32"/>
              </w:rPr>
              <w:t>被征地村组</w:t>
            </w:r>
          </w:p>
        </w:tc>
        <w:tc>
          <w:tcPr>
            <w:tcW w:w="8097" w:type="dxa"/>
            <w:gridSpan w:val="5"/>
            <w:vAlign w:val="center"/>
          </w:tcPr>
          <w:p w14:paraId="443D47B2">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被征地面积</w:t>
            </w:r>
          </w:p>
        </w:tc>
      </w:tr>
      <w:tr w14:paraId="68F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2" w:type="dxa"/>
            <w:vMerge w:val="continue"/>
            <w:vAlign w:val="center"/>
          </w:tcPr>
          <w:p w14:paraId="1E91AE70">
            <w:pPr>
              <w:spacing w:line="480" w:lineRule="auto"/>
              <w:jc w:val="center"/>
              <w:rPr>
                <w:rFonts w:ascii="仿宋_GB2312" w:hAnsi="宋体" w:eastAsia="仿宋_GB2312"/>
                <w:sz w:val="32"/>
                <w:szCs w:val="32"/>
              </w:rPr>
            </w:pPr>
          </w:p>
        </w:tc>
        <w:tc>
          <w:tcPr>
            <w:tcW w:w="4094" w:type="dxa"/>
            <w:vMerge w:val="continue"/>
            <w:vAlign w:val="center"/>
          </w:tcPr>
          <w:p w14:paraId="55DDBF0D">
            <w:pPr>
              <w:spacing w:line="480" w:lineRule="auto"/>
              <w:ind w:left="-63" w:leftChars="-30" w:right="-170"/>
              <w:jc w:val="center"/>
              <w:rPr>
                <w:rFonts w:ascii="仿宋_GB2312" w:hAnsi="宋体" w:eastAsia="仿宋_GB2312"/>
                <w:sz w:val="32"/>
                <w:szCs w:val="32"/>
              </w:rPr>
            </w:pPr>
          </w:p>
        </w:tc>
        <w:tc>
          <w:tcPr>
            <w:tcW w:w="1591" w:type="dxa"/>
            <w:vAlign w:val="center"/>
          </w:tcPr>
          <w:p w14:paraId="36F730B0">
            <w:pPr>
              <w:spacing w:line="480" w:lineRule="auto"/>
              <w:jc w:val="center"/>
              <w:rPr>
                <w:rFonts w:ascii="仿宋_GB2312" w:eastAsia="仿宋_GB2312" w:cs="Times New Roman"/>
                <w:sz w:val="32"/>
                <w:szCs w:val="32"/>
              </w:rPr>
            </w:pPr>
            <w:r>
              <w:rPr>
                <w:rFonts w:ascii="仿宋_GB2312" w:eastAsia="仿宋_GB2312" w:cs="仿宋_GB2312"/>
                <w:sz w:val="32"/>
                <w:u w:color="auto"/>
              </w:rPr>
              <w:t>小计</w:t>
            </w:r>
          </w:p>
        </w:tc>
        <w:tc>
          <w:tcPr>
            <w:tcW w:w="1591" w:type="dxa"/>
            <w:vAlign w:val="center"/>
          </w:tcPr>
          <w:p w14:paraId="4413970B">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农用地</w:t>
            </w:r>
          </w:p>
        </w:tc>
        <w:tc>
          <w:tcPr>
            <w:tcW w:w="1796" w:type="dxa"/>
            <w:vAlign w:val="center"/>
          </w:tcPr>
          <w:p w14:paraId="3E96694C">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其中：耕地</w:t>
            </w:r>
          </w:p>
        </w:tc>
        <w:tc>
          <w:tcPr>
            <w:tcW w:w="1560" w:type="dxa"/>
            <w:vAlign w:val="center"/>
          </w:tcPr>
          <w:p w14:paraId="2B525C75">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建设用地</w:t>
            </w:r>
          </w:p>
        </w:tc>
        <w:tc>
          <w:tcPr>
            <w:tcW w:w="1559" w:type="dxa"/>
            <w:vAlign w:val="center"/>
          </w:tcPr>
          <w:p w14:paraId="11B1B1CC">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未利用地</w:t>
            </w:r>
          </w:p>
        </w:tc>
      </w:tr>
      <w:tr w14:paraId="00E3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14:paraId="0CA2EFA1">
            <w:pPr>
              <w:spacing w:line="480" w:lineRule="auto"/>
              <w:jc w:val="center"/>
              <w:rPr>
                <w:rFonts w:ascii="仿宋_GB2312" w:eastAsia="仿宋_GB2312" w:hAnsiTheme="minorHAnsi"/>
                <w:sz w:val="32"/>
                <w:szCs w:val="32"/>
              </w:rPr>
            </w:pPr>
            <w:bookmarkStart w:id="0" w:name="_Hlk92373203"/>
            <w:r>
              <w:rPr>
                <w:rFonts w:hint="eastAsia" w:ascii="仿宋" w:hAnsi="仿宋" w:eastAsia="仿宋"/>
                <w:sz w:val="32"/>
                <w:szCs w:val="32"/>
              </w:rPr>
              <w:t>1</w:t>
            </w:r>
          </w:p>
        </w:tc>
        <w:tc>
          <w:tcPr>
            <w:tcW w:w="4094" w:type="dxa"/>
            <w:tcBorders>
              <w:top w:val="single" w:color="000000" w:sz="4" w:space="0"/>
              <w:left w:val="single" w:color="000000" w:sz="4" w:space="0"/>
              <w:bottom w:val="single" w:color="000000" w:sz="4" w:space="0"/>
              <w:right w:val="single" w:color="000000" w:sz="4" w:space="0"/>
            </w:tcBorders>
            <w:vAlign w:val="center"/>
          </w:tcPr>
          <w:p w14:paraId="61CFA610">
            <w:pPr>
              <w:jc w:val="center"/>
              <w:rPr>
                <w:rFonts w:ascii="仿宋_GB2312" w:hAnsi="宋体" w:eastAsia="仿宋_GB2312" w:cs="宋体"/>
                <w:sz w:val="32"/>
                <w:szCs w:val="32"/>
              </w:rPr>
            </w:pPr>
            <w:r>
              <w:rPr>
                <w:rFonts w:hint="eastAsia" w:ascii="仿宋_GB2312" w:hAnsi="宋体" w:eastAsia="仿宋_GB2312" w:cs="宋体"/>
                <w:sz w:val="32"/>
                <w:szCs w:val="32"/>
              </w:rPr>
              <w:t>南夏墅街道</w:t>
            </w:r>
          </w:p>
        </w:tc>
        <w:tc>
          <w:tcPr>
            <w:tcW w:w="1591" w:type="dxa"/>
            <w:tcBorders>
              <w:top w:val="single" w:color="auto" w:sz="4" w:space="0"/>
              <w:left w:val="single" w:color="auto" w:sz="4" w:space="0"/>
              <w:bottom w:val="single" w:color="auto" w:sz="4" w:space="0"/>
              <w:right w:val="single" w:color="auto" w:sz="4" w:space="0"/>
            </w:tcBorders>
            <w:vAlign w:val="center"/>
          </w:tcPr>
          <w:p w14:paraId="7622A4F4">
            <w:pPr>
              <w:jc w:val="center"/>
              <w:rPr>
                <w:rFonts w:ascii="仿宋_GB2312" w:eastAsia="仿宋_GB2312" w:cs="Times New Roman"/>
                <w:sz w:val="32"/>
                <w:szCs w:val="32"/>
              </w:rPr>
            </w:pPr>
            <w:r>
              <w:rPr>
                <w:rFonts w:hint="eastAsia" w:ascii="仿宋_GB2312" w:eastAsia="仿宋_GB2312" w:cs="Times New Roman"/>
                <w:sz w:val="32"/>
                <w:szCs w:val="32"/>
              </w:rPr>
              <w:t>0.0066</w:t>
            </w:r>
          </w:p>
        </w:tc>
        <w:tc>
          <w:tcPr>
            <w:tcW w:w="1591" w:type="dxa"/>
            <w:tcBorders>
              <w:top w:val="single" w:color="auto" w:sz="4" w:space="0"/>
              <w:left w:val="single" w:color="auto" w:sz="4" w:space="0"/>
              <w:bottom w:val="single" w:color="auto" w:sz="4" w:space="0"/>
              <w:right w:val="single" w:color="auto" w:sz="4" w:space="0"/>
            </w:tcBorders>
            <w:vAlign w:val="center"/>
          </w:tcPr>
          <w:p w14:paraId="2A1F091F">
            <w:pPr>
              <w:jc w:val="center"/>
              <w:rPr>
                <w:rFonts w:ascii="仿宋_GB2312" w:eastAsia="仿宋_GB2312" w:cs="Times New Roman"/>
                <w:sz w:val="32"/>
                <w:szCs w:val="32"/>
              </w:rPr>
            </w:pPr>
            <w:r>
              <w:rPr>
                <w:rFonts w:hint="eastAsia" w:ascii="仿宋_GB2312" w:eastAsia="仿宋_GB2312" w:cs="Times New Roman"/>
                <w:sz w:val="32"/>
                <w:szCs w:val="32"/>
              </w:rPr>
              <w:t>0.0066</w:t>
            </w:r>
          </w:p>
        </w:tc>
        <w:tc>
          <w:tcPr>
            <w:tcW w:w="1796" w:type="dxa"/>
            <w:tcBorders>
              <w:top w:val="single" w:color="auto" w:sz="4" w:space="0"/>
              <w:left w:val="nil"/>
              <w:bottom w:val="single" w:color="auto" w:sz="4" w:space="0"/>
              <w:right w:val="single" w:color="auto" w:sz="4" w:space="0"/>
            </w:tcBorders>
            <w:vAlign w:val="center"/>
          </w:tcPr>
          <w:p w14:paraId="03ADB412">
            <w:pPr>
              <w:jc w:val="center"/>
              <w:rPr>
                <w:rFonts w:ascii="仿宋_GB2312" w:eastAsia="仿宋_GB2312" w:cs="Times New Roman"/>
                <w:sz w:val="32"/>
                <w:szCs w:val="32"/>
              </w:rPr>
            </w:pPr>
            <w:r>
              <w:rPr>
                <w:rFonts w:hint="eastAsia" w:ascii="仿宋_GB2312" w:eastAsia="仿宋_GB2312" w:cs="Times New Roman"/>
                <w:sz w:val="32"/>
                <w:szCs w:val="32"/>
              </w:rPr>
              <w:t>0.0021</w:t>
            </w:r>
          </w:p>
        </w:tc>
        <w:tc>
          <w:tcPr>
            <w:tcW w:w="1560" w:type="dxa"/>
            <w:tcBorders>
              <w:top w:val="single" w:color="auto" w:sz="4" w:space="0"/>
              <w:left w:val="single" w:color="auto" w:sz="4" w:space="0"/>
              <w:bottom w:val="single" w:color="auto" w:sz="4" w:space="0"/>
              <w:right w:val="single" w:color="auto" w:sz="4" w:space="0"/>
            </w:tcBorders>
            <w:vAlign w:val="center"/>
          </w:tcPr>
          <w:p w14:paraId="39E1C6CB">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14:paraId="416954B7">
            <w:pPr>
              <w:jc w:val="center"/>
              <w:rPr>
                <w:rFonts w:ascii="仿宋_GB2312" w:eastAsia="仿宋_GB2312" w:cs="Times New Roman"/>
                <w:sz w:val="32"/>
                <w:szCs w:val="32"/>
              </w:rPr>
            </w:pPr>
            <w:r>
              <w:rPr>
                <w:rFonts w:hint="eastAsia" w:ascii="仿宋_GB2312" w:eastAsia="仿宋_GB2312" w:cs="Times New Roman"/>
                <w:sz w:val="32"/>
                <w:szCs w:val="32"/>
              </w:rPr>
              <w:t>0</w:t>
            </w:r>
          </w:p>
        </w:tc>
      </w:tr>
      <w:bookmarkEnd w:id="0"/>
      <w:tr w14:paraId="43CA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14:paraId="3F6DAB19">
            <w:pPr>
              <w:spacing w:line="480" w:lineRule="auto"/>
              <w:ind w:right="-105"/>
              <w:jc w:val="center"/>
              <w:rPr>
                <w:rFonts w:ascii="仿宋_GB2312" w:eastAsia="仿宋_GB2312" w:hAnsiTheme="minorHAnsi"/>
                <w:b/>
                <w:sz w:val="32"/>
                <w:szCs w:val="32"/>
              </w:rPr>
            </w:pPr>
          </w:p>
        </w:tc>
        <w:tc>
          <w:tcPr>
            <w:tcW w:w="4094" w:type="dxa"/>
            <w:vAlign w:val="center"/>
          </w:tcPr>
          <w:p w14:paraId="6D49ADBB">
            <w:pPr>
              <w:spacing w:line="480" w:lineRule="auto"/>
              <w:jc w:val="center"/>
              <w:rPr>
                <w:rFonts w:ascii="仿宋_GB2312" w:eastAsia="仿宋_GB2312" w:hAnsiTheme="minorHAnsi"/>
                <w:sz w:val="32"/>
                <w:szCs w:val="32"/>
              </w:rPr>
            </w:pPr>
            <w:r>
              <w:rPr>
                <w:rFonts w:hint="eastAsia" w:ascii="仿宋_GB2312" w:eastAsia="仿宋_GB2312" w:hAnsiTheme="minorHAnsi"/>
                <w:sz w:val="32"/>
                <w:szCs w:val="32"/>
              </w:rPr>
              <w:t>合计</w:t>
            </w:r>
          </w:p>
        </w:tc>
        <w:tc>
          <w:tcPr>
            <w:tcW w:w="1591" w:type="dxa"/>
            <w:tcBorders>
              <w:top w:val="nil"/>
              <w:left w:val="single" w:color="auto" w:sz="4" w:space="0"/>
              <w:bottom w:val="single" w:color="auto" w:sz="4" w:space="0"/>
              <w:right w:val="single" w:color="auto" w:sz="4" w:space="0"/>
            </w:tcBorders>
            <w:vAlign w:val="center"/>
          </w:tcPr>
          <w:p w14:paraId="3E9AC775">
            <w:pPr>
              <w:jc w:val="center"/>
              <w:rPr>
                <w:rFonts w:ascii="仿宋_GB2312" w:eastAsia="仿宋_GB2312" w:cs="Times New Roman"/>
                <w:b/>
                <w:bCs/>
                <w:sz w:val="32"/>
                <w:szCs w:val="32"/>
              </w:rPr>
            </w:pPr>
            <w:r>
              <w:rPr>
                <w:rFonts w:ascii="仿宋_GB2312" w:eastAsia="仿宋_GB2312" w:cs="Times New Roman"/>
                <w:b/>
                <w:bCs/>
                <w:sz w:val="32"/>
                <w:szCs w:val="32"/>
              </w:rPr>
              <w:t>0.0066</w:t>
            </w:r>
          </w:p>
        </w:tc>
        <w:tc>
          <w:tcPr>
            <w:tcW w:w="1591" w:type="dxa"/>
            <w:tcBorders>
              <w:top w:val="nil"/>
              <w:left w:val="single" w:color="auto" w:sz="4" w:space="0"/>
              <w:bottom w:val="single" w:color="auto" w:sz="4" w:space="0"/>
              <w:right w:val="single" w:color="auto" w:sz="4" w:space="0"/>
            </w:tcBorders>
            <w:vAlign w:val="center"/>
          </w:tcPr>
          <w:p w14:paraId="52E2BC54">
            <w:pPr>
              <w:jc w:val="center"/>
              <w:rPr>
                <w:rFonts w:ascii="仿宋_GB2312" w:eastAsia="仿宋_GB2312" w:cs="Times New Roman"/>
                <w:b/>
                <w:bCs/>
                <w:sz w:val="32"/>
                <w:szCs w:val="32"/>
              </w:rPr>
            </w:pPr>
            <w:r>
              <w:rPr>
                <w:rFonts w:hint="eastAsia" w:ascii="仿宋_GB2312" w:eastAsia="仿宋_GB2312" w:cs="Times New Roman"/>
                <w:b/>
                <w:bCs/>
                <w:sz w:val="32"/>
                <w:szCs w:val="32"/>
              </w:rPr>
              <w:t>0.0066</w:t>
            </w:r>
          </w:p>
        </w:tc>
        <w:tc>
          <w:tcPr>
            <w:tcW w:w="1796" w:type="dxa"/>
            <w:tcBorders>
              <w:top w:val="nil"/>
              <w:left w:val="nil"/>
              <w:bottom w:val="single" w:color="auto" w:sz="4" w:space="0"/>
              <w:right w:val="single" w:color="auto" w:sz="4" w:space="0"/>
            </w:tcBorders>
            <w:vAlign w:val="center"/>
          </w:tcPr>
          <w:p w14:paraId="5F5FC0C6">
            <w:pPr>
              <w:jc w:val="center"/>
              <w:rPr>
                <w:rFonts w:ascii="仿宋_GB2312" w:eastAsia="仿宋_GB2312" w:cs="Times New Roman"/>
                <w:b/>
                <w:bCs/>
                <w:sz w:val="32"/>
                <w:szCs w:val="32"/>
              </w:rPr>
            </w:pPr>
            <w:r>
              <w:rPr>
                <w:rFonts w:ascii="仿宋_GB2312" w:eastAsia="仿宋_GB2312" w:cs="Times New Roman"/>
                <w:b/>
                <w:bCs/>
                <w:sz w:val="32"/>
                <w:szCs w:val="32"/>
              </w:rPr>
              <w:t>0.0021</w:t>
            </w:r>
          </w:p>
        </w:tc>
        <w:tc>
          <w:tcPr>
            <w:tcW w:w="1560" w:type="dxa"/>
            <w:tcBorders>
              <w:top w:val="nil"/>
              <w:left w:val="single" w:color="auto" w:sz="4" w:space="0"/>
              <w:bottom w:val="single" w:color="auto" w:sz="4" w:space="0"/>
              <w:right w:val="single" w:color="auto" w:sz="4" w:space="0"/>
            </w:tcBorders>
            <w:vAlign w:val="center"/>
          </w:tcPr>
          <w:p w14:paraId="77735919">
            <w:pPr>
              <w:jc w:val="center"/>
              <w:rPr>
                <w:rFonts w:ascii="仿宋_GB2312" w:eastAsia="仿宋_GB2312" w:cs="Times New Roman"/>
                <w:b/>
                <w:bCs/>
                <w:sz w:val="32"/>
                <w:szCs w:val="32"/>
              </w:rPr>
            </w:pPr>
            <w:r>
              <w:rPr>
                <w:rFonts w:ascii="仿宋_GB2312" w:eastAsia="仿宋_GB2312" w:cs="Times New Roman"/>
                <w:b/>
                <w:bCs/>
                <w:sz w:val="32"/>
                <w:szCs w:val="32"/>
              </w:rPr>
              <w:t>0</w:t>
            </w:r>
          </w:p>
        </w:tc>
        <w:tc>
          <w:tcPr>
            <w:tcW w:w="1559" w:type="dxa"/>
            <w:tcBorders>
              <w:top w:val="single" w:color="auto" w:sz="4" w:space="0"/>
              <w:left w:val="nil"/>
              <w:bottom w:val="single" w:color="auto" w:sz="4" w:space="0"/>
              <w:right w:val="single" w:color="auto" w:sz="4" w:space="0"/>
            </w:tcBorders>
            <w:vAlign w:val="center"/>
          </w:tcPr>
          <w:p w14:paraId="1F2E06E0">
            <w:pPr>
              <w:jc w:val="center"/>
              <w:rPr>
                <w:rFonts w:ascii="仿宋_GB2312" w:eastAsia="仿宋_GB2312" w:cs="Times New Roman"/>
                <w:b/>
                <w:bCs/>
                <w:sz w:val="32"/>
                <w:szCs w:val="32"/>
              </w:rPr>
            </w:pPr>
            <w:r>
              <w:rPr>
                <w:rFonts w:ascii="仿宋_GB2312" w:eastAsia="仿宋_GB2312" w:cs="Times New Roman"/>
                <w:b/>
                <w:bCs/>
                <w:sz w:val="32"/>
                <w:szCs w:val="32"/>
              </w:rPr>
              <w:t>0</w:t>
            </w:r>
          </w:p>
        </w:tc>
      </w:tr>
    </w:tbl>
    <w:p w14:paraId="4A3754C3">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三、征收目的</w:t>
      </w:r>
    </w:p>
    <w:p w14:paraId="47BB94BB">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w:t>
      </w:r>
      <w:r>
        <w:rPr>
          <w:rFonts w:ascii="仿宋_GB2312" w:eastAsia="仿宋_GB2312" w:cs="仿宋_GB2312"/>
          <w:sz w:val="32"/>
          <w:u w:color="auto"/>
        </w:rPr>
        <w:t>成片开发建设需要用地。</w:t>
      </w:r>
    </w:p>
    <w:p w14:paraId="0245A640">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四、补偿方式与标准</w:t>
      </w:r>
    </w:p>
    <w:p w14:paraId="45079055">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（一）土地补偿费和安置补助费标准</w:t>
      </w:r>
    </w:p>
    <w:p w14:paraId="4E38F7BA">
      <w:pPr>
        <w:pStyle w:val="2"/>
        <w:spacing w:line="420" w:lineRule="exact"/>
        <w:ind w:firstLine="640" w:firstLineChars="200"/>
        <w:jc w:val="both"/>
        <w:rPr>
          <w:rFonts w:ascii="仿宋_GB2312" w:eastAsia="仿宋_GB2312" w:cs="仿宋" w:hAnsiTheme="minorEastAsia"/>
        </w:rPr>
      </w:pPr>
      <w:r>
        <w:rPr>
          <w:rFonts w:hint="eastAsia" w:ascii="仿宋_GB2312" w:eastAsia="仿宋_GB2312" w:cs="Times New Roman" w:hAnsiTheme="minorEastAsia"/>
        </w:rPr>
        <w:t>土地补偿费标准，按照</w:t>
      </w:r>
      <w:r>
        <w:rPr>
          <w:rFonts w:hint="eastAsia" w:ascii="仿宋_GB2312" w:hAnsi="Times New Roman" w:eastAsia="仿宋_GB2312" w:cs="Times New Roman"/>
          <w:kern w:val="2"/>
          <w:lang w:val="en-US" w:bidi="ar-SA"/>
        </w:rPr>
        <w:t>《</w:t>
      </w:r>
      <w:r>
        <w:rPr>
          <w:rFonts w:hint="eastAsia" w:ascii="仿宋_GB2312" w:eastAsia="仿宋_GB2312" w:cs="Times New Roman"/>
        </w:rPr>
        <w:t>市政府关于调整常州市所辖各市（区）征地区片综合地价执行标准的通知》（常政规〔2026〕2号）</w:t>
      </w:r>
      <w:r>
        <w:rPr>
          <w:rFonts w:hint="eastAsia" w:ascii="仿宋_GB2312" w:eastAsia="仿宋_GB2312" w:cs="Times New Roman" w:hAnsiTheme="minorEastAsia"/>
        </w:rPr>
        <w:t>文件规定执行，全区征收农民集体农用地区片综合地价由土地补偿费和安置补助费组成，标准为</w:t>
      </w:r>
      <w:r>
        <w:rPr>
          <w:rFonts w:hint="eastAsia" w:ascii="仿宋_GB2312" w:eastAsia="仿宋_GB2312" w:cs="Times New Roman"/>
        </w:rPr>
        <w:t>71000</w:t>
      </w:r>
      <w:r>
        <w:rPr>
          <w:rFonts w:hint="eastAsia" w:ascii="仿宋_GB2312" w:eastAsia="仿宋_GB2312" w:cs="Times New Roman" w:hAnsiTheme="minorEastAsia"/>
        </w:rPr>
        <w:t>元/亩，其中土地补偿费为</w:t>
      </w:r>
      <w:r>
        <w:rPr>
          <w:rFonts w:hint="eastAsia" w:ascii="仿宋_GB2312" w:eastAsia="仿宋_GB2312" w:cs="Times New Roman"/>
        </w:rPr>
        <w:t>35000</w:t>
      </w:r>
      <w:r>
        <w:rPr>
          <w:rFonts w:hint="eastAsia" w:ascii="仿宋_GB2312" w:eastAsia="仿宋_GB2312" w:cs="Times New Roman" w:hAnsiTheme="minorEastAsia"/>
        </w:rPr>
        <w:t>元/亩、安置补助费为</w:t>
      </w:r>
      <w:r>
        <w:rPr>
          <w:rFonts w:hint="eastAsia" w:ascii="仿宋_GB2312" w:eastAsia="仿宋_GB2312" w:cs="Times New Roman"/>
        </w:rPr>
        <w:t>36000</w:t>
      </w:r>
      <w:r>
        <w:rPr>
          <w:rFonts w:hint="eastAsia" w:ascii="仿宋_GB2312" w:eastAsia="仿宋_GB2312" w:cs="仿宋" w:hAnsiTheme="minorEastAsia"/>
        </w:rPr>
        <w:t>元/人。</w:t>
      </w:r>
    </w:p>
    <w:p w14:paraId="7A848C29">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征收集体建设用地参照所在区片征收集体农用地区片综合地价标准执行。</w:t>
      </w:r>
    </w:p>
    <w:p w14:paraId="4A01E8D2">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征收集体未利用地参照所在区片征收集体农用地区片综合地价标准的0.7倍执行。</w:t>
      </w:r>
    </w:p>
    <w:p w14:paraId="464D97BB">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（二）青苗补偿标准</w:t>
      </w:r>
    </w:p>
    <w:p w14:paraId="29C2B9CD">
      <w:pPr>
        <w:pStyle w:val="2"/>
        <w:spacing w:line="420" w:lineRule="exact"/>
        <w:ind w:firstLine="640" w:firstLineChars="200"/>
        <w:rPr>
          <w:rFonts w:ascii="仿宋_GB2312" w:eastAsia="仿宋_GB2312" w:cs="Times New Roman"/>
          <w:lang w:val="en-US"/>
        </w:rPr>
      </w:pPr>
      <w:r>
        <w:rPr>
          <w:rFonts w:hint="eastAsia" w:ascii="仿宋_GB2312" w:hAnsi="Times New Roman" w:eastAsia="仿宋_GB2312" w:cs="Times New Roman"/>
          <w:kern w:val="2"/>
          <w:lang w:val="en-US" w:bidi="ar-SA"/>
        </w:rPr>
        <w:t>青苗补偿标准，</w:t>
      </w:r>
      <w:r>
        <w:rPr>
          <w:rFonts w:hint="eastAsia" w:ascii="仿宋_GB2312" w:eastAsia="仿宋_GB2312" w:cs="Times New Roman" w:hAnsiTheme="minorEastAsia"/>
        </w:rPr>
        <w:t>按实结算。</w:t>
      </w:r>
    </w:p>
    <w:p w14:paraId="2E5EB149">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（三）地上附着物补偿标准</w:t>
      </w:r>
    </w:p>
    <w:p w14:paraId="01C3FFC3">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地上附着物补偿标准，按实结算。</w:t>
      </w:r>
    </w:p>
    <w:p w14:paraId="57377ED5">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五、安置对象、方式及社会保障</w:t>
      </w:r>
    </w:p>
    <w:p w14:paraId="0709848E">
      <w:pPr>
        <w:spacing w:line="420" w:lineRule="exact"/>
        <w:ind w:firstLine="640" w:firstLineChars="200"/>
        <w:jc w:val="left"/>
        <w:rPr>
          <w:rFonts w:ascii="仿宋_GB2312" w:hAnsi="宋体" w:eastAsia="仿宋_GB2312" w:cs="Times New Roman"/>
          <w:kern w:val="0"/>
          <w:sz w:val="32"/>
          <w:szCs w:val="32"/>
          <w:lang w:bidi="zh-CN"/>
        </w:rPr>
      </w:pPr>
      <w:r>
        <w:rPr>
          <w:rFonts w:hint="eastAsia" w:ascii="仿宋_GB2312" w:eastAsia="仿宋_GB2312" w:cs="Times New Roman"/>
          <w:sz w:val="32"/>
          <w:szCs w:val="32"/>
        </w:rPr>
        <w:t>本次征收土地涉及被征地农民的安置和社会保障按照《</w:t>
      </w:r>
      <w:r>
        <w:rPr>
          <w:rFonts w:hint="eastAsia" w:ascii="仿宋_GB2312" w:hAnsi="宋体" w:eastAsia="仿宋_GB2312" w:cs="Times New Roman"/>
          <w:kern w:val="0"/>
          <w:sz w:val="32"/>
          <w:szCs w:val="32"/>
          <w:lang w:bidi="zh-CN"/>
        </w:rPr>
        <w:t>省政府关于印发江苏省被征地农民社会保障办法的通知》（苏政发〔2021〕87号）</w:t>
      </w:r>
      <w:r>
        <w:rPr>
          <w:rFonts w:hint="eastAsia" w:ascii="仿宋_GB2312" w:eastAsia="仿宋_GB2312" w:cs="Times New Roman"/>
          <w:sz w:val="32"/>
          <w:szCs w:val="32"/>
        </w:rPr>
        <w:t>的规定执行。不满16周岁的安置人员不作为被征地农民参加城乡社会保障，其本人的安置补助费由设区的市、县（市、区）人民政府按规定足额支付。各年龄段拟安置情况如下：</w:t>
      </w:r>
    </w:p>
    <w:p w14:paraId="132EF788">
      <w:pPr>
        <w:pStyle w:val="2"/>
        <w:spacing w:line="500" w:lineRule="exact"/>
        <w:ind w:left="113" w:right="1386" w:firstLine="640" w:firstLineChars="200"/>
        <w:jc w:val="right"/>
        <w:rPr>
          <w:rFonts w:ascii="仿宋_GB2312" w:hAnsi="Times New Roman" w:eastAsia="仿宋_GB2312" w:cs="Times New Roman"/>
        </w:rPr>
      </w:pPr>
      <w:r>
        <w:rPr>
          <w:rFonts w:hint="eastAsia" w:ascii="仿宋_GB2312" w:hAnsi="Times New Roman" w:eastAsia="仿宋_GB2312" w:cs="Times New Roman"/>
        </w:rPr>
        <w:t>单位：人</w:t>
      </w:r>
    </w:p>
    <w:tbl>
      <w:tblPr>
        <w:tblStyle w:val="8"/>
        <w:tblW w:w="11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4367"/>
        <w:gridCol w:w="1977"/>
        <w:gridCol w:w="1977"/>
        <w:gridCol w:w="1977"/>
      </w:tblGrid>
      <w:tr w14:paraId="02D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0" w:type="dxa"/>
            <w:vMerge w:val="restart"/>
            <w:vAlign w:val="center"/>
          </w:tcPr>
          <w:p w14:paraId="0BDADBE0">
            <w:pPr>
              <w:jc w:val="center"/>
              <w:rPr>
                <w:rFonts w:ascii="仿宋_GB2312" w:hAnsi="仿宋" w:eastAsia="仿宋_GB2312" w:cs="Times New Roman"/>
                <w:sz w:val="32"/>
                <w:szCs w:val="32"/>
              </w:rPr>
            </w:pPr>
            <w:r>
              <w:rPr>
                <w:rFonts w:hint="eastAsia" w:ascii="仿宋_GB2312" w:hAnsi="仿宋" w:eastAsia="仿宋_GB2312" w:cs="Times New Roman"/>
                <w:sz w:val="32"/>
                <w:szCs w:val="32"/>
              </w:rPr>
              <w:t>序号</w:t>
            </w:r>
          </w:p>
        </w:tc>
        <w:tc>
          <w:tcPr>
            <w:tcW w:w="4367" w:type="dxa"/>
            <w:vMerge w:val="restart"/>
            <w:vAlign w:val="center"/>
          </w:tcPr>
          <w:p w14:paraId="6631CE14">
            <w:pPr>
              <w:jc w:val="center"/>
              <w:rPr>
                <w:rFonts w:ascii="仿宋_GB2312" w:hAnsi="仿宋" w:eastAsia="仿宋_GB2312" w:cs="Times New Roman"/>
                <w:sz w:val="32"/>
                <w:szCs w:val="32"/>
              </w:rPr>
            </w:pPr>
            <w:r>
              <w:rPr>
                <w:rFonts w:hint="eastAsia" w:ascii="仿宋_GB2312" w:hAnsi="仿宋" w:eastAsia="仿宋_GB2312" w:cs="Times New Roman"/>
                <w:sz w:val="32"/>
                <w:szCs w:val="32"/>
              </w:rPr>
              <w:t>被征地村组</w:t>
            </w:r>
          </w:p>
        </w:tc>
        <w:tc>
          <w:tcPr>
            <w:tcW w:w="5931" w:type="dxa"/>
            <w:gridSpan w:val="3"/>
            <w:vAlign w:val="center"/>
          </w:tcPr>
          <w:p w14:paraId="1FBBCDD4">
            <w:pPr>
              <w:jc w:val="center"/>
              <w:rPr>
                <w:rFonts w:ascii="仿宋_GB2312" w:hAnsi="仿宋" w:eastAsia="仿宋_GB2312" w:cs="Times New Roman"/>
                <w:sz w:val="32"/>
                <w:szCs w:val="32"/>
              </w:rPr>
            </w:pPr>
            <w:r>
              <w:rPr>
                <w:rFonts w:hint="eastAsia" w:ascii="仿宋_GB2312" w:hAnsi="仿宋" w:eastAsia="仿宋_GB2312" w:cs="Times New Roman"/>
                <w:sz w:val="32"/>
                <w:szCs w:val="32"/>
              </w:rPr>
              <w:t>社会保障人数</w:t>
            </w:r>
          </w:p>
        </w:tc>
      </w:tr>
      <w:tr w14:paraId="6B7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0" w:type="dxa"/>
            <w:vMerge w:val="continue"/>
            <w:vAlign w:val="center"/>
          </w:tcPr>
          <w:p w14:paraId="19628F3F">
            <w:pPr>
              <w:jc w:val="center"/>
              <w:rPr>
                <w:rFonts w:ascii="仿宋_GB2312" w:hAnsi="仿宋" w:eastAsia="仿宋_GB2312" w:cs="Times New Roman"/>
                <w:sz w:val="32"/>
                <w:szCs w:val="32"/>
              </w:rPr>
            </w:pPr>
          </w:p>
        </w:tc>
        <w:tc>
          <w:tcPr>
            <w:tcW w:w="4367" w:type="dxa"/>
            <w:vMerge w:val="continue"/>
            <w:vAlign w:val="center"/>
          </w:tcPr>
          <w:p w14:paraId="751E3243">
            <w:pPr>
              <w:jc w:val="center"/>
              <w:rPr>
                <w:rFonts w:ascii="仿宋_GB2312" w:hAnsi="仿宋" w:eastAsia="仿宋_GB2312" w:cs="Times New Roman"/>
                <w:sz w:val="32"/>
                <w:szCs w:val="32"/>
              </w:rPr>
            </w:pPr>
          </w:p>
        </w:tc>
        <w:tc>
          <w:tcPr>
            <w:tcW w:w="1977" w:type="dxa"/>
            <w:vAlign w:val="center"/>
          </w:tcPr>
          <w:p w14:paraId="227B2509">
            <w:pPr>
              <w:jc w:val="center"/>
              <w:rPr>
                <w:rFonts w:ascii="仿宋_GB2312" w:hAnsi="仿宋" w:eastAsia="仿宋_GB2312" w:cs="Times New Roman"/>
                <w:sz w:val="32"/>
                <w:szCs w:val="32"/>
              </w:rPr>
            </w:pPr>
            <w:r>
              <w:rPr>
                <w:rFonts w:ascii="仿宋_GB2312" w:hAnsi="仿宋_GB2312" w:eastAsia="仿宋_GB2312" w:cs="仿宋_GB2312"/>
                <w:sz w:val="32"/>
                <w:u w:color="auto"/>
              </w:rPr>
              <w:t>合计</w:t>
            </w:r>
          </w:p>
        </w:tc>
        <w:tc>
          <w:tcPr>
            <w:tcW w:w="1977" w:type="dxa"/>
            <w:vAlign w:val="center"/>
          </w:tcPr>
          <w:p w14:paraId="694884F0">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16周岁以下</w:t>
            </w:r>
          </w:p>
        </w:tc>
        <w:tc>
          <w:tcPr>
            <w:tcW w:w="1977" w:type="dxa"/>
            <w:vAlign w:val="center"/>
          </w:tcPr>
          <w:p w14:paraId="1E20CDA5">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16周岁以上</w:t>
            </w:r>
          </w:p>
        </w:tc>
      </w:tr>
      <w:tr w14:paraId="49F8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14:paraId="5BDFFBCB">
            <w:pPr>
              <w:spacing w:line="460" w:lineRule="exact"/>
              <w:jc w:val="center"/>
              <w:rPr>
                <w:rFonts w:ascii="仿宋_GB2312" w:hAnsi="仿宋" w:eastAsia="仿宋_GB2312" w:cs="Times New Roman"/>
                <w:sz w:val="32"/>
                <w:szCs w:val="32"/>
              </w:rPr>
            </w:pPr>
            <w:r>
              <w:rPr>
                <w:rFonts w:hint="eastAsia" w:ascii="仿宋" w:hAnsi="仿宋" w:eastAsia="仿宋"/>
                <w:sz w:val="32"/>
                <w:szCs w:val="32"/>
              </w:rPr>
              <w:t>1</w:t>
            </w:r>
          </w:p>
        </w:tc>
        <w:tc>
          <w:tcPr>
            <w:tcW w:w="4367" w:type="dxa"/>
            <w:tcBorders>
              <w:top w:val="single" w:color="000000" w:sz="4" w:space="0"/>
              <w:left w:val="single" w:color="000000" w:sz="4" w:space="0"/>
              <w:bottom w:val="single" w:color="000000" w:sz="4" w:space="0"/>
              <w:right w:val="single" w:color="000000" w:sz="4" w:space="0"/>
            </w:tcBorders>
            <w:vAlign w:val="center"/>
          </w:tcPr>
          <w:p w14:paraId="3ACB940E">
            <w:pPr>
              <w:jc w:val="center"/>
              <w:rPr>
                <w:rFonts w:ascii="仿宋_GB2312" w:hAnsi="宋体" w:eastAsia="仿宋_GB2312" w:cs="宋体"/>
                <w:sz w:val="32"/>
                <w:szCs w:val="32"/>
              </w:rPr>
            </w:pPr>
            <w:r>
              <w:rPr>
                <w:rFonts w:hint="eastAsia" w:ascii="仿宋_GB2312" w:hAnsi="宋体" w:eastAsia="仿宋_GB2312" w:cs="宋体"/>
                <w:sz w:val="32"/>
                <w:szCs w:val="32"/>
              </w:rPr>
              <w:t>南夏墅街道镇集体</w:t>
            </w:r>
          </w:p>
        </w:tc>
        <w:tc>
          <w:tcPr>
            <w:tcW w:w="1977" w:type="dxa"/>
            <w:tcBorders>
              <w:top w:val="single" w:color="auto" w:sz="4" w:space="0"/>
              <w:left w:val="single" w:color="auto" w:sz="4" w:space="0"/>
              <w:bottom w:val="single" w:color="auto" w:sz="4" w:space="0"/>
              <w:right w:val="single" w:color="auto" w:sz="4" w:space="0"/>
            </w:tcBorders>
            <w:vAlign w:val="center"/>
          </w:tcPr>
          <w:p w14:paraId="2EFBB9D9">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0A158EBB">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14:paraId="781147B0">
            <w:pPr>
              <w:jc w:val="center"/>
              <w:rPr>
                <w:rFonts w:ascii="仿宋_GB2312" w:eastAsia="仿宋_GB2312" w:cs="Times New Roman"/>
                <w:sz w:val="32"/>
                <w:szCs w:val="32"/>
              </w:rPr>
            </w:pPr>
            <w:r>
              <w:rPr>
                <w:rFonts w:hint="eastAsia" w:ascii="仿宋_GB2312" w:eastAsia="仿宋_GB2312" w:cs="Times New Roman"/>
                <w:sz w:val="32"/>
                <w:szCs w:val="32"/>
              </w:rPr>
              <w:t>0</w:t>
            </w:r>
          </w:p>
        </w:tc>
      </w:tr>
      <w:tr w14:paraId="2574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14:paraId="510ED0A7">
            <w:pPr>
              <w:spacing w:line="460" w:lineRule="exact"/>
              <w:jc w:val="center"/>
              <w:rPr>
                <w:rFonts w:ascii="仿宋_GB2312" w:hAnsi="仿宋" w:eastAsia="仿宋_GB2312" w:cs="Times New Roman"/>
                <w:sz w:val="32"/>
                <w:szCs w:val="32"/>
              </w:rPr>
            </w:pPr>
          </w:p>
        </w:tc>
        <w:tc>
          <w:tcPr>
            <w:tcW w:w="4367" w:type="dxa"/>
            <w:vAlign w:val="center"/>
          </w:tcPr>
          <w:p w14:paraId="40676BA3">
            <w:pPr>
              <w:spacing w:line="460" w:lineRule="exact"/>
              <w:jc w:val="center"/>
              <w:rPr>
                <w:rFonts w:ascii="仿宋_GB2312" w:hAnsi="仿宋" w:eastAsia="仿宋_GB2312" w:cs="Times New Roman"/>
                <w:sz w:val="32"/>
                <w:szCs w:val="32"/>
              </w:rPr>
            </w:pPr>
            <w:r>
              <w:rPr>
                <w:rFonts w:hint="eastAsia" w:ascii="仿宋_GB2312" w:hAnsi="仿宋" w:eastAsia="仿宋_GB2312" w:cs="Times New Roman"/>
                <w:sz w:val="32"/>
                <w:szCs w:val="32"/>
              </w:rPr>
              <w:t>总计</w:t>
            </w:r>
          </w:p>
        </w:tc>
        <w:tc>
          <w:tcPr>
            <w:tcW w:w="1977" w:type="dxa"/>
            <w:tcBorders>
              <w:top w:val="single" w:color="auto" w:sz="4" w:space="0"/>
              <w:left w:val="single" w:color="auto" w:sz="4" w:space="0"/>
              <w:bottom w:val="single" w:color="auto" w:sz="4" w:space="0"/>
              <w:right w:val="single" w:color="auto" w:sz="4" w:space="0"/>
            </w:tcBorders>
            <w:vAlign w:val="center"/>
          </w:tcPr>
          <w:p w14:paraId="5A99254E">
            <w:pPr>
              <w:jc w:val="center"/>
              <w:rPr>
                <w:rFonts w:ascii="仿宋_GB2312" w:eastAsia="仿宋_GB2312" w:cs="Times New Roman"/>
                <w:sz w:val="32"/>
                <w:szCs w:val="32"/>
              </w:rPr>
            </w:pPr>
            <w:r>
              <w:rPr>
                <w:rFonts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4038FA0D">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64DDA0F5">
            <w:pPr>
              <w:jc w:val="center"/>
              <w:rPr>
                <w:rFonts w:ascii="仿宋_GB2312" w:eastAsia="仿宋_GB2312" w:cs="Times New Roman"/>
                <w:sz w:val="32"/>
                <w:szCs w:val="32"/>
              </w:rPr>
            </w:pPr>
            <w:r>
              <w:rPr>
                <w:rFonts w:ascii="仿宋_GB2312" w:eastAsia="仿宋_GB2312" w:cs="Times New Roman"/>
                <w:sz w:val="32"/>
                <w:szCs w:val="32"/>
              </w:rPr>
              <w:t>0</w:t>
            </w:r>
          </w:p>
        </w:tc>
      </w:tr>
    </w:tbl>
    <w:p w14:paraId="0C239871">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六、其他事项</w:t>
      </w:r>
    </w:p>
    <w:p w14:paraId="4C9BDAE7">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1、本公告在常州市</w:t>
      </w:r>
      <w:r>
        <w:rPr>
          <w:rFonts w:ascii="仿宋_GB2312" w:eastAsia="仿宋_GB2312" w:cs="仿宋_GB2312"/>
          <w:sz w:val="32"/>
          <w:u w:color="auto"/>
        </w:rPr>
        <w:t>武进区</w:t>
      </w:r>
      <w:r>
        <w:rPr>
          <w:rFonts w:hint="eastAsia" w:ascii="仿宋_GB2312" w:eastAsia="仿宋_GB2312" w:cs="Times New Roman"/>
          <w:sz w:val="32"/>
          <w:szCs w:val="32"/>
        </w:rPr>
        <w:t>人民政府门户网站（http://www.wj.gov.cn）和拟征收土地涉及的农村集体经济组织所在乡镇（街道）和村（社区）、村民小组范围内进行公告，听取被征地的农村集体经济组织及其成员、村（居）民委员会和其它利害关系人的意见。本公告公示期为30日，自</w:t>
      </w:r>
      <w:r>
        <w:rPr>
          <w:rFonts w:hint="eastAsia" w:ascii="仿宋_GB2312" w:eastAsia="仿宋_GB2312" w:cs="Times New Roman"/>
          <w:sz w:val="32"/>
          <w:szCs w:val="32"/>
          <w:u w:val="single"/>
        </w:rPr>
        <w:t>2026年04月13日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w:t>
      </w:r>
    </w:p>
    <w:p w14:paraId="12299E1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本征地补偿安置方案有异议的，应在本公告发布之日起30日内（截止2026年05月12日）提出，实名签名或盖章的书面意见最迟应于公告期满后5个工作日内提交。提交地址为：常州市自然资源和规划局武进高新区中心所（联系人：</w:t>
      </w:r>
      <w:r>
        <w:rPr>
          <w:rFonts w:ascii="仿宋_GB2312" w:eastAsia="仿宋_GB2312" w:cs="仿宋_GB2312"/>
          <w:sz w:val="32"/>
          <w:u w:color="auto"/>
        </w:rPr>
        <w:t>张鋆；电话：0519-</w:t>
      </w:r>
      <w:r>
        <w:rPr>
          <w:rFonts w:ascii="仿宋_GB2312" w:eastAsia="仿宋_GB2312" w:cs="Times New Roman"/>
          <w:sz w:val="32"/>
          <w:szCs w:val="32"/>
        </w:rPr>
        <w:t>86220072</w:t>
      </w:r>
      <w:r>
        <w:rPr>
          <w:rFonts w:hint="eastAsia" w:ascii="仿宋_GB2312" w:eastAsia="仿宋_GB2312" w:cs="Times New Roman"/>
          <w:sz w:val="32"/>
          <w:szCs w:val="32"/>
        </w:rPr>
        <w:t>；邮编：213000）。以邮寄方式寄送书面意见的以寄出邮戳日期为准。书面意见应明确、具体，认为本征地补偿安置方案不符合法律、法规规定，应予以明示。在规定时间内未提交书面意见的，视为无异议。</w:t>
      </w:r>
    </w:p>
    <w:p w14:paraId="61A1DD5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3、如过半数被征地的农村集体经济组织成员认为本征地补偿安置方案不符合法律、法规规定的，或者</w:t>
      </w:r>
      <w:r>
        <w:rPr>
          <w:rFonts w:hint="eastAsia" w:ascii="仿宋_GB2312" w:eastAsia="仿宋_GB2312" w:cs="Times New Roman"/>
          <w:bCs/>
          <w:sz w:val="32"/>
          <w:szCs w:val="32"/>
        </w:rPr>
        <w:t>虽未过半数但有部分被征地的农村集体经济组织成员认为征地补偿安置方案不符合法律、法规规定，本级人民政府认为确有必要的</w:t>
      </w:r>
      <w:r>
        <w:rPr>
          <w:rFonts w:hint="eastAsia" w:ascii="仿宋_GB2312" w:eastAsia="仿宋_GB2312" w:cs="Times New Roman"/>
          <w:sz w:val="32"/>
          <w:szCs w:val="32"/>
        </w:rPr>
        <w:t>， 常州市</w:t>
      </w:r>
      <w:r>
        <w:rPr>
          <w:rFonts w:ascii="仿宋_GB2312" w:eastAsia="仿宋_GB2312" w:cs="仿宋_GB2312"/>
          <w:sz w:val="32"/>
          <w:u w:color="auto"/>
        </w:rPr>
        <w:t>武进区</w:t>
      </w:r>
      <w:r>
        <w:rPr>
          <w:rFonts w:hint="eastAsia" w:ascii="仿宋_GB2312" w:eastAsia="仿宋_GB2312" w:cs="Times New Roman"/>
          <w:sz w:val="32"/>
          <w:szCs w:val="32"/>
        </w:rPr>
        <w:t>人民政府将依法组织听证，相关事项另行通知。</w:t>
      </w:r>
    </w:p>
    <w:p w14:paraId="19B48941">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4、拟征收土地范围内的土地所有权人、使用权人应当在本公告规定期限内即</w:t>
      </w:r>
      <w:r>
        <w:rPr>
          <w:rFonts w:hint="eastAsia" w:ascii="仿宋_GB2312" w:eastAsia="仿宋_GB2312" w:cs="Times New Roman"/>
          <w:sz w:val="32"/>
          <w:szCs w:val="32"/>
          <w:u w:val="single"/>
        </w:rPr>
        <w:t>2026年04月13日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，持不动产权属证明材料至常州市自然资源和规划局武进高新区中心所（联系人：</w:t>
      </w:r>
      <w:r>
        <w:rPr>
          <w:rFonts w:ascii="仿宋_GB2312" w:eastAsia="仿宋_GB2312" w:cs="仿宋_GB2312"/>
          <w:sz w:val="32"/>
          <w:u w:color="auto"/>
        </w:rPr>
        <w:t>张鋆；电话：0519-</w:t>
      </w:r>
      <w:r>
        <w:rPr>
          <w:rFonts w:hint="eastAsia" w:ascii="仿宋_GB2312" w:eastAsia="仿宋_GB2312" w:cs="Times New Roman"/>
          <w:sz w:val="32"/>
          <w:szCs w:val="32"/>
        </w:rPr>
        <w:t>86220072</w:t>
      </w:r>
      <w:r>
        <w:rPr>
          <w:rFonts w:hint="eastAsia" w:ascii="仿宋_GB2312" w:hAnsi="仿宋" w:eastAsia="仿宋_GB2312" w:cs="Times New Roman"/>
          <w:sz w:val="32"/>
          <w:szCs w:val="32"/>
        </w:rPr>
        <w:t>）</w:t>
      </w:r>
      <w:r>
        <w:rPr>
          <w:rFonts w:hint="eastAsia" w:ascii="仿宋_GB2312" w:eastAsia="仿宋_GB2312" w:cs="Times New Roman"/>
          <w:sz w:val="32"/>
          <w:szCs w:val="32"/>
        </w:rPr>
        <w:t>办理补偿登记，请相互转告。土地所有权人、使用权人如未按期办理补偿登记的，其补偿内容以土地现状调查结果为准。</w:t>
      </w:r>
    </w:p>
    <w:p w14:paraId="3E023CC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76E1B684">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附图：征地补偿安置方案公告位置示意图</w:t>
      </w:r>
    </w:p>
    <w:p w14:paraId="4C23D033">
      <w:pPr>
        <w:spacing w:line="420" w:lineRule="exact"/>
        <w:jc w:val="right"/>
        <w:rPr>
          <w:rFonts w:ascii="仿宋_GB2312" w:eastAsia="仿宋_GB2312" w:cs="Times New Roman"/>
          <w:sz w:val="32"/>
          <w:szCs w:val="32"/>
        </w:rPr>
      </w:pPr>
    </w:p>
    <w:p w14:paraId="14F72440">
      <w:pPr>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常州市</w:t>
      </w:r>
      <w:r>
        <w:rPr>
          <w:rFonts w:ascii="仿宋_GB2312" w:eastAsia="仿宋_GB2312" w:cs="仿宋_GB2312"/>
          <w:sz w:val="32"/>
          <w:u w:color="auto"/>
        </w:rPr>
        <w:t>武进区</w:t>
      </w:r>
      <w:r>
        <w:rPr>
          <w:rFonts w:hint="eastAsia" w:ascii="仿宋_GB2312" w:eastAsia="仿宋_GB2312" w:cs="Times New Roman"/>
          <w:sz w:val="32"/>
          <w:szCs w:val="32"/>
        </w:rPr>
        <w:t>人民政府</w:t>
      </w:r>
    </w:p>
    <w:p w14:paraId="6836580E">
      <w:pPr>
        <w:wordWrap w:val="0"/>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 xml:space="preserve">2026年04月13日 </w:t>
      </w:r>
      <w:r>
        <w:rPr>
          <w:rFonts w:ascii="仿宋_GB2312" w:eastAsia="仿宋_GB2312" w:cs="Times New Roman"/>
          <w:sz w:val="32"/>
          <w:szCs w:val="32"/>
        </w:rPr>
        <w:t xml:space="preserve"> </w:t>
      </w:r>
    </w:p>
    <w:p w14:paraId="07DD02C2">
      <w:pPr>
        <w:spacing w:line="420" w:lineRule="exact"/>
        <w:jc w:val="right"/>
        <w:rPr>
          <w:rFonts w:ascii="仿宋_GB2312" w:eastAsia="仿宋_GB2312" w:cs="Times New Roman"/>
          <w:sz w:val="32"/>
          <w:szCs w:val="32"/>
        </w:rPr>
      </w:pPr>
    </w:p>
    <w:p w14:paraId="44BF6EA5">
      <w:pPr>
        <w:spacing w:line="420" w:lineRule="exact"/>
        <w:jc w:val="right"/>
        <w:rPr>
          <w:rFonts w:ascii="仿宋_GB2312" w:eastAsia="仿宋_GB2312" w:cs="Times New Roman"/>
          <w:sz w:val="32"/>
          <w:szCs w:val="32"/>
        </w:rPr>
      </w:pPr>
    </w:p>
    <w:p w14:paraId="7F04832F">
      <w:pPr>
        <w:spacing w:line="420" w:lineRule="exact"/>
        <w:jc w:val="right"/>
        <w:rPr>
          <w:rFonts w:ascii="仿宋_GB2312" w:eastAsia="仿宋_GB2312" w:cs="Times New Roman"/>
          <w:sz w:val="32"/>
          <w:szCs w:val="32"/>
        </w:rPr>
      </w:pPr>
    </w:p>
    <w:p w14:paraId="6B299AB5">
      <w:pPr>
        <w:spacing w:line="420" w:lineRule="exact"/>
        <w:jc w:val="right"/>
        <w:rPr>
          <w:rFonts w:ascii="仿宋_GB2312" w:eastAsia="仿宋_GB2312" w:cs="Times New Roman"/>
          <w:sz w:val="32"/>
          <w:szCs w:val="32"/>
        </w:rPr>
      </w:pPr>
    </w:p>
    <w:p w14:paraId="06D42322">
      <w:pPr>
        <w:spacing w:line="420" w:lineRule="exact"/>
        <w:jc w:val="right"/>
        <w:rPr>
          <w:rFonts w:ascii="仿宋_GB2312" w:eastAsia="仿宋_GB2312" w:cs="Times New Roman"/>
          <w:sz w:val="32"/>
          <w:szCs w:val="32"/>
        </w:rPr>
      </w:pPr>
    </w:p>
    <w:p w14:paraId="2D3FC446">
      <w:pPr>
        <w:spacing w:line="420" w:lineRule="exact"/>
        <w:jc w:val="right"/>
        <w:rPr>
          <w:rFonts w:ascii="仿宋_GB2312" w:eastAsia="仿宋_GB2312" w:cs="Times New Roman"/>
          <w:sz w:val="32"/>
          <w:szCs w:val="32"/>
        </w:rPr>
      </w:pPr>
    </w:p>
    <w:p w14:paraId="4B7A0BA1">
      <w:pPr>
        <w:spacing w:line="420" w:lineRule="exact"/>
        <w:rPr>
          <w:rFonts w:ascii="仿宋_GB2312" w:eastAsia="仿宋_GB2312" w:cs="Times New Roman"/>
          <w:sz w:val="32"/>
          <w:szCs w:val="32"/>
        </w:rPr>
      </w:pPr>
      <w:bookmarkStart w:id="1" w:name="_GoBack"/>
      <w:bookmarkEnd w:id="1"/>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0AFE13F-8FD9-4328-8C24-A830B0F5104C}"/>
  </w:font>
  <w:font w:name="方正小标宋简体">
    <w:panose1 w:val="02000000000000000000"/>
    <w:charset w:val="86"/>
    <w:family w:val="auto"/>
    <w:pitch w:val="default"/>
    <w:sig w:usb0="00000001" w:usb1="080E0000" w:usb2="00000000" w:usb3="00000000" w:csb0="00040000" w:csb1="00000000"/>
    <w:embedRegular r:id="rId2" w:fontKey="{5ED9AB5C-E7BB-4DEC-93AC-646486D236E6}"/>
  </w:font>
  <w:font w:name="仿宋_GB2312">
    <w:panose1 w:val="02010609030101010101"/>
    <w:charset w:val="86"/>
    <w:family w:val="modern"/>
    <w:pitch w:val="default"/>
    <w:sig w:usb0="00000001" w:usb1="080E0000" w:usb2="00000000" w:usb3="00000000" w:csb0="00040000" w:csb1="00000000"/>
    <w:embedRegular r:id="rId3" w:fontKey="{BEA6F095-E365-408F-ADA3-DA922DEC3C2A}"/>
  </w:font>
  <w:font w:name="仿宋">
    <w:panose1 w:val="02010609060101010101"/>
    <w:charset w:val="86"/>
    <w:family w:val="modern"/>
    <w:pitch w:val="default"/>
    <w:sig w:usb0="800002BF" w:usb1="38CF7CFA" w:usb2="00000016" w:usb3="00000000" w:csb0="00040001" w:csb1="00000000"/>
    <w:embedRegular r:id="rId4" w:fontKey="{924368F1-CC7B-4594-95F1-F08E4CDC83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NmU4NmY1ZDJiMzA0ODgxNzJhZjI5NGU3ZDQyMjgifQ=="/>
  </w:docVars>
  <w:rsids>
    <w:rsidRoot w:val="00F95A03"/>
    <w:rsid w:val="000064C3"/>
    <w:rsid w:val="00010D87"/>
    <w:rsid w:val="00013A8F"/>
    <w:rsid w:val="000224CD"/>
    <w:rsid w:val="0003557F"/>
    <w:rsid w:val="00082B5D"/>
    <w:rsid w:val="00083BA2"/>
    <w:rsid w:val="0009785D"/>
    <w:rsid w:val="00097C5A"/>
    <w:rsid w:val="000A2977"/>
    <w:rsid w:val="000A7BE6"/>
    <w:rsid w:val="000C6F0A"/>
    <w:rsid w:val="000D7C47"/>
    <w:rsid w:val="000E2BFC"/>
    <w:rsid w:val="000E6702"/>
    <w:rsid w:val="000F4EE2"/>
    <w:rsid w:val="001076CC"/>
    <w:rsid w:val="001132CA"/>
    <w:rsid w:val="00116B3E"/>
    <w:rsid w:val="001261A4"/>
    <w:rsid w:val="00127DDF"/>
    <w:rsid w:val="00132371"/>
    <w:rsid w:val="001368A1"/>
    <w:rsid w:val="00177DBF"/>
    <w:rsid w:val="00185912"/>
    <w:rsid w:val="001966BA"/>
    <w:rsid w:val="001A73E0"/>
    <w:rsid w:val="001B15D4"/>
    <w:rsid w:val="001B56E3"/>
    <w:rsid w:val="001C2836"/>
    <w:rsid w:val="00203362"/>
    <w:rsid w:val="00204239"/>
    <w:rsid w:val="00215519"/>
    <w:rsid w:val="00242267"/>
    <w:rsid w:val="0024689A"/>
    <w:rsid w:val="00250250"/>
    <w:rsid w:val="0026782D"/>
    <w:rsid w:val="00280FD8"/>
    <w:rsid w:val="00290112"/>
    <w:rsid w:val="00292D58"/>
    <w:rsid w:val="002B4563"/>
    <w:rsid w:val="002F6E54"/>
    <w:rsid w:val="00301980"/>
    <w:rsid w:val="00320FCC"/>
    <w:rsid w:val="00322466"/>
    <w:rsid w:val="00325AA5"/>
    <w:rsid w:val="00331C81"/>
    <w:rsid w:val="0034251A"/>
    <w:rsid w:val="0034603C"/>
    <w:rsid w:val="00366312"/>
    <w:rsid w:val="00387061"/>
    <w:rsid w:val="0039183D"/>
    <w:rsid w:val="00392DC3"/>
    <w:rsid w:val="00393422"/>
    <w:rsid w:val="003A54B3"/>
    <w:rsid w:val="003B179A"/>
    <w:rsid w:val="003C2A8B"/>
    <w:rsid w:val="003C4A1B"/>
    <w:rsid w:val="003D38C7"/>
    <w:rsid w:val="003F4566"/>
    <w:rsid w:val="00400CDE"/>
    <w:rsid w:val="004148CB"/>
    <w:rsid w:val="004306C3"/>
    <w:rsid w:val="00430B94"/>
    <w:rsid w:val="00431783"/>
    <w:rsid w:val="004376CD"/>
    <w:rsid w:val="00442BB2"/>
    <w:rsid w:val="00445BFE"/>
    <w:rsid w:val="00454D23"/>
    <w:rsid w:val="00460537"/>
    <w:rsid w:val="00466A72"/>
    <w:rsid w:val="004805C9"/>
    <w:rsid w:val="0048200D"/>
    <w:rsid w:val="0048269F"/>
    <w:rsid w:val="004D5048"/>
    <w:rsid w:val="004D7B71"/>
    <w:rsid w:val="004E2821"/>
    <w:rsid w:val="004E508C"/>
    <w:rsid w:val="00501276"/>
    <w:rsid w:val="00502814"/>
    <w:rsid w:val="00502BD7"/>
    <w:rsid w:val="005200EB"/>
    <w:rsid w:val="00524BB3"/>
    <w:rsid w:val="00527BFF"/>
    <w:rsid w:val="005323C4"/>
    <w:rsid w:val="0054417E"/>
    <w:rsid w:val="00550795"/>
    <w:rsid w:val="005513CB"/>
    <w:rsid w:val="00557BE4"/>
    <w:rsid w:val="005740D3"/>
    <w:rsid w:val="0058184E"/>
    <w:rsid w:val="005D0F73"/>
    <w:rsid w:val="00603327"/>
    <w:rsid w:val="00606336"/>
    <w:rsid w:val="006111FC"/>
    <w:rsid w:val="006119A5"/>
    <w:rsid w:val="00614CC1"/>
    <w:rsid w:val="0062226F"/>
    <w:rsid w:val="00627ABA"/>
    <w:rsid w:val="00630FCE"/>
    <w:rsid w:val="006335B1"/>
    <w:rsid w:val="00642322"/>
    <w:rsid w:val="0065039F"/>
    <w:rsid w:val="006609A9"/>
    <w:rsid w:val="006747F0"/>
    <w:rsid w:val="00675DF0"/>
    <w:rsid w:val="006776A2"/>
    <w:rsid w:val="006902AB"/>
    <w:rsid w:val="00696DC2"/>
    <w:rsid w:val="006C3F6F"/>
    <w:rsid w:val="006C6448"/>
    <w:rsid w:val="006F269F"/>
    <w:rsid w:val="006F7F08"/>
    <w:rsid w:val="00705EDD"/>
    <w:rsid w:val="00715845"/>
    <w:rsid w:val="00753CC1"/>
    <w:rsid w:val="007541F0"/>
    <w:rsid w:val="007755AC"/>
    <w:rsid w:val="00797B1A"/>
    <w:rsid w:val="007A5AF6"/>
    <w:rsid w:val="007B3EF6"/>
    <w:rsid w:val="007B4080"/>
    <w:rsid w:val="007D414C"/>
    <w:rsid w:val="007F73FA"/>
    <w:rsid w:val="00800EDB"/>
    <w:rsid w:val="00803FB6"/>
    <w:rsid w:val="008074D7"/>
    <w:rsid w:val="00810F4C"/>
    <w:rsid w:val="008129CF"/>
    <w:rsid w:val="0081473C"/>
    <w:rsid w:val="008163A2"/>
    <w:rsid w:val="008302DE"/>
    <w:rsid w:val="00834278"/>
    <w:rsid w:val="008B07B5"/>
    <w:rsid w:val="008C4FD6"/>
    <w:rsid w:val="008D67BD"/>
    <w:rsid w:val="008F752A"/>
    <w:rsid w:val="00911144"/>
    <w:rsid w:val="009165DF"/>
    <w:rsid w:val="0091707C"/>
    <w:rsid w:val="0092084C"/>
    <w:rsid w:val="0093602D"/>
    <w:rsid w:val="009413D5"/>
    <w:rsid w:val="00961527"/>
    <w:rsid w:val="00971B06"/>
    <w:rsid w:val="00971DF1"/>
    <w:rsid w:val="00974545"/>
    <w:rsid w:val="00982FCE"/>
    <w:rsid w:val="00994C50"/>
    <w:rsid w:val="009A0594"/>
    <w:rsid w:val="009A77C3"/>
    <w:rsid w:val="009C1A9A"/>
    <w:rsid w:val="009E5D26"/>
    <w:rsid w:val="009F1719"/>
    <w:rsid w:val="009F57C2"/>
    <w:rsid w:val="00A041EC"/>
    <w:rsid w:val="00A16DCA"/>
    <w:rsid w:val="00A24198"/>
    <w:rsid w:val="00A339BA"/>
    <w:rsid w:val="00A35777"/>
    <w:rsid w:val="00A5209D"/>
    <w:rsid w:val="00A7162F"/>
    <w:rsid w:val="00A7226B"/>
    <w:rsid w:val="00A738B3"/>
    <w:rsid w:val="00A809CE"/>
    <w:rsid w:val="00AA2753"/>
    <w:rsid w:val="00AA4B8E"/>
    <w:rsid w:val="00AB0F58"/>
    <w:rsid w:val="00AC51B4"/>
    <w:rsid w:val="00AF40F2"/>
    <w:rsid w:val="00B11ACA"/>
    <w:rsid w:val="00B31164"/>
    <w:rsid w:val="00B3635E"/>
    <w:rsid w:val="00B4581C"/>
    <w:rsid w:val="00B54A61"/>
    <w:rsid w:val="00B738C7"/>
    <w:rsid w:val="00B74C51"/>
    <w:rsid w:val="00B756FA"/>
    <w:rsid w:val="00B8483F"/>
    <w:rsid w:val="00B928F2"/>
    <w:rsid w:val="00BA03D6"/>
    <w:rsid w:val="00BA2C6E"/>
    <w:rsid w:val="00BA7A74"/>
    <w:rsid w:val="00BB3DDD"/>
    <w:rsid w:val="00BD2366"/>
    <w:rsid w:val="00BE155D"/>
    <w:rsid w:val="00BE6F33"/>
    <w:rsid w:val="00BF0BD3"/>
    <w:rsid w:val="00C23B83"/>
    <w:rsid w:val="00C31708"/>
    <w:rsid w:val="00C45FE7"/>
    <w:rsid w:val="00C52289"/>
    <w:rsid w:val="00C54AD5"/>
    <w:rsid w:val="00C55DF7"/>
    <w:rsid w:val="00C872AF"/>
    <w:rsid w:val="00C90E94"/>
    <w:rsid w:val="00C939EC"/>
    <w:rsid w:val="00CB6E37"/>
    <w:rsid w:val="00CC5AF9"/>
    <w:rsid w:val="00CD0478"/>
    <w:rsid w:val="00CD1459"/>
    <w:rsid w:val="00CE68F3"/>
    <w:rsid w:val="00D02262"/>
    <w:rsid w:val="00D0698B"/>
    <w:rsid w:val="00D33237"/>
    <w:rsid w:val="00D34E49"/>
    <w:rsid w:val="00D35A7F"/>
    <w:rsid w:val="00D41AD7"/>
    <w:rsid w:val="00D517D4"/>
    <w:rsid w:val="00D536E1"/>
    <w:rsid w:val="00D67C5D"/>
    <w:rsid w:val="00D71832"/>
    <w:rsid w:val="00D77000"/>
    <w:rsid w:val="00D84F29"/>
    <w:rsid w:val="00D91D5E"/>
    <w:rsid w:val="00DB66CD"/>
    <w:rsid w:val="00DC01AC"/>
    <w:rsid w:val="00DC652D"/>
    <w:rsid w:val="00DC6CEA"/>
    <w:rsid w:val="00DD0355"/>
    <w:rsid w:val="00DE01F6"/>
    <w:rsid w:val="00DE28BC"/>
    <w:rsid w:val="00DE301E"/>
    <w:rsid w:val="00DE3411"/>
    <w:rsid w:val="00DE4CE1"/>
    <w:rsid w:val="00DF1170"/>
    <w:rsid w:val="00DF51B3"/>
    <w:rsid w:val="00DF52D4"/>
    <w:rsid w:val="00DF7473"/>
    <w:rsid w:val="00E750CC"/>
    <w:rsid w:val="00EC7A36"/>
    <w:rsid w:val="00ED705C"/>
    <w:rsid w:val="00EE2622"/>
    <w:rsid w:val="00EF5B21"/>
    <w:rsid w:val="00EF6009"/>
    <w:rsid w:val="00F147CB"/>
    <w:rsid w:val="00F37C3B"/>
    <w:rsid w:val="00F42196"/>
    <w:rsid w:val="00F47FC3"/>
    <w:rsid w:val="00F91546"/>
    <w:rsid w:val="00F95A03"/>
    <w:rsid w:val="00FA0925"/>
    <w:rsid w:val="00FC5C08"/>
    <w:rsid w:val="00FD2187"/>
    <w:rsid w:val="00FE44E0"/>
    <w:rsid w:val="04AB230E"/>
    <w:rsid w:val="07F72C1B"/>
    <w:rsid w:val="21504197"/>
    <w:rsid w:val="61505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cs="宋体"/>
      <w:kern w:val="0"/>
      <w:sz w:val="32"/>
      <w:szCs w:val="32"/>
      <w:lang w:val="zh-CN" w:bidi="zh-CN"/>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semiHidden/>
    <w:unhideWhenUsed/>
    <w:uiPriority w:val="99"/>
    <w:rPr>
      <w:rFonts w:ascii="Courier New" w:hAnsi="Courier New" w:cs="Courier New"/>
      <w:sz w:val="20"/>
      <w:szCs w:val="20"/>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1"/>
    <w:rPr>
      <w:rFonts w:ascii="宋体" w:hAnsi="宋体" w:eastAsia="宋体" w:cs="宋体"/>
      <w:kern w:val="0"/>
      <w:sz w:val="32"/>
      <w:szCs w:val="32"/>
      <w:lang w:val="zh-CN" w:bidi="zh-CN"/>
    </w:rPr>
  </w:style>
  <w:style w:type="character" w:customStyle="1" w:styleId="13">
    <w:name w:val="日期 字符"/>
    <w:basedOn w:val="9"/>
    <w:link w:val="3"/>
    <w:semiHidden/>
    <w:qFormat/>
    <w:uiPriority w:val="99"/>
    <w:rPr>
      <w:rFonts w:ascii="Times New Roman" w:hAnsi="Times New Roman" w:eastAsia="宋体"/>
    </w:rPr>
  </w:style>
  <w:style w:type="character" w:customStyle="1" w:styleId="14">
    <w:name w:val="HTML 预设格式 字符"/>
    <w:basedOn w:val="9"/>
    <w:link w:val="6"/>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6AF25-B915-4D43-80DC-2F9CC312D14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3076</Words>
  <Characters>3384</Characters>
  <Lines>34</Lines>
  <Paragraphs>9</Paragraphs>
  <TotalTime>1</TotalTime>
  <ScaleCrop>false</ScaleCrop>
  <LinksUpToDate>false</LinksUpToDate>
  <CharactersWithSpaces>3495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2022-08-03T08:29:00Z</dcterms:created>
  <dc:creator>lenovoPC</dc:creator>
  <cp:lastModifiedBy>Justsoso</cp:lastModifiedBy>
  <cp:lastPrinted>2022-07-06T03:14:00Z</cp:lastPrinted>
  <dcterms:modified xsi:type="dcterms:W3CDTF">2026-04-13T03:06:35Z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1E19BD34E3234B0EA1FDF192B1418812_12</vt:lpwstr>
  </property>
  <property fmtid="{D5CDD505-2E9C-101B-9397-08002B2CF9AE}" pid="4" name="KSOTemplateDocerSaveRecord">
    <vt:lpwstr>eyJoZGlkIjoiYTM2ODdjNWEzMGZhODNhOTEwMTliMGE1Y2YyODdhNzgiLCJ1c2VySWQiOiI0NTYyNTk2ODUifQ==</vt:lpwstr>
  </property>
</Properties>
</file>