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B621F" w14:textId="0979C71C" w:rsidR="00BC38EB" w:rsidRPr="00A13B0A" w:rsidRDefault="00000000" w:rsidP="00645B4A">
      <w:pPr>
        <w:widowControl/>
        <w:spacing w:line="660" w:lineRule="exact"/>
        <w:jc w:val="center"/>
        <w:rPr>
          <w:rFonts w:ascii="Times New Roman" w:eastAsia="方正小标宋简体" w:hAnsi="Times New Roman" w:cs="Times New Roman"/>
          <w:b/>
          <w:color w:val="000000"/>
          <w:kern w:val="0"/>
          <w:sz w:val="44"/>
          <w:szCs w:val="56"/>
        </w:rPr>
      </w:pPr>
      <w:bookmarkStart w:id="0" w:name="_Hlk93999323"/>
      <w:bookmarkEnd w:id="0"/>
      <w:r w:rsidRPr="00A13B0A">
        <w:rPr>
          <w:rFonts w:ascii="Times New Roman" w:eastAsia="方正小标宋简体" w:hAnsi="Times New Roman" w:cs="Times New Roman"/>
          <w:b/>
          <w:color w:val="000000"/>
          <w:kern w:val="0"/>
          <w:sz w:val="44"/>
          <w:szCs w:val="56"/>
        </w:rPr>
        <w:t>常州市武进区</w:t>
      </w:r>
      <w:r w:rsidRPr="00A13B0A">
        <w:rPr>
          <w:rFonts w:ascii="Times New Roman" w:eastAsia="方正小标宋简体" w:hAnsi="Times New Roman" w:cs="Times New Roman"/>
          <w:b/>
          <w:color w:val="000000"/>
          <w:kern w:val="0"/>
          <w:sz w:val="44"/>
          <w:szCs w:val="56"/>
        </w:rPr>
        <w:t xml:space="preserve"> 202</w:t>
      </w:r>
      <w:r w:rsidR="00645B4A">
        <w:rPr>
          <w:rFonts w:ascii="Times New Roman" w:eastAsia="方正小标宋简体" w:hAnsi="Times New Roman" w:cs="Times New Roman" w:hint="eastAsia"/>
          <w:b/>
          <w:color w:val="000000"/>
          <w:kern w:val="0"/>
          <w:sz w:val="44"/>
          <w:szCs w:val="56"/>
        </w:rPr>
        <w:t>5</w:t>
      </w:r>
      <w:r w:rsidRPr="00A13B0A">
        <w:rPr>
          <w:rFonts w:ascii="Times New Roman" w:eastAsia="方正小标宋简体" w:hAnsi="Times New Roman" w:cs="Times New Roman"/>
          <w:b/>
          <w:color w:val="000000"/>
          <w:kern w:val="0"/>
          <w:sz w:val="44"/>
          <w:szCs w:val="56"/>
        </w:rPr>
        <w:t>-</w:t>
      </w:r>
      <w:r w:rsidR="00645B4A">
        <w:rPr>
          <w:rFonts w:ascii="Times New Roman" w:eastAsia="方正小标宋简体" w:hAnsi="Times New Roman" w:cs="Times New Roman" w:hint="eastAsia"/>
          <w:b/>
          <w:color w:val="000000"/>
          <w:kern w:val="0"/>
          <w:sz w:val="44"/>
          <w:szCs w:val="56"/>
        </w:rPr>
        <w:t>07</w:t>
      </w:r>
      <w:r w:rsidRPr="00A13B0A">
        <w:rPr>
          <w:rFonts w:ascii="Times New Roman" w:eastAsia="方正小标宋简体" w:hAnsi="Times New Roman" w:cs="Times New Roman"/>
          <w:b/>
          <w:color w:val="000000"/>
          <w:kern w:val="0"/>
          <w:sz w:val="44"/>
          <w:szCs w:val="56"/>
        </w:rPr>
        <w:t>号土地征收</w:t>
      </w:r>
    </w:p>
    <w:p w14:paraId="556B2C0A" w14:textId="17C129C0" w:rsidR="00A101A4" w:rsidRPr="00A13B0A" w:rsidRDefault="00000000" w:rsidP="00645B4A">
      <w:pPr>
        <w:widowControl/>
        <w:spacing w:line="660" w:lineRule="exact"/>
        <w:jc w:val="center"/>
        <w:rPr>
          <w:rFonts w:ascii="Times New Roman" w:eastAsia="方正小标宋简体" w:hAnsi="Times New Roman" w:cs="Times New Roman"/>
          <w:b/>
          <w:color w:val="000000"/>
          <w:kern w:val="0"/>
          <w:sz w:val="44"/>
          <w:szCs w:val="56"/>
        </w:rPr>
      </w:pPr>
      <w:r w:rsidRPr="00A13B0A">
        <w:rPr>
          <w:rFonts w:ascii="Times New Roman" w:eastAsia="方正小标宋简体" w:hAnsi="Times New Roman" w:cs="Times New Roman"/>
          <w:b/>
          <w:color w:val="000000"/>
          <w:kern w:val="0"/>
          <w:sz w:val="44"/>
          <w:szCs w:val="56"/>
        </w:rPr>
        <w:t>成片开发方案</w:t>
      </w:r>
    </w:p>
    <w:p w14:paraId="0B855DA5" w14:textId="77777777" w:rsidR="00A101A4" w:rsidRPr="00A13B0A" w:rsidRDefault="00000000" w:rsidP="00BC38EB">
      <w:pPr>
        <w:widowControl/>
        <w:spacing w:line="360" w:lineRule="auto"/>
        <w:jc w:val="center"/>
        <w:rPr>
          <w:rFonts w:ascii="Times New Roman" w:eastAsia="宋体" w:hAnsi="Times New Roman" w:cs="Times New Roman"/>
          <w:b/>
          <w:color w:val="000000"/>
          <w:kern w:val="0"/>
          <w:sz w:val="32"/>
          <w:szCs w:val="32"/>
        </w:rPr>
      </w:pPr>
      <w:r w:rsidRPr="00A13B0A">
        <w:rPr>
          <w:rFonts w:ascii="Times New Roman" w:eastAsia="宋体" w:hAnsi="Times New Roman" w:cs="Times New Roman"/>
          <w:b/>
          <w:color w:val="000000"/>
          <w:kern w:val="0"/>
          <w:sz w:val="32"/>
          <w:szCs w:val="32"/>
        </w:rPr>
        <w:t>（征求意见稿）</w:t>
      </w:r>
    </w:p>
    <w:p w14:paraId="16663D8A" w14:textId="65DE816E" w:rsidR="00A101A4" w:rsidRPr="00A13B0A" w:rsidRDefault="00645B4A"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45B4A">
        <w:rPr>
          <w:rFonts w:ascii="Times New Roman" w:eastAsia="仿宋_GB2312" w:hAnsi="Times New Roman" w:cs="Times New Roman" w:hint="eastAsia"/>
          <w:color w:val="000000"/>
          <w:kern w:val="0"/>
          <w:sz w:val="32"/>
          <w:szCs w:val="32"/>
        </w:rPr>
        <w:t>为满足城市发展用地需求，规范征地程序，保障被征地农民合法权益，根据《中华人民共和国土地管理法》（</w:t>
      </w:r>
      <w:r w:rsidRPr="00645B4A">
        <w:rPr>
          <w:rFonts w:ascii="Times New Roman" w:eastAsia="仿宋_GB2312" w:hAnsi="Times New Roman" w:cs="Times New Roman" w:hint="eastAsia"/>
          <w:color w:val="000000"/>
          <w:kern w:val="0"/>
          <w:sz w:val="32"/>
          <w:szCs w:val="32"/>
        </w:rPr>
        <w:t>2019</w:t>
      </w:r>
      <w:r w:rsidRPr="00645B4A">
        <w:rPr>
          <w:rFonts w:ascii="Times New Roman" w:eastAsia="仿宋_GB2312" w:hAnsi="Times New Roman" w:cs="Times New Roman" w:hint="eastAsia"/>
          <w:color w:val="000000"/>
          <w:kern w:val="0"/>
          <w:sz w:val="32"/>
          <w:szCs w:val="32"/>
        </w:rPr>
        <w:t>年）、《自然资源部关于印发</w:t>
      </w:r>
      <w:r w:rsidRPr="00645B4A">
        <w:rPr>
          <w:rFonts w:ascii="Times New Roman" w:eastAsia="仿宋_GB2312" w:hAnsi="Times New Roman" w:cs="Times New Roman" w:hint="eastAsia"/>
          <w:color w:val="000000"/>
          <w:kern w:val="0"/>
          <w:sz w:val="32"/>
          <w:szCs w:val="32"/>
        </w:rPr>
        <w:t>&lt;</w:t>
      </w:r>
      <w:r w:rsidRPr="00645B4A">
        <w:rPr>
          <w:rFonts w:ascii="Times New Roman" w:eastAsia="仿宋_GB2312" w:hAnsi="Times New Roman" w:cs="Times New Roman" w:hint="eastAsia"/>
          <w:color w:val="000000"/>
          <w:kern w:val="0"/>
          <w:sz w:val="32"/>
          <w:szCs w:val="32"/>
        </w:rPr>
        <w:t>土地征收成片开发标准</w:t>
      </w:r>
      <w:r w:rsidRPr="00645B4A">
        <w:rPr>
          <w:rFonts w:ascii="Times New Roman" w:eastAsia="仿宋_GB2312" w:hAnsi="Times New Roman" w:cs="Times New Roman" w:hint="eastAsia"/>
          <w:color w:val="000000"/>
          <w:kern w:val="0"/>
          <w:sz w:val="32"/>
          <w:szCs w:val="32"/>
        </w:rPr>
        <w:t>&gt;</w:t>
      </w:r>
      <w:r w:rsidRPr="00645B4A">
        <w:rPr>
          <w:rFonts w:ascii="Times New Roman" w:eastAsia="仿宋_GB2312" w:hAnsi="Times New Roman" w:cs="Times New Roman" w:hint="eastAsia"/>
          <w:color w:val="000000"/>
          <w:kern w:val="0"/>
          <w:sz w:val="32"/>
          <w:szCs w:val="32"/>
        </w:rPr>
        <w:t>的通知》（自然资</w:t>
      </w:r>
      <w:proofErr w:type="gramStart"/>
      <w:r w:rsidRPr="00645B4A">
        <w:rPr>
          <w:rFonts w:ascii="Times New Roman" w:eastAsia="仿宋_GB2312" w:hAnsi="Times New Roman" w:cs="Times New Roman" w:hint="eastAsia"/>
          <w:color w:val="000000"/>
          <w:kern w:val="0"/>
          <w:sz w:val="32"/>
          <w:szCs w:val="32"/>
        </w:rPr>
        <w:t>规</w:t>
      </w:r>
      <w:proofErr w:type="gramEnd"/>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2023</w:t>
      </w:r>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7</w:t>
      </w:r>
      <w:r w:rsidRPr="00645B4A">
        <w:rPr>
          <w:rFonts w:ascii="Times New Roman" w:eastAsia="仿宋_GB2312" w:hAnsi="Times New Roman" w:cs="Times New Roman" w:hint="eastAsia"/>
          <w:color w:val="000000"/>
          <w:kern w:val="0"/>
          <w:sz w:val="32"/>
          <w:szCs w:val="32"/>
        </w:rPr>
        <w:t>号）、《江苏省自然资源厅关于开展土地征收成片开发方案编制工作的通知》（</w:t>
      </w:r>
      <w:proofErr w:type="gramStart"/>
      <w:r w:rsidRPr="00645B4A">
        <w:rPr>
          <w:rFonts w:ascii="Times New Roman" w:eastAsia="仿宋_GB2312" w:hAnsi="Times New Roman" w:cs="Times New Roman" w:hint="eastAsia"/>
          <w:color w:val="000000"/>
          <w:kern w:val="0"/>
          <w:sz w:val="32"/>
          <w:szCs w:val="32"/>
        </w:rPr>
        <w:t>苏自然资函</w:t>
      </w:r>
      <w:proofErr w:type="gramEnd"/>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2021</w:t>
      </w:r>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15</w:t>
      </w:r>
      <w:r w:rsidRPr="00645B4A">
        <w:rPr>
          <w:rFonts w:ascii="Times New Roman" w:eastAsia="仿宋_GB2312" w:hAnsi="Times New Roman" w:cs="Times New Roman" w:hint="eastAsia"/>
          <w:color w:val="000000"/>
          <w:kern w:val="0"/>
          <w:sz w:val="32"/>
          <w:szCs w:val="32"/>
        </w:rPr>
        <w:t>号）、《江苏省自然资源厅关于加快推进土地征收成片开发方案编制工作的通知》（</w:t>
      </w:r>
      <w:proofErr w:type="gramStart"/>
      <w:r w:rsidRPr="00645B4A">
        <w:rPr>
          <w:rFonts w:ascii="Times New Roman" w:eastAsia="仿宋_GB2312" w:hAnsi="Times New Roman" w:cs="Times New Roman" w:hint="eastAsia"/>
          <w:color w:val="000000"/>
          <w:kern w:val="0"/>
          <w:sz w:val="32"/>
          <w:szCs w:val="32"/>
        </w:rPr>
        <w:t>苏自然资发</w:t>
      </w:r>
      <w:proofErr w:type="gramEnd"/>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2021</w:t>
      </w:r>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138</w:t>
      </w:r>
      <w:r w:rsidRPr="00645B4A">
        <w:rPr>
          <w:rFonts w:ascii="Times New Roman" w:eastAsia="仿宋_GB2312" w:hAnsi="Times New Roman" w:cs="Times New Roman" w:hint="eastAsia"/>
          <w:color w:val="000000"/>
          <w:kern w:val="0"/>
          <w:sz w:val="32"/>
          <w:szCs w:val="32"/>
        </w:rPr>
        <w:t>号）、《江苏省自然资源厅关于深入推进土地征收成片开发方案编制工作的通知》（</w:t>
      </w:r>
      <w:proofErr w:type="gramStart"/>
      <w:r w:rsidRPr="00645B4A">
        <w:rPr>
          <w:rFonts w:ascii="Times New Roman" w:eastAsia="仿宋_GB2312" w:hAnsi="Times New Roman" w:cs="Times New Roman" w:hint="eastAsia"/>
          <w:color w:val="000000"/>
          <w:kern w:val="0"/>
          <w:sz w:val="32"/>
          <w:szCs w:val="32"/>
        </w:rPr>
        <w:t>苏自然资发</w:t>
      </w:r>
      <w:proofErr w:type="gramEnd"/>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2024</w:t>
      </w:r>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939</w:t>
      </w:r>
      <w:r w:rsidRPr="00645B4A">
        <w:rPr>
          <w:rFonts w:ascii="Times New Roman" w:eastAsia="仿宋_GB2312" w:hAnsi="Times New Roman" w:cs="Times New Roman" w:hint="eastAsia"/>
          <w:color w:val="000000"/>
          <w:kern w:val="0"/>
          <w:sz w:val="32"/>
          <w:szCs w:val="32"/>
        </w:rPr>
        <w:t>号）、《省政府关于印发江苏省被征地农民社会保障办法的通知》（苏政发〔</w:t>
      </w:r>
      <w:r w:rsidRPr="00645B4A">
        <w:rPr>
          <w:rFonts w:ascii="Times New Roman" w:eastAsia="仿宋_GB2312" w:hAnsi="Times New Roman" w:cs="Times New Roman" w:hint="eastAsia"/>
          <w:color w:val="000000"/>
          <w:kern w:val="0"/>
          <w:sz w:val="32"/>
          <w:szCs w:val="32"/>
        </w:rPr>
        <w:t>2021</w:t>
      </w:r>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87</w:t>
      </w:r>
      <w:r w:rsidRPr="00645B4A">
        <w:rPr>
          <w:rFonts w:ascii="Times New Roman" w:eastAsia="仿宋_GB2312" w:hAnsi="Times New Roman" w:cs="Times New Roman" w:hint="eastAsia"/>
          <w:color w:val="000000"/>
          <w:kern w:val="0"/>
          <w:sz w:val="32"/>
          <w:szCs w:val="32"/>
        </w:rPr>
        <w:t>号）、《省政府关于重新公布江苏省征地区片综合地价最低标准的通知》（苏政</w:t>
      </w:r>
      <w:proofErr w:type="gramStart"/>
      <w:r w:rsidRPr="00645B4A">
        <w:rPr>
          <w:rFonts w:ascii="Times New Roman" w:eastAsia="仿宋_GB2312" w:hAnsi="Times New Roman" w:cs="Times New Roman" w:hint="eastAsia"/>
          <w:color w:val="000000"/>
          <w:kern w:val="0"/>
          <w:sz w:val="32"/>
          <w:szCs w:val="32"/>
        </w:rPr>
        <w:t>规</w:t>
      </w:r>
      <w:proofErr w:type="gramEnd"/>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2023</w:t>
      </w:r>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12</w:t>
      </w:r>
      <w:r w:rsidRPr="00645B4A">
        <w:rPr>
          <w:rFonts w:ascii="Times New Roman" w:eastAsia="仿宋_GB2312" w:hAnsi="Times New Roman" w:cs="Times New Roman" w:hint="eastAsia"/>
          <w:color w:val="000000"/>
          <w:kern w:val="0"/>
          <w:sz w:val="32"/>
          <w:szCs w:val="32"/>
        </w:rPr>
        <w:t>号）、《市政府关于重新公布常州市所辖各县（市、区）征地区片综合地价执行标准的通知》（常政</w:t>
      </w:r>
      <w:proofErr w:type="gramStart"/>
      <w:r w:rsidRPr="00645B4A">
        <w:rPr>
          <w:rFonts w:ascii="Times New Roman" w:eastAsia="仿宋_GB2312" w:hAnsi="Times New Roman" w:cs="Times New Roman" w:hint="eastAsia"/>
          <w:color w:val="000000"/>
          <w:kern w:val="0"/>
          <w:sz w:val="32"/>
          <w:szCs w:val="32"/>
        </w:rPr>
        <w:t>规</w:t>
      </w:r>
      <w:proofErr w:type="gramEnd"/>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2023</w:t>
      </w:r>
      <w:r w:rsidRPr="00645B4A">
        <w:rPr>
          <w:rFonts w:ascii="Times New Roman" w:eastAsia="仿宋_GB2312" w:hAnsi="Times New Roman" w:cs="Times New Roman" w:hint="eastAsia"/>
          <w:color w:val="000000"/>
          <w:kern w:val="0"/>
          <w:sz w:val="32"/>
          <w:szCs w:val="32"/>
        </w:rPr>
        <w:t>〕</w:t>
      </w:r>
      <w:r w:rsidRPr="00645B4A">
        <w:rPr>
          <w:rFonts w:ascii="Times New Roman" w:eastAsia="仿宋_GB2312" w:hAnsi="Times New Roman" w:cs="Times New Roman" w:hint="eastAsia"/>
          <w:color w:val="000000"/>
          <w:kern w:val="0"/>
          <w:sz w:val="32"/>
          <w:szCs w:val="32"/>
        </w:rPr>
        <w:t>6</w:t>
      </w:r>
      <w:r w:rsidRPr="00645B4A">
        <w:rPr>
          <w:rFonts w:ascii="Times New Roman" w:eastAsia="仿宋_GB2312" w:hAnsi="Times New Roman" w:cs="Times New Roman" w:hint="eastAsia"/>
          <w:color w:val="000000"/>
          <w:kern w:val="0"/>
          <w:sz w:val="32"/>
          <w:szCs w:val="32"/>
        </w:rPr>
        <w:t>号）等政策规定，</w:t>
      </w:r>
      <w:r w:rsidR="00000000" w:rsidRPr="00A13B0A">
        <w:rPr>
          <w:rFonts w:ascii="Times New Roman" w:eastAsia="仿宋_GB2312" w:hAnsi="Times New Roman" w:cs="Times New Roman"/>
          <w:color w:val="000000"/>
          <w:kern w:val="0"/>
          <w:sz w:val="32"/>
          <w:szCs w:val="32"/>
        </w:rPr>
        <w:t>常州市武进区人民政府组织编制了《武进区</w:t>
      </w:r>
      <w:r w:rsidR="00000000" w:rsidRPr="00A13B0A">
        <w:rPr>
          <w:rFonts w:ascii="Times New Roman" w:eastAsia="仿宋_GB2312" w:hAnsi="Times New Roman" w:cs="Times New Roman"/>
          <w:color w:val="000000"/>
          <w:kern w:val="0"/>
          <w:sz w:val="32"/>
          <w:szCs w:val="32"/>
        </w:rPr>
        <w:t>202</w:t>
      </w:r>
      <w:r>
        <w:rPr>
          <w:rFonts w:ascii="Times New Roman" w:eastAsia="仿宋_GB2312" w:hAnsi="Times New Roman" w:cs="Times New Roman" w:hint="eastAsia"/>
          <w:color w:val="000000"/>
          <w:kern w:val="0"/>
          <w:sz w:val="32"/>
          <w:szCs w:val="32"/>
        </w:rPr>
        <w:t>5</w:t>
      </w:r>
      <w:r w:rsidR="00000000" w:rsidRPr="00A13B0A">
        <w:rPr>
          <w:rFonts w:ascii="Times New Roman" w:eastAsia="仿宋_GB2312" w:hAnsi="Times New Roman" w:cs="Times New Roman"/>
          <w:color w:val="000000"/>
          <w:kern w:val="0"/>
          <w:sz w:val="32"/>
          <w:szCs w:val="32"/>
        </w:rPr>
        <w:t>-</w:t>
      </w:r>
      <w:r>
        <w:rPr>
          <w:rFonts w:ascii="Times New Roman" w:eastAsia="仿宋_GB2312" w:hAnsi="Times New Roman" w:cs="Times New Roman" w:hint="eastAsia"/>
          <w:color w:val="000000"/>
          <w:kern w:val="0"/>
          <w:sz w:val="32"/>
          <w:szCs w:val="32"/>
        </w:rPr>
        <w:t>07</w:t>
      </w:r>
      <w:r w:rsidR="00000000" w:rsidRPr="00A13B0A">
        <w:rPr>
          <w:rFonts w:ascii="Times New Roman" w:eastAsia="仿宋_GB2312" w:hAnsi="Times New Roman" w:cs="Times New Roman"/>
          <w:color w:val="000000"/>
          <w:kern w:val="0"/>
          <w:sz w:val="32"/>
          <w:szCs w:val="32"/>
        </w:rPr>
        <w:t>号土地征收成片开发方案》。现公示如下：</w:t>
      </w:r>
    </w:p>
    <w:p w14:paraId="6B538C41" w14:textId="77777777"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一、片区基本情况</w:t>
      </w:r>
    </w:p>
    <w:p w14:paraId="7F38917F" w14:textId="16C0D04B" w:rsidR="00A101A4" w:rsidRPr="00A13B0A" w:rsidRDefault="00000000" w:rsidP="00691193">
      <w:pPr>
        <w:widowControl/>
        <w:spacing w:line="560" w:lineRule="exact"/>
        <w:ind w:firstLineChars="200" w:firstLine="640"/>
        <w:rPr>
          <w:rFonts w:ascii="Times New Roman" w:eastAsia="仿宋_GB2312" w:hAnsi="Times New Roman" w:cs="Times New Roman"/>
          <w:kern w:val="0"/>
          <w:sz w:val="32"/>
          <w:szCs w:val="32"/>
        </w:rPr>
      </w:pPr>
      <w:r w:rsidRPr="00A13B0A">
        <w:rPr>
          <w:rFonts w:ascii="Times New Roman" w:eastAsia="仿宋_GB2312" w:hAnsi="Times New Roman" w:cs="Times New Roman"/>
          <w:color w:val="000000"/>
          <w:kern w:val="0"/>
          <w:sz w:val="32"/>
          <w:szCs w:val="32"/>
        </w:rPr>
        <w:t>本方案主要涉及</w:t>
      </w:r>
      <w:r w:rsidR="00843262">
        <w:rPr>
          <w:rFonts w:ascii="Times New Roman" w:eastAsia="仿宋_GB2312" w:hAnsi="Times New Roman" w:cs="Times New Roman" w:hint="eastAsia"/>
          <w:color w:val="000000"/>
          <w:kern w:val="0"/>
          <w:sz w:val="32"/>
          <w:szCs w:val="32"/>
        </w:rPr>
        <w:t>武进区</w:t>
      </w:r>
      <w:r w:rsidR="00510E3C" w:rsidRPr="00A13B0A">
        <w:rPr>
          <w:rFonts w:ascii="Times New Roman" w:eastAsia="仿宋_GB2312" w:hAnsi="Times New Roman" w:cs="Times New Roman" w:hint="eastAsia"/>
          <w:color w:val="000000"/>
          <w:kern w:val="0"/>
          <w:sz w:val="32"/>
          <w:szCs w:val="32"/>
        </w:rPr>
        <w:t>中心城区</w:t>
      </w:r>
      <w:r w:rsidR="00843262">
        <w:rPr>
          <w:rFonts w:ascii="Times New Roman" w:eastAsia="仿宋_GB2312" w:hAnsi="Times New Roman" w:cs="Times New Roman" w:hint="eastAsia"/>
          <w:color w:val="000000"/>
          <w:kern w:val="0"/>
          <w:sz w:val="32"/>
          <w:szCs w:val="32"/>
        </w:rPr>
        <w:t>范围</w:t>
      </w:r>
      <w:r w:rsidRPr="00A13B0A">
        <w:rPr>
          <w:rFonts w:ascii="Times New Roman" w:eastAsia="仿宋_GB2312" w:hAnsi="Times New Roman" w:cs="Times New Roman"/>
          <w:kern w:val="0"/>
          <w:sz w:val="32"/>
          <w:szCs w:val="32"/>
        </w:rPr>
        <w:t>，包括</w:t>
      </w:r>
      <w:r w:rsidR="00645B4A">
        <w:rPr>
          <w:rFonts w:ascii="Times New Roman" w:eastAsia="仿宋_GB2312" w:hAnsi="Times New Roman" w:cs="Times New Roman" w:hint="eastAsia"/>
          <w:kern w:val="0"/>
          <w:sz w:val="32"/>
          <w:szCs w:val="32"/>
        </w:rPr>
        <w:t>2</w:t>
      </w:r>
      <w:r w:rsidRPr="00A13B0A">
        <w:rPr>
          <w:rFonts w:ascii="Times New Roman" w:eastAsia="仿宋_GB2312" w:hAnsi="Times New Roman" w:cs="Times New Roman"/>
          <w:kern w:val="0"/>
          <w:sz w:val="32"/>
          <w:szCs w:val="32"/>
        </w:rPr>
        <w:t>个片区，开发片区范围总面积</w:t>
      </w:r>
      <w:r w:rsidR="00645B4A" w:rsidRPr="00645B4A">
        <w:rPr>
          <w:rFonts w:ascii="Times New Roman" w:eastAsia="仿宋_GB2312" w:hAnsi="Times New Roman" w:cs="Times New Roman" w:hint="eastAsia"/>
          <w:kern w:val="0"/>
          <w:sz w:val="32"/>
          <w:szCs w:val="32"/>
        </w:rPr>
        <w:t>104.1416</w:t>
      </w:r>
      <w:r w:rsidRPr="00A13B0A">
        <w:rPr>
          <w:rFonts w:ascii="Times New Roman" w:eastAsia="仿宋_GB2312" w:hAnsi="Times New Roman" w:cs="Times New Roman"/>
          <w:kern w:val="0"/>
          <w:sz w:val="32"/>
          <w:szCs w:val="32"/>
        </w:rPr>
        <w:t>公顷。</w:t>
      </w:r>
      <w:r w:rsidR="00A03BF4" w:rsidRPr="00A13B0A">
        <w:rPr>
          <w:rFonts w:ascii="Times New Roman" w:eastAsia="仿宋_GB2312" w:hAnsi="Times New Roman" w:cs="Times New Roman" w:hint="eastAsia"/>
          <w:kern w:val="0"/>
          <w:sz w:val="32"/>
          <w:szCs w:val="32"/>
        </w:rPr>
        <w:t>其中，</w:t>
      </w:r>
      <w:r w:rsidR="00645B4A">
        <w:rPr>
          <w:rFonts w:ascii="Times New Roman" w:eastAsia="仿宋_GB2312" w:hAnsi="Times New Roman" w:cs="Times New Roman" w:hint="eastAsia"/>
          <w:kern w:val="0"/>
          <w:sz w:val="32"/>
          <w:szCs w:val="32"/>
        </w:rPr>
        <w:t>中心城区</w:t>
      </w:r>
      <w:r w:rsidR="00645B4A">
        <w:rPr>
          <w:rFonts w:ascii="Times New Roman" w:eastAsia="仿宋_GB2312" w:hAnsi="Times New Roman" w:cs="Times New Roman" w:hint="eastAsia"/>
          <w:kern w:val="0"/>
          <w:sz w:val="32"/>
          <w:szCs w:val="32"/>
        </w:rPr>
        <w:t>7</w:t>
      </w:r>
      <w:r w:rsidR="00645B4A">
        <w:rPr>
          <w:rFonts w:ascii="Times New Roman" w:eastAsia="仿宋_GB2312" w:hAnsi="Times New Roman" w:cs="Times New Roman" w:hint="eastAsia"/>
          <w:kern w:val="0"/>
          <w:sz w:val="32"/>
          <w:szCs w:val="32"/>
        </w:rPr>
        <w:t>号</w:t>
      </w:r>
      <w:r w:rsidR="00A03BF4" w:rsidRPr="00A13B0A">
        <w:rPr>
          <w:rFonts w:ascii="Times New Roman" w:eastAsia="仿宋_GB2312" w:hAnsi="Times New Roman" w:cs="Times New Roman" w:hint="eastAsia"/>
          <w:kern w:val="0"/>
          <w:sz w:val="32"/>
          <w:szCs w:val="32"/>
        </w:rPr>
        <w:t>片区范围面积</w:t>
      </w:r>
      <w:r w:rsidR="00645B4A" w:rsidRPr="00645B4A">
        <w:rPr>
          <w:rFonts w:ascii="Times New Roman" w:eastAsia="仿宋_GB2312" w:hAnsi="Times New Roman" w:cs="Times New Roman" w:hint="eastAsia"/>
          <w:kern w:val="0"/>
          <w:sz w:val="32"/>
          <w:szCs w:val="32"/>
        </w:rPr>
        <w:t>21.3423</w:t>
      </w:r>
      <w:r w:rsidR="00A03BF4" w:rsidRPr="00A13B0A">
        <w:rPr>
          <w:rFonts w:ascii="Times New Roman" w:eastAsia="仿宋_GB2312" w:hAnsi="Times New Roman" w:cs="Times New Roman" w:hint="eastAsia"/>
          <w:kern w:val="0"/>
          <w:sz w:val="32"/>
          <w:szCs w:val="32"/>
        </w:rPr>
        <w:t>公顷；</w:t>
      </w:r>
      <w:r w:rsidR="00645B4A">
        <w:rPr>
          <w:rFonts w:ascii="Times New Roman" w:eastAsia="仿宋_GB2312" w:hAnsi="Times New Roman" w:cs="Times New Roman" w:hint="eastAsia"/>
          <w:kern w:val="0"/>
          <w:sz w:val="32"/>
          <w:szCs w:val="32"/>
        </w:rPr>
        <w:t>中心城区</w:t>
      </w:r>
      <w:r w:rsidR="00645B4A">
        <w:rPr>
          <w:rFonts w:ascii="Times New Roman" w:eastAsia="仿宋_GB2312" w:hAnsi="Times New Roman" w:cs="Times New Roman" w:hint="eastAsia"/>
          <w:kern w:val="0"/>
          <w:sz w:val="32"/>
          <w:szCs w:val="32"/>
        </w:rPr>
        <w:t>8</w:t>
      </w:r>
      <w:r w:rsidR="00645B4A">
        <w:rPr>
          <w:rFonts w:ascii="Times New Roman" w:eastAsia="仿宋_GB2312" w:hAnsi="Times New Roman" w:cs="Times New Roman" w:hint="eastAsia"/>
          <w:kern w:val="0"/>
          <w:sz w:val="32"/>
          <w:szCs w:val="32"/>
        </w:rPr>
        <w:t>号</w:t>
      </w:r>
      <w:r w:rsidR="00A03BF4" w:rsidRPr="00A13B0A">
        <w:rPr>
          <w:rFonts w:ascii="Times New Roman" w:eastAsia="仿宋_GB2312" w:hAnsi="Times New Roman" w:cs="Times New Roman" w:hint="eastAsia"/>
          <w:kern w:val="0"/>
          <w:sz w:val="32"/>
          <w:szCs w:val="32"/>
        </w:rPr>
        <w:t>片区范围面积</w:t>
      </w:r>
      <w:r w:rsidR="00645B4A" w:rsidRPr="00645B4A">
        <w:rPr>
          <w:rFonts w:ascii="Times New Roman" w:eastAsia="仿宋_GB2312" w:hAnsi="Times New Roman" w:cs="Times New Roman" w:hint="eastAsia"/>
          <w:kern w:val="0"/>
          <w:sz w:val="32"/>
          <w:szCs w:val="32"/>
        </w:rPr>
        <w:t>82.7993</w:t>
      </w:r>
      <w:r w:rsidR="00A03BF4" w:rsidRPr="00A13B0A">
        <w:rPr>
          <w:rFonts w:ascii="Times New Roman" w:eastAsia="仿宋_GB2312" w:hAnsi="Times New Roman" w:cs="Times New Roman" w:hint="eastAsia"/>
          <w:kern w:val="0"/>
          <w:sz w:val="32"/>
          <w:szCs w:val="32"/>
        </w:rPr>
        <w:t>公顷。</w:t>
      </w:r>
      <w:r w:rsidRPr="00A13B0A">
        <w:rPr>
          <w:rFonts w:ascii="Times New Roman" w:eastAsia="仿宋_GB2312" w:hAnsi="Times New Roman" w:cs="Times New Roman"/>
          <w:sz w:val="32"/>
          <w:szCs w:val="32"/>
        </w:rPr>
        <w:t>（成片开发范围及面积以最终批复为准）</w:t>
      </w:r>
    </w:p>
    <w:p w14:paraId="3832A6F4" w14:textId="77777777"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lastRenderedPageBreak/>
        <w:t>二、成片开发的必要性</w:t>
      </w:r>
    </w:p>
    <w:p w14:paraId="0A3BB530" w14:textId="77777777"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武进区作为常州都市圈南部核心区，要积极抢抓长三角一体化、长江经济带、苏锡常都市圈等多重</w:t>
      </w: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风口</w:t>
      </w: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充分发挥滨湖生态、智造集群、国际合作、科教创新、区位交通等独特优势，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权益为前提，以片区为整体功能单元开展剩余待开发改造地块的土地征收成片开发，切实发挥土地资源高效配置的作用。最终落实国土空间规划发展目标，高效配置土地资源、提升城市功能，强化生态服务功能，推进经济社会的可持续发展。</w:t>
      </w:r>
    </w:p>
    <w:p w14:paraId="2FA29E0C" w14:textId="77777777"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三、实施计划</w:t>
      </w:r>
    </w:p>
    <w:p w14:paraId="0C960143" w14:textId="604B97BA"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成片开发范围内拟建设项目以产业项目为主，配套建设基础设施项目，大部分地块根据年度实施方案在</w:t>
      </w:r>
      <w:r w:rsidRPr="00A13B0A">
        <w:rPr>
          <w:rFonts w:ascii="Times New Roman" w:eastAsia="仿宋_GB2312" w:hAnsi="Times New Roman" w:cs="Times New Roman"/>
          <w:color w:val="000000"/>
          <w:kern w:val="0"/>
          <w:sz w:val="32"/>
          <w:szCs w:val="32"/>
        </w:rPr>
        <w:t>202</w:t>
      </w:r>
      <w:r w:rsidR="00645B4A">
        <w:rPr>
          <w:rFonts w:ascii="Times New Roman" w:eastAsia="仿宋_GB2312" w:hAnsi="Times New Roman" w:cs="Times New Roman" w:hint="eastAsia"/>
          <w:color w:val="000000"/>
          <w:kern w:val="0"/>
          <w:sz w:val="32"/>
          <w:szCs w:val="32"/>
        </w:rPr>
        <w:t>5</w:t>
      </w:r>
      <w:r w:rsidRPr="00A13B0A">
        <w:rPr>
          <w:rFonts w:ascii="Times New Roman" w:eastAsia="仿宋_GB2312" w:hAnsi="Times New Roman" w:cs="Times New Roman"/>
          <w:color w:val="000000"/>
          <w:kern w:val="0"/>
          <w:sz w:val="32"/>
          <w:szCs w:val="32"/>
        </w:rPr>
        <w:t>至</w:t>
      </w:r>
      <w:r w:rsidRPr="00A13B0A">
        <w:rPr>
          <w:rFonts w:ascii="Times New Roman" w:eastAsia="仿宋_GB2312" w:hAnsi="Times New Roman" w:cs="Times New Roman"/>
          <w:color w:val="000000"/>
          <w:kern w:val="0"/>
          <w:sz w:val="32"/>
          <w:szCs w:val="32"/>
        </w:rPr>
        <w:t>202</w:t>
      </w:r>
      <w:r w:rsidR="00645B4A">
        <w:rPr>
          <w:rFonts w:ascii="Times New Roman" w:eastAsia="仿宋_GB2312" w:hAnsi="Times New Roman" w:cs="Times New Roman" w:hint="eastAsia"/>
          <w:color w:val="000000"/>
          <w:kern w:val="0"/>
          <w:sz w:val="32"/>
          <w:szCs w:val="32"/>
        </w:rPr>
        <w:t>9</w:t>
      </w:r>
      <w:r w:rsidRPr="00A13B0A">
        <w:rPr>
          <w:rFonts w:ascii="Times New Roman" w:eastAsia="仿宋_GB2312" w:hAnsi="Times New Roman" w:cs="Times New Roman"/>
          <w:color w:val="000000"/>
          <w:kern w:val="0"/>
          <w:sz w:val="32"/>
          <w:szCs w:val="32"/>
        </w:rPr>
        <w:t>年分批次完成土地征收和供地工作。</w:t>
      </w:r>
    </w:p>
    <w:p w14:paraId="71BB2514" w14:textId="77777777"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四、规划符合情况</w:t>
      </w:r>
    </w:p>
    <w:p w14:paraId="338A63E2" w14:textId="77777777"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（一）</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国民经济和社会发展规划、年度计划</w:t>
      </w:r>
    </w:p>
    <w:p w14:paraId="5F269311" w14:textId="77777777"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本方案符合武进区现行国民经济和社会发展规划，拟定的年度实施计划和开发时序符合国民经济和社会发展年度计划。</w:t>
      </w:r>
    </w:p>
    <w:p w14:paraId="65E4D554" w14:textId="77777777"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lastRenderedPageBreak/>
        <w:t>（二）</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符合国土空间规划情况</w:t>
      </w:r>
    </w:p>
    <w:p w14:paraId="16D8F5C6" w14:textId="03C51E3F" w:rsidR="00A101A4" w:rsidRPr="00A13B0A" w:rsidRDefault="00645B4A"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45B4A">
        <w:rPr>
          <w:rFonts w:ascii="Times New Roman" w:eastAsia="仿宋_GB2312" w:hAnsi="Times New Roman" w:cs="Times New Roman" w:hint="eastAsia"/>
          <w:color w:val="000000"/>
          <w:kern w:val="0"/>
          <w:sz w:val="32"/>
          <w:szCs w:val="32"/>
        </w:rPr>
        <w:t>本方案符合已批准的国土空间总体规划，土地征收成片开发范围位于《常州市武进区国土空间总体规划》确定的城镇建设用地范围，不涉及永久基本农田和生态保护红线。</w:t>
      </w:r>
    </w:p>
    <w:p w14:paraId="1C5962E1" w14:textId="77777777" w:rsidR="00A101A4" w:rsidRPr="00A13B0A"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（三）</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公益性用地比例</w:t>
      </w:r>
    </w:p>
    <w:p w14:paraId="2C332330" w14:textId="2048F015" w:rsidR="00A101A4" w:rsidRPr="00A13B0A" w:rsidRDefault="00000000" w:rsidP="00691193">
      <w:pPr>
        <w:widowControl/>
        <w:spacing w:line="560" w:lineRule="exact"/>
        <w:ind w:firstLineChars="200" w:firstLine="640"/>
        <w:rPr>
          <w:rFonts w:ascii="Times New Roman" w:eastAsia="宋体" w:hAnsi="Times New Roman" w:cs="Times New Roman"/>
          <w:color w:val="000000"/>
          <w:kern w:val="0"/>
          <w:sz w:val="30"/>
          <w:szCs w:val="30"/>
        </w:rPr>
      </w:pPr>
      <w:r w:rsidRPr="00A13B0A">
        <w:rPr>
          <w:rFonts w:ascii="Times New Roman" w:eastAsia="仿宋_GB2312" w:hAnsi="Times New Roman" w:cs="Times New Roman"/>
          <w:kern w:val="0"/>
          <w:sz w:val="32"/>
          <w:szCs w:val="32"/>
        </w:rPr>
        <w:t>根据用途分区和建设项目安排，</w:t>
      </w:r>
      <w:r w:rsidR="00645B4A">
        <w:rPr>
          <w:rFonts w:ascii="Times New Roman" w:eastAsia="仿宋_GB2312" w:hAnsi="Times New Roman" w:cs="Times New Roman" w:hint="eastAsia"/>
          <w:kern w:val="0"/>
          <w:sz w:val="32"/>
          <w:szCs w:val="32"/>
        </w:rPr>
        <w:t>中心城区</w:t>
      </w:r>
      <w:r w:rsidR="00645B4A">
        <w:rPr>
          <w:rFonts w:ascii="Times New Roman" w:eastAsia="仿宋_GB2312" w:hAnsi="Times New Roman" w:cs="Times New Roman" w:hint="eastAsia"/>
          <w:kern w:val="0"/>
          <w:sz w:val="32"/>
          <w:szCs w:val="32"/>
        </w:rPr>
        <w:t>7</w:t>
      </w:r>
      <w:r w:rsidR="00645B4A">
        <w:rPr>
          <w:rFonts w:ascii="Times New Roman" w:eastAsia="仿宋_GB2312" w:hAnsi="Times New Roman" w:cs="Times New Roman" w:hint="eastAsia"/>
          <w:kern w:val="0"/>
          <w:sz w:val="32"/>
          <w:szCs w:val="32"/>
        </w:rPr>
        <w:t>号片区</w:t>
      </w:r>
      <w:r w:rsidRPr="00A13B0A">
        <w:rPr>
          <w:rFonts w:ascii="Times New Roman" w:eastAsia="仿宋_GB2312" w:hAnsi="Times New Roman" w:cs="Times New Roman"/>
          <w:kern w:val="0"/>
          <w:sz w:val="32"/>
          <w:szCs w:val="32"/>
        </w:rPr>
        <w:t>规划建设用地总面积</w:t>
      </w:r>
      <w:r w:rsidR="00645B4A" w:rsidRPr="00645B4A">
        <w:rPr>
          <w:rFonts w:ascii="Times New Roman" w:eastAsia="仿宋_GB2312" w:hAnsi="Times New Roman" w:cs="Times New Roman" w:hint="eastAsia"/>
          <w:kern w:val="0"/>
          <w:sz w:val="32"/>
          <w:szCs w:val="32"/>
        </w:rPr>
        <w:t>21.3423</w:t>
      </w:r>
      <w:r w:rsidRPr="00A13B0A">
        <w:rPr>
          <w:rFonts w:ascii="Times New Roman" w:eastAsia="仿宋_GB2312" w:hAnsi="Times New Roman" w:cs="Times New Roman"/>
          <w:kern w:val="0"/>
          <w:sz w:val="32"/>
          <w:szCs w:val="32"/>
        </w:rPr>
        <w:t>公顷，</w:t>
      </w:r>
      <w:r w:rsidR="00645B4A">
        <w:rPr>
          <w:rFonts w:ascii="Times New Roman" w:eastAsia="仿宋_GB2312" w:hAnsi="Times New Roman" w:cs="Times New Roman" w:hint="eastAsia"/>
          <w:kern w:val="0"/>
          <w:sz w:val="32"/>
          <w:szCs w:val="32"/>
        </w:rPr>
        <w:t>中心城区</w:t>
      </w:r>
      <w:r w:rsidR="00645B4A">
        <w:rPr>
          <w:rFonts w:ascii="Times New Roman" w:eastAsia="仿宋_GB2312" w:hAnsi="Times New Roman" w:cs="Times New Roman" w:hint="eastAsia"/>
          <w:kern w:val="0"/>
          <w:sz w:val="32"/>
          <w:szCs w:val="32"/>
        </w:rPr>
        <w:t>8</w:t>
      </w:r>
      <w:r w:rsidR="00645B4A">
        <w:rPr>
          <w:rFonts w:ascii="Times New Roman" w:eastAsia="仿宋_GB2312" w:hAnsi="Times New Roman" w:cs="Times New Roman" w:hint="eastAsia"/>
          <w:kern w:val="0"/>
          <w:sz w:val="32"/>
          <w:szCs w:val="32"/>
        </w:rPr>
        <w:t>号</w:t>
      </w:r>
      <w:r w:rsidR="00A03BF4" w:rsidRPr="00A13B0A">
        <w:rPr>
          <w:rFonts w:ascii="Times New Roman" w:eastAsia="仿宋_GB2312" w:hAnsi="Times New Roman" w:cs="Times New Roman" w:hint="eastAsia"/>
          <w:kern w:val="0"/>
          <w:sz w:val="32"/>
          <w:szCs w:val="32"/>
        </w:rPr>
        <w:t>片区</w:t>
      </w:r>
      <w:r w:rsidR="00A03BF4" w:rsidRPr="00A13B0A">
        <w:rPr>
          <w:rFonts w:ascii="Times New Roman" w:eastAsia="仿宋_GB2312" w:hAnsi="Times New Roman" w:cs="Times New Roman"/>
          <w:kern w:val="0"/>
          <w:sz w:val="32"/>
          <w:szCs w:val="32"/>
        </w:rPr>
        <w:t>规划建设用地总面积</w:t>
      </w:r>
      <w:r w:rsidR="00645B4A" w:rsidRPr="00645B4A">
        <w:rPr>
          <w:rFonts w:ascii="Times New Roman" w:eastAsia="仿宋_GB2312" w:hAnsi="Times New Roman" w:cs="Times New Roman" w:hint="eastAsia"/>
          <w:kern w:val="0"/>
          <w:sz w:val="32"/>
          <w:szCs w:val="32"/>
        </w:rPr>
        <w:t>82.7993</w:t>
      </w:r>
      <w:r w:rsidR="00A03BF4" w:rsidRPr="00A13B0A">
        <w:rPr>
          <w:rFonts w:ascii="Times New Roman" w:eastAsia="仿宋_GB2312" w:hAnsi="Times New Roman" w:cs="Times New Roman"/>
          <w:kern w:val="0"/>
          <w:sz w:val="32"/>
          <w:szCs w:val="32"/>
        </w:rPr>
        <w:t>公顷</w:t>
      </w:r>
      <w:r w:rsidR="00A03BF4" w:rsidRPr="00A13B0A">
        <w:rPr>
          <w:rFonts w:ascii="Times New Roman" w:eastAsia="仿宋_GB2312" w:hAnsi="Times New Roman" w:cs="Times New Roman" w:hint="eastAsia"/>
          <w:kern w:val="0"/>
          <w:sz w:val="32"/>
          <w:szCs w:val="32"/>
        </w:rPr>
        <w:t>，均为</w:t>
      </w:r>
      <w:r w:rsidR="00A03BF4" w:rsidRPr="00A13B0A">
        <w:rPr>
          <w:rFonts w:ascii="Times New Roman" w:eastAsia="仿宋_GB2312" w:hAnsi="Times New Roman" w:cs="Times New Roman" w:hint="eastAsia"/>
          <w:color w:val="000000"/>
          <w:kern w:val="0"/>
          <w:sz w:val="32"/>
          <w:szCs w:val="32"/>
        </w:rPr>
        <w:t>工业主导型</w:t>
      </w:r>
      <w:r w:rsidRPr="00A13B0A">
        <w:rPr>
          <w:rFonts w:ascii="Times New Roman" w:eastAsia="仿宋_GB2312" w:hAnsi="Times New Roman" w:cs="Times New Roman"/>
          <w:color w:val="000000"/>
          <w:kern w:val="0"/>
          <w:sz w:val="32"/>
          <w:szCs w:val="32"/>
        </w:rPr>
        <w:t>片区</w:t>
      </w:r>
      <w:r w:rsidR="00A03BF4" w:rsidRPr="00A13B0A">
        <w:rPr>
          <w:rFonts w:ascii="Times New Roman" w:eastAsia="仿宋_GB2312" w:hAnsi="Times New Roman" w:cs="Times New Roman" w:hint="eastAsia"/>
          <w:color w:val="000000"/>
          <w:kern w:val="0"/>
          <w:sz w:val="32"/>
          <w:szCs w:val="32"/>
        </w:rPr>
        <w:t>，</w:t>
      </w:r>
      <w:r w:rsidRPr="00A13B0A">
        <w:rPr>
          <w:rFonts w:ascii="Times New Roman" w:eastAsia="仿宋_GB2312" w:hAnsi="Times New Roman" w:cs="Times New Roman"/>
          <w:color w:val="000000"/>
          <w:kern w:val="0"/>
          <w:sz w:val="32"/>
          <w:szCs w:val="32"/>
        </w:rPr>
        <w:t>公益性用地</w:t>
      </w:r>
      <w:r w:rsidR="000F6A3C" w:rsidRPr="00A13B0A">
        <w:rPr>
          <w:rFonts w:ascii="Times New Roman" w:eastAsia="仿宋_GB2312" w:hAnsi="Times New Roman" w:cs="Times New Roman"/>
          <w:color w:val="000000"/>
          <w:kern w:val="0"/>
          <w:sz w:val="32"/>
          <w:szCs w:val="32"/>
        </w:rPr>
        <w:t>比例</w:t>
      </w:r>
      <w:r w:rsidRPr="00A13B0A">
        <w:rPr>
          <w:rFonts w:ascii="Times New Roman" w:eastAsia="仿宋_GB2312" w:hAnsi="Times New Roman" w:cs="Times New Roman"/>
          <w:color w:val="000000"/>
          <w:kern w:val="0"/>
          <w:sz w:val="32"/>
          <w:szCs w:val="32"/>
        </w:rPr>
        <w:t>不低于国家和省相关文件要求。详见表</w:t>
      </w:r>
      <w:r w:rsidRPr="00A13B0A">
        <w:rPr>
          <w:rFonts w:ascii="Times New Roman" w:eastAsia="仿宋_GB2312" w:hAnsi="Times New Roman" w:cs="Times New Roman"/>
          <w:color w:val="000000"/>
          <w:kern w:val="0"/>
          <w:sz w:val="32"/>
          <w:szCs w:val="32"/>
        </w:rPr>
        <w:t>1</w:t>
      </w:r>
      <w:r w:rsidRPr="00A13B0A">
        <w:rPr>
          <w:rFonts w:ascii="Times New Roman" w:eastAsia="仿宋_GB2312" w:hAnsi="Times New Roman" w:cs="Times New Roman"/>
          <w:color w:val="000000"/>
          <w:kern w:val="0"/>
          <w:sz w:val="32"/>
          <w:szCs w:val="32"/>
        </w:rPr>
        <w:t>。</w:t>
      </w:r>
    </w:p>
    <w:p w14:paraId="40D9ACEC" w14:textId="77777777" w:rsidR="00A101A4" w:rsidRPr="00A13B0A" w:rsidRDefault="00000000" w:rsidP="00691193">
      <w:pPr>
        <w:widowControl/>
        <w:ind w:firstLineChars="200" w:firstLine="600"/>
        <w:jc w:val="center"/>
        <w:rPr>
          <w:rFonts w:ascii="Times New Roman" w:eastAsia="仿宋_GB2312" w:hAnsi="Times New Roman" w:cs="Times New Roman"/>
          <w:color w:val="000000"/>
          <w:kern w:val="0"/>
          <w:sz w:val="30"/>
          <w:szCs w:val="30"/>
        </w:rPr>
      </w:pPr>
      <w:r w:rsidRPr="00A13B0A">
        <w:rPr>
          <w:rFonts w:ascii="Times New Roman" w:eastAsia="仿宋_GB2312" w:hAnsi="Times New Roman" w:cs="Times New Roman"/>
          <w:color w:val="000000"/>
          <w:kern w:val="0"/>
          <w:sz w:val="30"/>
          <w:szCs w:val="30"/>
        </w:rPr>
        <w:t>表</w:t>
      </w:r>
      <w:r w:rsidRPr="00A13B0A">
        <w:rPr>
          <w:rFonts w:ascii="Times New Roman" w:eastAsia="仿宋_GB2312" w:hAnsi="Times New Roman" w:cs="Times New Roman"/>
          <w:color w:val="000000"/>
          <w:kern w:val="0"/>
          <w:sz w:val="30"/>
          <w:szCs w:val="30"/>
        </w:rPr>
        <w:t xml:space="preserve"> 1 </w:t>
      </w:r>
      <w:r w:rsidRPr="00A13B0A">
        <w:rPr>
          <w:rFonts w:ascii="Times New Roman" w:eastAsia="仿宋_GB2312" w:hAnsi="Times New Roman" w:cs="Times New Roman"/>
          <w:color w:val="000000"/>
          <w:kern w:val="0"/>
          <w:sz w:val="30"/>
          <w:szCs w:val="30"/>
        </w:rPr>
        <w:t>公益性用地情况表</w:t>
      </w:r>
    </w:p>
    <w:p w14:paraId="79CBB452" w14:textId="77777777" w:rsidR="00A101A4" w:rsidRPr="00A13B0A" w:rsidRDefault="00000000" w:rsidP="00691193">
      <w:pPr>
        <w:widowControl/>
        <w:ind w:firstLineChars="200" w:firstLine="480"/>
        <w:jc w:val="right"/>
        <w:rPr>
          <w:rFonts w:ascii="Times New Roman" w:eastAsia="仿宋_GB2312" w:hAnsi="Times New Roman" w:cs="Times New Roman"/>
          <w:kern w:val="0"/>
          <w:sz w:val="24"/>
          <w:szCs w:val="24"/>
        </w:rPr>
      </w:pPr>
      <w:r w:rsidRPr="00A13B0A">
        <w:rPr>
          <w:rFonts w:ascii="Times New Roman" w:eastAsia="仿宋_GB2312" w:hAnsi="Times New Roman" w:cs="Times New Roman"/>
          <w:color w:val="000000"/>
          <w:kern w:val="0"/>
          <w:sz w:val="24"/>
          <w:szCs w:val="24"/>
        </w:rPr>
        <w:t>单位：公顷</w:t>
      </w:r>
    </w:p>
    <w:tbl>
      <w:tblPr>
        <w:tblW w:w="5294" w:type="pct"/>
        <w:jc w:val="center"/>
        <w:tblLook w:val="04A0" w:firstRow="1" w:lastRow="0" w:firstColumn="1" w:lastColumn="0" w:noHBand="0" w:noVBand="1"/>
      </w:tblPr>
      <w:tblGrid>
        <w:gridCol w:w="4390"/>
        <w:gridCol w:w="1416"/>
        <w:gridCol w:w="1636"/>
        <w:gridCol w:w="1342"/>
      </w:tblGrid>
      <w:tr w:rsidR="00A101A4" w:rsidRPr="00A13B0A" w14:paraId="6BB9DC29" w14:textId="77777777" w:rsidTr="008170D6">
        <w:trPr>
          <w:cantSplit/>
          <w:trHeight w:val="764"/>
          <w:tblHeader/>
          <w:jc w:val="center"/>
        </w:trPr>
        <w:tc>
          <w:tcPr>
            <w:tcW w:w="2499" w:type="pct"/>
            <w:tcBorders>
              <w:top w:val="single" w:sz="4" w:space="0" w:color="auto"/>
              <w:left w:val="single" w:sz="4" w:space="0" w:color="auto"/>
              <w:bottom w:val="single" w:sz="4" w:space="0" w:color="auto"/>
              <w:right w:val="single" w:sz="4" w:space="0" w:color="auto"/>
            </w:tcBorders>
            <w:vAlign w:val="center"/>
          </w:tcPr>
          <w:p w14:paraId="16D19EC9" w14:textId="77777777" w:rsidR="00A101A4" w:rsidRPr="00A13B0A" w:rsidRDefault="00000000" w:rsidP="00691193">
            <w:pPr>
              <w:widowControl/>
              <w:jc w:val="center"/>
              <w:rPr>
                <w:rFonts w:ascii="Times New Roman" w:eastAsia="仿宋_GB2312" w:hAnsi="Times New Roman" w:cs="Times New Roman"/>
                <w:color w:val="000000"/>
                <w:kern w:val="0"/>
                <w:sz w:val="24"/>
                <w:szCs w:val="24"/>
              </w:rPr>
            </w:pPr>
            <w:r w:rsidRPr="00A13B0A">
              <w:rPr>
                <w:rFonts w:ascii="Times New Roman" w:eastAsia="仿宋_GB2312" w:hAnsi="Times New Roman" w:cs="Times New Roman"/>
                <w:color w:val="000000"/>
                <w:kern w:val="0"/>
                <w:sz w:val="24"/>
                <w:szCs w:val="24"/>
              </w:rPr>
              <w:t>片区</w:t>
            </w:r>
          </w:p>
        </w:tc>
        <w:tc>
          <w:tcPr>
            <w:tcW w:w="806" w:type="pct"/>
            <w:tcBorders>
              <w:top w:val="single" w:sz="4" w:space="0" w:color="auto"/>
              <w:left w:val="single" w:sz="4" w:space="0" w:color="auto"/>
              <w:bottom w:val="single" w:sz="4" w:space="0" w:color="auto"/>
              <w:right w:val="single" w:sz="4" w:space="0" w:color="auto"/>
            </w:tcBorders>
            <w:vAlign w:val="center"/>
          </w:tcPr>
          <w:p w14:paraId="02C53534" w14:textId="77777777" w:rsidR="00A101A4" w:rsidRPr="00A13B0A" w:rsidRDefault="00000000" w:rsidP="00691193">
            <w:pPr>
              <w:widowControl/>
              <w:jc w:val="center"/>
              <w:rPr>
                <w:rFonts w:ascii="Times New Roman" w:eastAsia="仿宋_GB2312" w:hAnsi="Times New Roman" w:cs="Times New Roman"/>
                <w:color w:val="000000"/>
                <w:kern w:val="0"/>
                <w:sz w:val="24"/>
                <w:szCs w:val="24"/>
              </w:rPr>
            </w:pPr>
            <w:r w:rsidRPr="00A13B0A">
              <w:rPr>
                <w:rFonts w:ascii="Times New Roman" w:eastAsia="仿宋_GB2312" w:hAnsi="Times New Roman" w:cs="Times New Roman"/>
                <w:color w:val="000000"/>
                <w:kern w:val="0"/>
                <w:sz w:val="24"/>
                <w:szCs w:val="24"/>
              </w:rPr>
              <w:t>规划建设用地总面积</w:t>
            </w:r>
          </w:p>
        </w:tc>
        <w:tc>
          <w:tcPr>
            <w:tcW w:w="931" w:type="pct"/>
            <w:tcBorders>
              <w:top w:val="single" w:sz="4" w:space="0" w:color="auto"/>
              <w:left w:val="single" w:sz="4" w:space="0" w:color="auto"/>
              <w:bottom w:val="single" w:sz="4" w:space="0" w:color="auto"/>
              <w:right w:val="single" w:sz="4" w:space="0" w:color="auto"/>
            </w:tcBorders>
            <w:vAlign w:val="center"/>
          </w:tcPr>
          <w:p w14:paraId="6296B77F" w14:textId="77777777" w:rsidR="00A101A4" w:rsidRPr="00A13B0A" w:rsidRDefault="00000000" w:rsidP="00691193">
            <w:pPr>
              <w:widowControl/>
              <w:jc w:val="center"/>
              <w:rPr>
                <w:rFonts w:ascii="Times New Roman" w:eastAsia="仿宋_GB2312" w:hAnsi="Times New Roman" w:cs="Times New Roman"/>
                <w:color w:val="000000"/>
                <w:kern w:val="0"/>
                <w:sz w:val="24"/>
                <w:szCs w:val="24"/>
              </w:rPr>
            </w:pPr>
            <w:r w:rsidRPr="00A13B0A">
              <w:rPr>
                <w:rFonts w:ascii="Times New Roman" w:eastAsia="仿宋_GB2312" w:hAnsi="Times New Roman" w:cs="Times New Roman"/>
                <w:color w:val="000000"/>
                <w:kern w:val="0"/>
                <w:sz w:val="24"/>
                <w:szCs w:val="24"/>
              </w:rPr>
              <w:t>公益性建设用地面积</w:t>
            </w:r>
          </w:p>
        </w:tc>
        <w:tc>
          <w:tcPr>
            <w:tcW w:w="764" w:type="pct"/>
            <w:tcBorders>
              <w:top w:val="single" w:sz="4" w:space="0" w:color="auto"/>
              <w:left w:val="single" w:sz="4" w:space="0" w:color="auto"/>
              <w:bottom w:val="single" w:sz="4" w:space="0" w:color="auto"/>
              <w:right w:val="single" w:sz="4" w:space="0" w:color="auto"/>
            </w:tcBorders>
            <w:vAlign w:val="center"/>
          </w:tcPr>
          <w:p w14:paraId="4B0A7867" w14:textId="77777777" w:rsidR="00A101A4" w:rsidRPr="00A13B0A" w:rsidRDefault="00000000" w:rsidP="00691193">
            <w:pPr>
              <w:widowControl/>
              <w:jc w:val="center"/>
              <w:rPr>
                <w:rFonts w:ascii="Times New Roman" w:eastAsia="仿宋_GB2312" w:hAnsi="Times New Roman" w:cs="Times New Roman"/>
                <w:color w:val="000000"/>
                <w:kern w:val="0"/>
                <w:sz w:val="24"/>
                <w:szCs w:val="24"/>
              </w:rPr>
            </w:pPr>
            <w:r w:rsidRPr="00A13B0A">
              <w:rPr>
                <w:rFonts w:ascii="Times New Roman" w:eastAsia="仿宋_GB2312" w:hAnsi="Times New Roman" w:cs="Times New Roman"/>
                <w:color w:val="000000"/>
                <w:kern w:val="0"/>
                <w:sz w:val="24"/>
                <w:szCs w:val="24"/>
              </w:rPr>
              <w:t>公益性用地比例</w:t>
            </w:r>
          </w:p>
        </w:tc>
      </w:tr>
      <w:tr w:rsidR="00A101A4" w:rsidRPr="00A13B0A" w14:paraId="4228D1E0" w14:textId="77777777" w:rsidTr="008170D6">
        <w:trPr>
          <w:trHeight w:val="595"/>
          <w:jc w:val="center"/>
        </w:trPr>
        <w:tc>
          <w:tcPr>
            <w:tcW w:w="2499" w:type="pct"/>
            <w:tcBorders>
              <w:top w:val="single" w:sz="4" w:space="0" w:color="auto"/>
              <w:left w:val="single" w:sz="4" w:space="0" w:color="auto"/>
              <w:bottom w:val="single" w:sz="4" w:space="0" w:color="auto"/>
              <w:right w:val="single" w:sz="4" w:space="0" w:color="auto"/>
            </w:tcBorders>
            <w:vAlign w:val="center"/>
          </w:tcPr>
          <w:p w14:paraId="543FFB71" w14:textId="7AD1253E" w:rsidR="00A101A4" w:rsidRPr="00A13B0A" w:rsidRDefault="00B04288" w:rsidP="00691193">
            <w:pPr>
              <w:widowControl/>
              <w:jc w:val="center"/>
              <w:rPr>
                <w:rFonts w:ascii="Times New Roman" w:eastAsia="仿宋_GB2312" w:hAnsi="Times New Roman" w:cs="Times New Roman"/>
                <w:sz w:val="24"/>
                <w:szCs w:val="24"/>
              </w:rPr>
            </w:pPr>
            <w:r w:rsidRPr="00B04288">
              <w:rPr>
                <w:rFonts w:ascii="Times New Roman" w:eastAsia="仿宋_GB2312" w:hAnsi="Times New Roman" w:cs="Times New Roman" w:hint="eastAsia"/>
                <w:color w:val="000000"/>
                <w:sz w:val="24"/>
                <w:szCs w:val="24"/>
              </w:rPr>
              <w:t>中心城区</w:t>
            </w:r>
            <w:r w:rsidRPr="00B04288">
              <w:rPr>
                <w:rFonts w:ascii="Times New Roman" w:eastAsia="仿宋_GB2312" w:hAnsi="Times New Roman" w:cs="Times New Roman" w:hint="eastAsia"/>
                <w:color w:val="000000"/>
                <w:sz w:val="24"/>
                <w:szCs w:val="24"/>
              </w:rPr>
              <w:t>7</w:t>
            </w:r>
            <w:r w:rsidRPr="00B04288">
              <w:rPr>
                <w:rFonts w:ascii="Times New Roman" w:eastAsia="仿宋_GB2312" w:hAnsi="Times New Roman" w:cs="Times New Roman" w:hint="eastAsia"/>
                <w:color w:val="000000"/>
                <w:sz w:val="24"/>
                <w:szCs w:val="24"/>
              </w:rPr>
              <w:t>号片区</w:t>
            </w:r>
          </w:p>
        </w:tc>
        <w:tc>
          <w:tcPr>
            <w:tcW w:w="806" w:type="pct"/>
            <w:tcBorders>
              <w:top w:val="single" w:sz="4" w:space="0" w:color="auto"/>
              <w:left w:val="single" w:sz="4" w:space="0" w:color="auto"/>
              <w:bottom w:val="single" w:sz="4" w:space="0" w:color="auto"/>
              <w:right w:val="single" w:sz="4" w:space="0" w:color="auto"/>
            </w:tcBorders>
            <w:vAlign w:val="center"/>
          </w:tcPr>
          <w:p w14:paraId="359E0348" w14:textId="1E691BB8" w:rsidR="00A101A4" w:rsidRPr="00A13B0A" w:rsidRDefault="00B04288" w:rsidP="00691193">
            <w:pPr>
              <w:widowControl/>
              <w:jc w:val="center"/>
              <w:rPr>
                <w:rFonts w:ascii="Times New Roman" w:eastAsia="仿宋_GB2312" w:hAnsi="Times New Roman" w:cs="Times New Roman"/>
                <w:sz w:val="24"/>
                <w:szCs w:val="24"/>
              </w:rPr>
            </w:pPr>
            <w:r w:rsidRPr="00B04288">
              <w:rPr>
                <w:rFonts w:ascii="Times New Roman" w:eastAsia="仿宋_GB2312" w:hAnsi="Times New Roman" w:cs="Times New Roman" w:hint="eastAsia"/>
                <w:sz w:val="24"/>
                <w:szCs w:val="24"/>
              </w:rPr>
              <w:t>21.3423</w:t>
            </w:r>
          </w:p>
        </w:tc>
        <w:tc>
          <w:tcPr>
            <w:tcW w:w="931" w:type="pct"/>
            <w:tcBorders>
              <w:top w:val="single" w:sz="4" w:space="0" w:color="auto"/>
              <w:left w:val="single" w:sz="4" w:space="0" w:color="auto"/>
              <w:bottom w:val="single" w:sz="4" w:space="0" w:color="auto"/>
              <w:right w:val="single" w:sz="4" w:space="0" w:color="auto"/>
            </w:tcBorders>
            <w:vAlign w:val="center"/>
          </w:tcPr>
          <w:p w14:paraId="09F0A3D9" w14:textId="3DCF6CDE" w:rsidR="00A101A4" w:rsidRPr="00A13B0A" w:rsidRDefault="00B04288" w:rsidP="00691193">
            <w:pPr>
              <w:widowControl/>
              <w:jc w:val="center"/>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4.4082</w:t>
            </w:r>
          </w:p>
        </w:tc>
        <w:tc>
          <w:tcPr>
            <w:tcW w:w="764" w:type="pct"/>
            <w:tcBorders>
              <w:top w:val="single" w:sz="4" w:space="0" w:color="auto"/>
              <w:left w:val="single" w:sz="4" w:space="0" w:color="auto"/>
              <w:bottom w:val="single" w:sz="4" w:space="0" w:color="auto"/>
              <w:right w:val="single" w:sz="4" w:space="0" w:color="auto"/>
            </w:tcBorders>
            <w:vAlign w:val="center"/>
          </w:tcPr>
          <w:p w14:paraId="6FCA6245" w14:textId="21589FFE" w:rsidR="00A101A4" w:rsidRPr="00A13B0A" w:rsidRDefault="00B04288" w:rsidP="00691193">
            <w:pPr>
              <w:widowControl/>
              <w:jc w:val="center"/>
              <w:rPr>
                <w:rFonts w:ascii="Times New Roman" w:eastAsia="仿宋_GB2312" w:hAnsi="Times New Roman" w:cs="Times New Roman"/>
                <w:sz w:val="24"/>
                <w:szCs w:val="24"/>
              </w:rPr>
            </w:pPr>
            <w:r w:rsidRPr="00B04288">
              <w:rPr>
                <w:rFonts w:ascii="Times New Roman" w:eastAsia="仿宋_GB2312" w:hAnsi="Times New Roman" w:cs="Times New Roman" w:hint="eastAsia"/>
                <w:sz w:val="24"/>
                <w:szCs w:val="24"/>
              </w:rPr>
              <w:t>20.65</w:t>
            </w:r>
            <w:r w:rsidR="008170D6" w:rsidRPr="00A13B0A">
              <w:rPr>
                <w:rFonts w:ascii="Times New Roman" w:eastAsia="仿宋_GB2312" w:hAnsi="Times New Roman" w:cs="Times New Roman"/>
                <w:sz w:val="24"/>
                <w:szCs w:val="24"/>
              </w:rPr>
              <w:t>%</w:t>
            </w:r>
          </w:p>
        </w:tc>
      </w:tr>
      <w:tr w:rsidR="00A538CA" w:rsidRPr="00A13B0A" w14:paraId="01E1113E" w14:textId="77777777" w:rsidTr="008170D6">
        <w:trPr>
          <w:trHeight w:val="595"/>
          <w:jc w:val="center"/>
        </w:trPr>
        <w:tc>
          <w:tcPr>
            <w:tcW w:w="2499" w:type="pct"/>
            <w:tcBorders>
              <w:top w:val="single" w:sz="4" w:space="0" w:color="auto"/>
              <w:left w:val="single" w:sz="4" w:space="0" w:color="auto"/>
              <w:bottom w:val="single" w:sz="4" w:space="0" w:color="auto"/>
              <w:right w:val="single" w:sz="4" w:space="0" w:color="auto"/>
            </w:tcBorders>
            <w:vAlign w:val="center"/>
          </w:tcPr>
          <w:p w14:paraId="12BD09A1" w14:textId="6182042A" w:rsidR="00A538CA" w:rsidRPr="00A13B0A" w:rsidRDefault="00B04288" w:rsidP="00691193">
            <w:pPr>
              <w:widowControl/>
              <w:jc w:val="center"/>
              <w:rPr>
                <w:rFonts w:ascii="Times New Roman" w:eastAsia="仿宋_GB2312" w:hAnsi="Times New Roman" w:cs="Times New Roman"/>
                <w:color w:val="000000"/>
                <w:sz w:val="24"/>
                <w:szCs w:val="24"/>
              </w:rPr>
            </w:pPr>
            <w:r w:rsidRPr="00B04288">
              <w:rPr>
                <w:rFonts w:ascii="Times New Roman" w:eastAsia="仿宋_GB2312" w:hAnsi="Times New Roman" w:cs="Times New Roman" w:hint="eastAsia"/>
                <w:color w:val="000000"/>
                <w:sz w:val="24"/>
                <w:szCs w:val="24"/>
              </w:rPr>
              <w:t>中心城区</w:t>
            </w:r>
            <w:r>
              <w:rPr>
                <w:rFonts w:ascii="Times New Roman" w:eastAsia="仿宋_GB2312" w:hAnsi="Times New Roman" w:cs="Times New Roman" w:hint="eastAsia"/>
                <w:color w:val="000000"/>
                <w:sz w:val="24"/>
                <w:szCs w:val="24"/>
              </w:rPr>
              <w:t>8</w:t>
            </w:r>
            <w:r w:rsidRPr="00B04288">
              <w:rPr>
                <w:rFonts w:ascii="Times New Roman" w:eastAsia="仿宋_GB2312" w:hAnsi="Times New Roman" w:cs="Times New Roman" w:hint="eastAsia"/>
                <w:color w:val="000000"/>
                <w:sz w:val="24"/>
                <w:szCs w:val="24"/>
              </w:rPr>
              <w:t>号片区</w:t>
            </w:r>
          </w:p>
        </w:tc>
        <w:tc>
          <w:tcPr>
            <w:tcW w:w="806" w:type="pct"/>
            <w:tcBorders>
              <w:top w:val="single" w:sz="4" w:space="0" w:color="auto"/>
              <w:left w:val="single" w:sz="4" w:space="0" w:color="auto"/>
              <w:bottom w:val="single" w:sz="4" w:space="0" w:color="auto"/>
              <w:right w:val="single" w:sz="4" w:space="0" w:color="auto"/>
            </w:tcBorders>
            <w:vAlign w:val="center"/>
          </w:tcPr>
          <w:p w14:paraId="79272B05" w14:textId="25D0071B" w:rsidR="00A538CA" w:rsidRPr="00A13B0A" w:rsidRDefault="00B04288" w:rsidP="00691193">
            <w:pPr>
              <w:widowControl/>
              <w:jc w:val="center"/>
              <w:rPr>
                <w:rFonts w:ascii="Times New Roman" w:eastAsia="仿宋_GB2312" w:hAnsi="Times New Roman" w:cs="Times New Roman"/>
                <w:sz w:val="24"/>
                <w:szCs w:val="24"/>
              </w:rPr>
            </w:pPr>
            <w:r w:rsidRPr="00B04288">
              <w:rPr>
                <w:rFonts w:ascii="Times New Roman" w:eastAsia="仿宋_GB2312" w:hAnsi="Times New Roman" w:cs="Times New Roman" w:hint="eastAsia"/>
                <w:sz w:val="24"/>
                <w:szCs w:val="24"/>
              </w:rPr>
              <w:t>82.7993</w:t>
            </w:r>
          </w:p>
        </w:tc>
        <w:tc>
          <w:tcPr>
            <w:tcW w:w="931" w:type="pct"/>
            <w:tcBorders>
              <w:top w:val="single" w:sz="4" w:space="0" w:color="auto"/>
              <w:left w:val="single" w:sz="4" w:space="0" w:color="auto"/>
              <w:bottom w:val="single" w:sz="4" w:space="0" w:color="auto"/>
              <w:right w:val="single" w:sz="4" w:space="0" w:color="auto"/>
            </w:tcBorders>
            <w:vAlign w:val="center"/>
          </w:tcPr>
          <w:p w14:paraId="6EAA4E3B" w14:textId="47A97079" w:rsidR="00A538CA" w:rsidRPr="00A13B0A" w:rsidRDefault="00B04288" w:rsidP="00691193">
            <w:pPr>
              <w:widowControl/>
              <w:jc w:val="center"/>
              <w:rPr>
                <w:rFonts w:ascii="Times New Roman" w:eastAsia="仿宋_GB2312" w:hAnsi="Times New Roman" w:cs="Times New Roman" w:hint="eastAsia"/>
                <w:sz w:val="24"/>
                <w:szCs w:val="24"/>
              </w:rPr>
            </w:pPr>
            <w:r>
              <w:rPr>
                <w:rFonts w:ascii="Times New Roman" w:eastAsia="仿宋_GB2312" w:hAnsi="Times New Roman" w:cs="Times New Roman" w:hint="eastAsia"/>
                <w:sz w:val="24"/>
                <w:szCs w:val="24"/>
              </w:rPr>
              <w:t>21.8872</w:t>
            </w:r>
          </w:p>
        </w:tc>
        <w:tc>
          <w:tcPr>
            <w:tcW w:w="764" w:type="pct"/>
            <w:tcBorders>
              <w:top w:val="single" w:sz="4" w:space="0" w:color="auto"/>
              <w:left w:val="single" w:sz="4" w:space="0" w:color="auto"/>
              <w:bottom w:val="single" w:sz="4" w:space="0" w:color="auto"/>
              <w:right w:val="single" w:sz="4" w:space="0" w:color="auto"/>
            </w:tcBorders>
            <w:vAlign w:val="center"/>
          </w:tcPr>
          <w:p w14:paraId="16883189" w14:textId="73C3E4B0" w:rsidR="00A538CA" w:rsidRPr="00A13B0A" w:rsidRDefault="00B04288" w:rsidP="00691193">
            <w:pPr>
              <w:widowControl/>
              <w:jc w:val="center"/>
              <w:rPr>
                <w:rFonts w:ascii="Times New Roman" w:eastAsia="仿宋_GB2312" w:hAnsi="Times New Roman" w:cs="Times New Roman"/>
                <w:sz w:val="24"/>
                <w:szCs w:val="24"/>
              </w:rPr>
            </w:pPr>
            <w:r w:rsidRPr="00B04288">
              <w:rPr>
                <w:rFonts w:ascii="Times New Roman" w:eastAsia="仿宋_GB2312" w:hAnsi="Times New Roman" w:cs="Times New Roman" w:hint="eastAsia"/>
                <w:sz w:val="24"/>
                <w:szCs w:val="24"/>
              </w:rPr>
              <w:t>26.37</w:t>
            </w:r>
            <w:r w:rsidR="00A03BF4" w:rsidRPr="00A13B0A">
              <w:rPr>
                <w:rFonts w:ascii="Times New Roman" w:eastAsia="仿宋_GB2312" w:hAnsi="Times New Roman" w:cs="Times New Roman" w:hint="eastAsia"/>
                <w:sz w:val="24"/>
                <w:szCs w:val="24"/>
              </w:rPr>
              <w:t>%</w:t>
            </w:r>
          </w:p>
        </w:tc>
      </w:tr>
      <w:tr w:rsidR="00EE2ABA" w:rsidRPr="00A13B0A" w14:paraId="2CB89B79" w14:textId="77777777" w:rsidTr="008170D6">
        <w:trPr>
          <w:trHeight w:val="530"/>
          <w:jc w:val="center"/>
        </w:trPr>
        <w:tc>
          <w:tcPr>
            <w:tcW w:w="2499" w:type="pct"/>
            <w:tcBorders>
              <w:top w:val="single" w:sz="4" w:space="0" w:color="auto"/>
              <w:left w:val="single" w:sz="4" w:space="0" w:color="auto"/>
              <w:bottom w:val="single" w:sz="4" w:space="0" w:color="auto"/>
              <w:right w:val="single" w:sz="4" w:space="0" w:color="auto"/>
            </w:tcBorders>
            <w:vAlign w:val="center"/>
          </w:tcPr>
          <w:p w14:paraId="2C889351" w14:textId="77777777" w:rsidR="00EE2ABA" w:rsidRPr="00A13B0A" w:rsidRDefault="00EE2ABA" w:rsidP="00691193">
            <w:pPr>
              <w:widowControl/>
              <w:jc w:val="center"/>
              <w:rPr>
                <w:rFonts w:ascii="Times New Roman" w:eastAsia="仿宋_GB2312" w:hAnsi="Times New Roman" w:cs="Times New Roman"/>
                <w:color w:val="000000"/>
                <w:sz w:val="24"/>
                <w:szCs w:val="24"/>
              </w:rPr>
            </w:pPr>
            <w:r w:rsidRPr="00A13B0A">
              <w:rPr>
                <w:rFonts w:ascii="Times New Roman" w:eastAsia="仿宋_GB2312" w:hAnsi="Times New Roman" w:cs="Times New Roman"/>
                <w:color w:val="000000"/>
                <w:sz w:val="24"/>
                <w:szCs w:val="24"/>
              </w:rPr>
              <w:t>总计</w:t>
            </w:r>
          </w:p>
        </w:tc>
        <w:tc>
          <w:tcPr>
            <w:tcW w:w="806" w:type="pct"/>
            <w:tcBorders>
              <w:top w:val="single" w:sz="4" w:space="0" w:color="auto"/>
              <w:left w:val="single" w:sz="4" w:space="0" w:color="auto"/>
              <w:bottom w:val="single" w:sz="4" w:space="0" w:color="auto"/>
              <w:right w:val="single" w:sz="4" w:space="0" w:color="auto"/>
            </w:tcBorders>
            <w:vAlign w:val="center"/>
          </w:tcPr>
          <w:p w14:paraId="0E88682A" w14:textId="1F97FE7D" w:rsidR="00EE2ABA" w:rsidRPr="00A13B0A" w:rsidRDefault="00B04288" w:rsidP="00691193">
            <w:pPr>
              <w:widowControl/>
              <w:jc w:val="center"/>
              <w:rPr>
                <w:rFonts w:ascii="Times New Roman" w:hAnsi="Times New Roman" w:cs="Times New Roman"/>
                <w:color w:val="000000"/>
                <w:sz w:val="24"/>
                <w:szCs w:val="24"/>
              </w:rPr>
            </w:pPr>
            <w:r w:rsidRPr="00B04288">
              <w:rPr>
                <w:rFonts w:ascii="Times New Roman" w:hAnsi="Times New Roman" w:cs="Times New Roman" w:hint="eastAsia"/>
                <w:color w:val="000000"/>
                <w:sz w:val="24"/>
                <w:szCs w:val="24"/>
              </w:rPr>
              <w:t>104.1416</w:t>
            </w:r>
          </w:p>
        </w:tc>
        <w:tc>
          <w:tcPr>
            <w:tcW w:w="931" w:type="pct"/>
            <w:tcBorders>
              <w:top w:val="single" w:sz="4" w:space="0" w:color="auto"/>
              <w:left w:val="single" w:sz="4" w:space="0" w:color="auto"/>
              <w:bottom w:val="single" w:sz="4" w:space="0" w:color="auto"/>
              <w:right w:val="single" w:sz="4" w:space="0" w:color="auto"/>
            </w:tcBorders>
            <w:vAlign w:val="center"/>
          </w:tcPr>
          <w:p w14:paraId="2210CFA7" w14:textId="50C34727" w:rsidR="00EE2ABA" w:rsidRPr="00A13B0A" w:rsidRDefault="00B04288" w:rsidP="00691193">
            <w:pPr>
              <w:widowControl/>
              <w:jc w:val="center"/>
              <w:rPr>
                <w:rFonts w:ascii="Times New Roman" w:hAnsi="Times New Roman" w:cs="Times New Roman"/>
                <w:color w:val="000000"/>
                <w:sz w:val="24"/>
                <w:szCs w:val="24"/>
              </w:rPr>
            </w:pPr>
            <w:r w:rsidRPr="00B04288">
              <w:rPr>
                <w:rFonts w:ascii="Times New Roman" w:hAnsi="Times New Roman" w:cs="Times New Roman" w:hint="eastAsia"/>
                <w:color w:val="000000"/>
                <w:sz w:val="24"/>
                <w:szCs w:val="24"/>
              </w:rPr>
              <w:t>26.2954</w:t>
            </w:r>
          </w:p>
        </w:tc>
        <w:tc>
          <w:tcPr>
            <w:tcW w:w="764" w:type="pct"/>
            <w:tcBorders>
              <w:top w:val="single" w:sz="4" w:space="0" w:color="auto"/>
              <w:left w:val="single" w:sz="4" w:space="0" w:color="auto"/>
              <w:bottom w:val="single" w:sz="4" w:space="0" w:color="auto"/>
              <w:right w:val="single" w:sz="4" w:space="0" w:color="auto"/>
            </w:tcBorders>
            <w:vAlign w:val="center"/>
          </w:tcPr>
          <w:p w14:paraId="79FAFC93" w14:textId="77777777" w:rsidR="00EE2ABA" w:rsidRPr="00A13B0A" w:rsidRDefault="00EE2ABA" w:rsidP="00691193">
            <w:pPr>
              <w:widowControl/>
              <w:jc w:val="center"/>
              <w:rPr>
                <w:rFonts w:ascii="Times New Roman" w:hAnsi="Times New Roman" w:cs="Times New Roman"/>
                <w:color w:val="000000"/>
                <w:sz w:val="24"/>
                <w:szCs w:val="24"/>
              </w:rPr>
            </w:pPr>
            <w:r w:rsidRPr="00A13B0A">
              <w:rPr>
                <w:rFonts w:ascii="Times New Roman" w:hAnsi="Times New Roman" w:cs="Times New Roman"/>
                <w:color w:val="000000"/>
                <w:sz w:val="24"/>
                <w:szCs w:val="24"/>
              </w:rPr>
              <w:t>-</w:t>
            </w:r>
          </w:p>
        </w:tc>
      </w:tr>
    </w:tbl>
    <w:p w14:paraId="30271AEB" w14:textId="77777777" w:rsidR="00A101A4" w:rsidRPr="00A13B0A"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五、效益评价</w:t>
      </w:r>
    </w:p>
    <w:p w14:paraId="674082FC" w14:textId="77777777" w:rsidR="00A101A4" w:rsidRPr="00A13B0A"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（一）</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经济效益</w:t>
      </w:r>
    </w:p>
    <w:p w14:paraId="30EDE0AE" w14:textId="77777777" w:rsidR="00A101A4" w:rsidRPr="00A13B0A"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土地成片开发将通过土地征收、划拨和市场手段将土地资源配置到各个土地使用者手中，为城市建设储备了后备力量与经济发展保障，为武进经济的可持续发展、高质量发展与防范金融风险的能力提供坚实的后盾。</w:t>
      </w:r>
    </w:p>
    <w:p w14:paraId="30D1329A" w14:textId="77777777" w:rsidR="00A101A4" w:rsidRPr="00A13B0A"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（二）</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社会效益</w:t>
      </w:r>
    </w:p>
    <w:p w14:paraId="648F0B0B" w14:textId="77777777" w:rsidR="00A101A4" w:rsidRPr="00A13B0A"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本方案成片开发项目的实施会对社会各方面都产生重大影响，对土地利用、分配公平、环境改善、增加就业等方</w:t>
      </w:r>
      <w:r w:rsidRPr="00A13B0A">
        <w:rPr>
          <w:rFonts w:ascii="Times New Roman" w:eastAsia="仿宋_GB2312" w:hAnsi="Times New Roman" w:cs="Times New Roman"/>
          <w:color w:val="000000"/>
          <w:kern w:val="0"/>
          <w:sz w:val="32"/>
          <w:szCs w:val="32"/>
        </w:rPr>
        <w:lastRenderedPageBreak/>
        <w:t>面有巨大的促进作用。通过本方案成片开发的实施，能够真正实现统一规划、统一配套、统一开发、统一建设、统一管理，提高了城市土地资源配置效率。</w:t>
      </w:r>
    </w:p>
    <w:p w14:paraId="5EA7A1AD" w14:textId="77777777" w:rsidR="00A101A4" w:rsidRPr="00A13B0A"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（三）</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生态效益</w:t>
      </w:r>
    </w:p>
    <w:p w14:paraId="5FF24D47" w14:textId="77777777" w:rsidR="00A101A4" w:rsidRPr="00A13B0A"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成片开发范围内，规划生态绿化用地规模明显增加，将显著提高区域内生态环境质量，将有效恢复生态绿化功能，改变城市环境，在减少水域污染、保持水土，涵养水源、降低噪音等诸方面发挥显著作用，使项目区域生态环境实现良性循环，实现人与自然、经济发展与资源环境协调、可持续发展。</w:t>
      </w:r>
    </w:p>
    <w:p w14:paraId="6D8B780E" w14:textId="77777777" w:rsidR="00A101A4" w:rsidRPr="00A13B0A"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六、被征地农民和农村集体经济组织权益保障</w:t>
      </w:r>
    </w:p>
    <w:p w14:paraId="1A899412" w14:textId="4489299D" w:rsidR="00A101A4" w:rsidRPr="00A13B0A"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为维护被征地农民和农村集体经济组织的合法权益，规范征地补偿程序，根据《中华人民共和国土地管理法》、《省政府关于印发江苏省被征地农民社会保障办法的通知》（苏政发〔</w:t>
      </w:r>
      <w:r w:rsidRPr="00A13B0A">
        <w:rPr>
          <w:rFonts w:ascii="Times New Roman" w:eastAsia="仿宋_GB2312" w:hAnsi="Times New Roman" w:cs="Times New Roman"/>
          <w:color w:val="000000"/>
          <w:kern w:val="0"/>
          <w:sz w:val="32"/>
          <w:szCs w:val="32"/>
        </w:rPr>
        <w:t>2021</w:t>
      </w: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87</w:t>
      </w:r>
      <w:r w:rsidRPr="00A13B0A">
        <w:rPr>
          <w:rFonts w:ascii="Times New Roman" w:eastAsia="仿宋_GB2312" w:hAnsi="Times New Roman" w:cs="Times New Roman"/>
          <w:color w:val="000000"/>
          <w:kern w:val="0"/>
          <w:sz w:val="32"/>
          <w:szCs w:val="32"/>
        </w:rPr>
        <w:t>号）、</w:t>
      </w:r>
      <w:r w:rsidR="008D50BF" w:rsidRPr="008D50BF">
        <w:rPr>
          <w:rFonts w:ascii="Times New Roman" w:eastAsia="仿宋_GB2312" w:hAnsi="Times New Roman" w:cs="Times New Roman"/>
          <w:color w:val="000000"/>
          <w:kern w:val="0"/>
          <w:sz w:val="32"/>
          <w:szCs w:val="32"/>
        </w:rPr>
        <w:t>《省政府关于重新公布江苏省征地区片综合地价最低标准的通知》（苏政规〔</w:t>
      </w:r>
      <w:r w:rsidR="008D50BF" w:rsidRPr="008D50BF">
        <w:rPr>
          <w:rFonts w:ascii="Times New Roman" w:eastAsia="仿宋_GB2312" w:hAnsi="Times New Roman" w:cs="Times New Roman"/>
          <w:color w:val="000000"/>
          <w:kern w:val="0"/>
          <w:sz w:val="32"/>
          <w:szCs w:val="32"/>
        </w:rPr>
        <w:t>2023</w:t>
      </w:r>
      <w:r w:rsidR="008D50BF" w:rsidRPr="008D50BF">
        <w:rPr>
          <w:rFonts w:ascii="Times New Roman" w:eastAsia="仿宋_GB2312" w:hAnsi="Times New Roman" w:cs="Times New Roman"/>
          <w:color w:val="000000"/>
          <w:kern w:val="0"/>
          <w:sz w:val="32"/>
          <w:szCs w:val="32"/>
        </w:rPr>
        <w:t>〕</w:t>
      </w:r>
      <w:r w:rsidR="008D50BF" w:rsidRPr="008D50BF">
        <w:rPr>
          <w:rFonts w:ascii="Times New Roman" w:eastAsia="仿宋_GB2312" w:hAnsi="Times New Roman" w:cs="Times New Roman"/>
          <w:color w:val="000000"/>
          <w:kern w:val="0"/>
          <w:sz w:val="32"/>
          <w:szCs w:val="32"/>
        </w:rPr>
        <w:t>12</w:t>
      </w:r>
      <w:r w:rsidR="008D50BF" w:rsidRPr="008D50BF">
        <w:rPr>
          <w:rFonts w:ascii="Times New Roman" w:eastAsia="仿宋_GB2312" w:hAnsi="Times New Roman" w:cs="Times New Roman"/>
          <w:color w:val="000000"/>
          <w:kern w:val="0"/>
          <w:sz w:val="32"/>
          <w:szCs w:val="32"/>
        </w:rPr>
        <w:t>号）</w:t>
      </w:r>
      <w:r w:rsidR="00A03BF4" w:rsidRPr="00A13B0A">
        <w:rPr>
          <w:rFonts w:ascii="Times New Roman" w:eastAsia="仿宋_GB2312" w:hAnsi="Times New Roman" w:cs="Times New Roman" w:hint="eastAsia"/>
          <w:color w:val="000000"/>
          <w:kern w:val="0"/>
          <w:sz w:val="32"/>
          <w:szCs w:val="32"/>
        </w:rPr>
        <w:t>《市政府关于重新公布常州市所辖各县（市、区）征地区片综合地价执行标准的通知》（常政规〔</w:t>
      </w:r>
      <w:r w:rsidR="00A03BF4" w:rsidRPr="00A13B0A">
        <w:rPr>
          <w:rFonts w:ascii="Times New Roman" w:eastAsia="仿宋_GB2312" w:hAnsi="Times New Roman" w:cs="Times New Roman"/>
          <w:color w:val="000000"/>
          <w:kern w:val="0"/>
          <w:sz w:val="32"/>
          <w:szCs w:val="32"/>
        </w:rPr>
        <w:t>2023</w:t>
      </w:r>
      <w:r w:rsidR="00A03BF4" w:rsidRPr="00A13B0A">
        <w:rPr>
          <w:rFonts w:ascii="Times New Roman" w:eastAsia="仿宋_GB2312" w:hAnsi="Times New Roman" w:cs="Times New Roman"/>
          <w:color w:val="000000"/>
          <w:kern w:val="0"/>
          <w:sz w:val="32"/>
          <w:szCs w:val="32"/>
        </w:rPr>
        <w:t>〕</w:t>
      </w:r>
      <w:r w:rsidR="00A03BF4" w:rsidRPr="00A13B0A">
        <w:rPr>
          <w:rFonts w:ascii="Times New Roman" w:eastAsia="仿宋_GB2312" w:hAnsi="Times New Roman" w:cs="Times New Roman"/>
          <w:color w:val="000000"/>
          <w:kern w:val="0"/>
          <w:sz w:val="32"/>
          <w:szCs w:val="32"/>
        </w:rPr>
        <w:t>6</w:t>
      </w:r>
      <w:r w:rsidR="00A03BF4" w:rsidRPr="00A13B0A">
        <w:rPr>
          <w:rFonts w:ascii="Times New Roman" w:eastAsia="仿宋_GB2312" w:hAnsi="Times New Roman" w:cs="Times New Roman"/>
          <w:color w:val="000000"/>
          <w:kern w:val="0"/>
          <w:sz w:val="32"/>
          <w:szCs w:val="32"/>
        </w:rPr>
        <w:t>号）</w:t>
      </w:r>
      <w:r w:rsidRPr="00A13B0A">
        <w:rPr>
          <w:rFonts w:ascii="Times New Roman" w:eastAsia="仿宋_GB2312" w:hAnsi="Times New Roman" w:cs="Times New Roman"/>
          <w:color w:val="000000"/>
          <w:kern w:val="0"/>
          <w:sz w:val="32"/>
          <w:szCs w:val="32"/>
        </w:rPr>
        <w:t>等文件开展工作。</w:t>
      </w:r>
    </w:p>
    <w:p w14:paraId="2B022811" w14:textId="77777777" w:rsidR="00A101A4" w:rsidRPr="00A13B0A" w:rsidRDefault="00000000">
      <w:pPr>
        <w:widowControl/>
        <w:jc w:val="left"/>
        <w:rPr>
          <w:rFonts w:ascii="Times New Roman" w:eastAsia="宋体" w:hAnsi="Times New Roman" w:cs="Times New Roman"/>
          <w:color w:val="000000"/>
          <w:kern w:val="0"/>
          <w:sz w:val="30"/>
          <w:szCs w:val="30"/>
        </w:rPr>
      </w:pPr>
      <w:r w:rsidRPr="00A13B0A">
        <w:rPr>
          <w:rFonts w:ascii="Times New Roman" w:eastAsia="宋体" w:hAnsi="Times New Roman" w:cs="Times New Roman"/>
          <w:color w:val="000000"/>
          <w:kern w:val="0"/>
          <w:sz w:val="30"/>
          <w:szCs w:val="30"/>
        </w:rPr>
        <w:br w:type="page"/>
      </w:r>
    </w:p>
    <w:p w14:paraId="0CC7F07E" w14:textId="522B751B" w:rsidR="00A101A4" w:rsidRPr="00A13B0A" w:rsidRDefault="00000000" w:rsidP="00691193">
      <w:pPr>
        <w:spacing w:line="560" w:lineRule="exact"/>
        <w:ind w:firstLineChars="200" w:firstLine="640"/>
        <w:rPr>
          <w:rFonts w:ascii="Times New Roman" w:eastAsia="仿宋_GB2312" w:hAnsi="Times New Roman" w:cs="Times New Roman"/>
          <w:sz w:val="32"/>
          <w:szCs w:val="32"/>
        </w:rPr>
      </w:pPr>
      <w:r w:rsidRPr="00A13B0A">
        <w:rPr>
          <w:rFonts w:ascii="Times New Roman" w:eastAsia="仿宋_GB2312" w:hAnsi="Times New Roman" w:cs="Times New Roman"/>
          <w:sz w:val="32"/>
          <w:szCs w:val="32"/>
        </w:rPr>
        <w:lastRenderedPageBreak/>
        <w:t>1</w:t>
      </w:r>
      <w:r w:rsidRPr="00A13B0A">
        <w:rPr>
          <w:rFonts w:ascii="Times New Roman" w:eastAsia="仿宋_GB2312" w:hAnsi="Times New Roman" w:cs="Times New Roman"/>
          <w:sz w:val="32"/>
          <w:szCs w:val="32"/>
        </w:rPr>
        <w:t>、</w:t>
      </w:r>
      <w:r w:rsidR="00B04288">
        <w:rPr>
          <w:rFonts w:ascii="Times New Roman" w:eastAsia="仿宋_GB2312" w:hAnsi="Times New Roman" w:cs="Times New Roman" w:hint="eastAsia"/>
          <w:sz w:val="32"/>
          <w:szCs w:val="32"/>
        </w:rPr>
        <w:t>中心城区</w:t>
      </w:r>
      <w:r w:rsidR="00B04288">
        <w:rPr>
          <w:rFonts w:ascii="Times New Roman" w:eastAsia="仿宋_GB2312" w:hAnsi="Times New Roman" w:cs="Times New Roman" w:hint="eastAsia"/>
          <w:sz w:val="32"/>
          <w:szCs w:val="32"/>
        </w:rPr>
        <w:t>7</w:t>
      </w:r>
      <w:r w:rsidR="00B04288">
        <w:rPr>
          <w:rFonts w:ascii="Times New Roman" w:eastAsia="仿宋_GB2312" w:hAnsi="Times New Roman" w:cs="Times New Roman" w:hint="eastAsia"/>
          <w:sz w:val="32"/>
          <w:szCs w:val="32"/>
        </w:rPr>
        <w:t>号</w:t>
      </w:r>
      <w:r w:rsidR="00EE2ABA" w:rsidRPr="00A13B0A">
        <w:rPr>
          <w:rFonts w:ascii="Times New Roman" w:eastAsia="仿宋_GB2312" w:hAnsi="Times New Roman" w:cs="Times New Roman" w:hint="eastAsia"/>
          <w:sz w:val="32"/>
          <w:szCs w:val="32"/>
        </w:rPr>
        <w:t>片区</w:t>
      </w:r>
    </w:p>
    <w:p w14:paraId="6D61BCDB" w14:textId="1454C55C" w:rsidR="00A101A4" w:rsidRPr="00A13B0A" w:rsidRDefault="00000000" w:rsidP="00691193">
      <w:pPr>
        <w:widowControl/>
        <w:spacing w:line="560" w:lineRule="exact"/>
        <w:ind w:firstLineChars="200" w:firstLine="640"/>
        <w:rPr>
          <w:rFonts w:ascii="Times New Roman" w:eastAsia="仿宋_GB2312" w:hAnsi="Times New Roman" w:cs="Times New Roman"/>
          <w:sz w:val="32"/>
          <w:szCs w:val="32"/>
        </w:rPr>
      </w:pPr>
      <w:r w:rsidRPr="00A13B0A">
        <w:rPr>
          <w:rFonts w:ascii="Times New Roman" w:eastAsia="仿宋_GB2312" w:hAnsi="Times New Roman" w:cs="Times New Roman"/>
          <w:sz w:val="32"/>
          <w:szCs w:val="32"/>
        </w:rPr>
        <w:t>开发片区位于武进区</w:t>
      </w:r>
      <w:r w:rsidR="00510E3C" w:rsidRPr="00A13B0A">
        <w:rPr>
          <w:rFonts w:ascii="Times New Roman" w:eastAsia="仿宋_GB2312" w:hAnsi="Times New Roman" w:cs="Times New Roman" w:hint="eastAsia"/>
          <w:sz w:val="32"/>
          <w:szCs w:val="32"/>
        </w:rPr>
        <w:t>潞城街道</w:t>
      </w:r>
      <w:r w:rsidRPr="00A13B0A">
        <w:rPr>
          <w:rFonts w:ascii="Times New Roman" w:eastAsia="仿宋_GB2312" w:hAnsi="Times New Roman" w:cs="Times New Roman"/>
          <w:sz w:val="32"/>
          <w:szCs w:val="32"/>
        </w:rPr>
        <w:t>，土地面积</w:t>
      </w:r>
      <w:r w:rsidR="00B04288" w:rsidRPr="00B04288">
        <w:rPr>
          <w:rFonts w:ascii="Times New Roman" w:eastAsia="仿宋_GB2312" w:hAnsi="Times New Roman" w:cs="Times New Roman" w:hint="eastAsia"/>
          <w:sz w:val="32"/>
          <w:szCs w:val="32"/>
        </w:rPr>
        <w:t>21.3423</w:t>
      </w:r>
      <w:r w:rsidRPr="00A13B0A">
        <w:rPr>
          <w:rFonts w:ascii="Times New Roman" w:eastAsia="仿宋_GB2312" w:hAnsi="Times New Roman" w:cs="Times New Roman"/>
          <w:sz w:val="32"/>
          <w:szCs w:val="32"/>
        </w:rPr>
        <w:t>公顷，</w:t>
      </w:r>
      <w:r w:rsidR="00B04288" w:rsidRPr="00B04288">
        <w:rPr>
          <w:rFonts w:ascii="Times New Roman" w:eastAsia="仿宋_GB2312" w:hAnsi="Times New Roman" w:cs="Times New Roman" w:hint="eastAsia"/>
          <w:sz w:val="32"/>
          <w:szCs w:val="32"/>
        </w:rPr>
        <w:t>东至政新河，南至陈</w:t>
      </w:r>
      <w:proofErr w:type="gramStart"/>
      <w:r w:rsidR="00B04288" w:rsidRPr="00B04288">
        <w:rPr>
          <w:rFonts w:ascii="Times New Roman" w:eastAsia="仿宋_GB2312" w:hAnsi="Times New Roman" w:cs="Times New Roman" w:hint="eastAsia"/>
          <w:sz w:val="32"/>
          <w:szCs w:val="32"/>
        </w:rPr>
        <w:t>墅浜</w:t>
      </w:r>
      <w:proofErr w:type="gramEnd"/>
      <w:r w:rsidR="00B04288" w:rsidRPr="00B04288">
        <w:rPr>
          <w:rFonts w:ascii="Times New Roman" w:eastAsia="仿宋_GB2312" w:hAnsi="Times New Roman" w:cs="Times New Roman" w:hint="eastAsia"/>
          <w:sz w:val="32"/>
          <w:szCs w:val="32"/>
        </w:rPr>
        <w:t>，西至五一路，北至东方二路。</w:t>
      </w:r>
    </w:p>
    <w:p w14:paraId="59970868" w14:textId="77777777" w:rsidR="00A101A4" w:rsidRPr="00A13B0A" w:rsidRDefault="00000000" w:rsidP="007A2ECC">
      <w:pPr>
        <w:widowControl/>
        <w:jc w:val="center"/>
        <w:rPr>
          <w:rFonts w:ascii="Times New Roman" w:eastAsia="宋体" w:hAnsi="Times New Roman" w:cs="Times New Roman"/>
          <w:sz w:val="30"/>
          <w:szCs w:val="30"/>
        </w:rPr>
      </w:pPr>
      <w:r w:rsidRPr="00A13B0A">
        <w:rPr>
          <w:rFonts w:ascii="Times New Roman" w:eastAsia="宋体" w:hAnsi="Times New Roman" w:cs="Times New Roman"/>
          <w:noProof/>
          <w:sz w:val="30"/>
          <w:szCs w:val="30"/>
        </w:rPr>
        <w:drawing>
          <wp:inline distT="0" distB="0" distL="114300" distR="114300" wp14:anchorId="004C33B6" wp14:editId="28689CFE">
            <wp:extent cx="4624329" cy="3269209"/>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4329" cy="3269209"/>
                    </a:xfrm>
                    <a:prstGeom prst="rect">
                      <a:avLst/>
                    </a:prstGeom>
                  </pic:spPr>
                </pic:pic>
              </a:graphicData>
            </a:graphic>
          </wp:inline>
        </w:drawing>
      </w:r>
    </w:p>
    <w:p w14:paraId="5D5BDD1C" w14:textId="4665EED2" w:rsidR="00D97281" w:rsidRPr="00A13B0A" w:rsidRDefault="00000000" w:rsidP="00EE2ABA">
      <w:pPr>
        <w:widowControl/>
        <w:jc w:val="center"/>
        <w:rPr>
          <w:rFonts w:ascii="Times New Roman" w:eastAsia="宋体" w:hAnsi="Times New Roman" w:cs="Times New Roman"/>
          <w:sz w:val="30"/>
          <w:szCs w:val="30"/>
        </w:rPr>
      </w:pPr>
      <w:r w:rsidRPr="00A13B0A">
        <w:rPr>
          <w:rFonts w:ascii="Times New Roman" w:eastAsia="宋体" w:hAnsi="Times New Roman" w:cs="Times New Roman"/>
          <w:noProof/>
          <w:sz w:val="30"/>
          <w:szCs w:val="30"/>
        </w:rPr>
        <w:drawing>
          <wp:inline distT="0" distB="0" distL="114300" distR="114300" wp14:anchorId="709BCA17" wp14:editId="1C8EABFC">
            <wp:extent cx="4629030" cy="3272532"/>
            <wp:effectExtent l="0" t="0" r="63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9030" cy="3272532"/>
                    </a:xfrm>
                    <a:prstGeom prst="rect">
                      <a:avLst/>
                    </a:prstGeom>
                  </pic:spPr>
                </pic:pic>
              </a:graphicData>
            </a:graphic>
          </wp:inline>
        </w:drawing>
      </w:r>
    </w:p>
    <w:p w14:paraId="1AD2F7DA" w14:textId="77777777" w:rsidR="00510E3C" w:rsidRPr="00A13B0A" w:rsidRDefault="00510E3C" w:rsidP="008170D6">
      <w:pPr>
        <w:spacing w:line="360" w:lineRule="auto"/>
        <w:ind w:firstLineChars="200" w:firstLine="420"/>
        <w:jc w:val="center"/>
        <w:rPr>
          <w:rFonts w:ascii="Times New Roman" w:eastAsia="黑体" w:hAnsi="Times New Roman" w:cs="Times New Roman"/>
          <w:szCs w:val="21"/>
        </w:rPr>
      </w:pPr>
    </w:p>
    <w:p w14:paraId="5118BBB2" w14:textId="77777777" w:rsidR="00510E3C" w:rsidRPr="00A13B0A" w:rsidRDefault="00510E3C" w:rsidP="00B80A13">
      <w:pPr>
        <w:spacing w:line="360" w:lineRule="auto"/>
        <w:jc w:val="center"/>
        <w:rPr>
          <w:rFonts w:ascii="Times New Roman" w:eastAsia="黑体" w:hAnsi="Times New Roman" w:cs="Times New Roman"/>
          <w:szCs w:val="21"/>
        </w:rPr>
      </w:pPr>
    </w:p>
    <w:p w14:paraId="4CA56755" w14:textId="77777777" w:rsidR="00510E3C" w:rsidRPr="00A13B0A" w:rsidRDefault="00510E3C" w:rsidP="008170D6">
      <w:pPr>
        <w:spacing w:line="360" w:lineRule="auto"/>
        <w:ind w:firstLineChars="200" w:firstLine="420"/>
        <w:jc w:val="center"/>
        <w:rPr>
          <w:rFonts w:ascii="Times New Roman" w:eastAsia="黑体" w:hAnsi="Times New Roman" w:cs="Times New Roman"/>
          <w:szCs w:val="21"/>
        </w:rPr>
      </w:pPr>
    </w:p>
    <w:p w14:paraId="794EF53C" w14:textId="2A925794" w:rsidR="00510E3C" w:rsidRPr="00A13B0A" w:rsidRDefault="00510E3C" w:rsidP="00691193">
      <w:pPr>
        <w:spacing w:line="560" w:lineRule="exact"/>
        <w:ind w:firstLineChars="200" w:firstLine="640"/>
        <w:rPr>
          <w:rFonts w:ascii="Times New Roman" w:eastAsia="仿宋_GB2312" w:hAnsi="Times New Roman" w:cs="Times New Roman"/>
          <w:sz w:val="32"/>
          <w:szCs w:val="32"/>
        </w:rPr>
      </w:pPr>
      <w:r w:rsidRPr="00A13B0A">
        <w:rPr>
          <w:rFonts w:ascii="Times New Roman" w:eastAsia="仿宋_GB2312" w:hAnsi="Times New Roman" w:cs="Times New Roman" w:hint="eastAsia"/>
          <w:sz w:val="32"/>
          <w:szCs w:val="32"/>
        </w:rPr>
        <w:lastRenderedPageBreak/>
        <w:t>2</w:t>
      </w:r>
      <w:r w:rsidRPr="00A13B0A">
        <w:rPr>
          <w:rFonts w:ascii="Times New Roman" w:eastAsia="仿宋_GB2312" w:hAnsi="Times New Roman" w:cs="Times New Roman"/>
          <w:sz w:val="32"/>
          <w:szCs w:val="32"/>
        </w:rPr>
        <w:t>、</w:t>
      </w:r>
      <w:r w:rsidR="00B04288">
        <w:rPr>
          <w:rFonts w:ascii="Times New Roman" w:eastAsia="仿宋_GB2312" w:hAnsi="Times New Roman" w:cs="Times New Roman" w:hint="eastAsia"/>
          <w:sz w:val="32"/>
          <w:szCs w:val="32"/>
        </w:rPr>
        <w:t>中心城区</w:t>
      </w:r>
      <w:r w:rsidR="00B04288">
        <w:rPr>
          <w:rFonts w:ascii="Times New Roman" w:eastAsia="仿宋_GB2312" w:hAnsi="Times New Roman" w:cs="Times New Roman" w:hint="eastAsia"/>
          <w:sz w:val="32"/>
          <w:szCs w:val="32"/>
        </w:rPr>
        <w:t>8</w:t>
      </w:r>
      <w:r w:rsidR="00B04288">
        <w:rPr>
          <w:rFonts w:ascii="Times New Roman" w:eastAsia="仿宋_GB2312" w:hAnsi="Times New Roman" w:cs="Times New Roman" w:hint="eastAsia"/>
          <w:sz w:val="32"/>
          <w:szCs w:val="32"/>
        </w:rPr>
        <w:t>号</w:t>
      </w:r>
      <w:r w:rsidRPr="00A13B0A">
        <w:rPr>
          <w:rFonts w:ascii="Times New Roman" w:eastAsia="仿宋_GB2312" w:hAnsi="Times New Roman" w:cs="Times New Roman" w:hint="eastAsia"/>
          <w:sz w:val="32"/>
          <w:szCs w:val="32"/>
        </w:rPr>
        <w:t>片区</w:t>
      </w:r>
    </w:p>
    <w:p w14:paraId="6502519B" w14:textId="194B0DD4" w:rsidR="00510E3C" w:rsidRPr="00A13B0A" w:rsidRDefault="00510E3C" w:rsidP="00691193">
      <w:pPr>
        <w:spacing w:line="560" w:lineRule="exact"/>
        <w:ind w:firstLineChars="200" w:firstLine="640"/>
        <w:rPr>
          <w:rFonts w:ascii="Times New Roman" w:eastAsia="仿宋_GB2312" w:hAnsi="Times New Roman" w:cs="Times New Roman"/>
          <w:sz w:val="32"/>
          <w:szCs w:val="32"/>
        </w:rPr>
      </w:pPr>
      <w:r w:rsidRPr="00A13B0A">
        <w:rPr>
          <w:rFonts w:ascii="Times New Roman" w:eastAsia="仿宋_GB2312" w:hAnsi="Times New Roman" w:cs="Times New Roman"/>
          <w:sz w:val="32"/>
          <w:szCs w:val="32"/>
        </w:rPr>
        <w:t>开发片区位于武进区</w:t>
      </w:r>
      <w:r w:rsidR="00A538CA" w:rsidRPr="00A13B0A">
        <w:rPr>
          <w:rFonts w:ascii="Times New Roman" w:eastAsia="仿宋_GB2312" w:hAnsi="Times New Roman" w:cs="Times New Roman" w:hint="eastAsia"/>
          <w:sz w:val="32"/>
          <w:szCs w:val="32"/>
        </w:rPr>
        <w:t>潞城街道</w:t>
      </w:r>
      <w:r w:rsidRPr="00A13B0A">
        <w:rPr>
          <w:rFonts w:ascii="Times New Roman" w:eastAsia="仿宋_GB2312" w:hAnsi="Times New Roman" w:cs="Times New Roman"/>
          <w:sz w:val="32"/>
          <w:szCs w:val="32"/>
        </w:rPr>
        <w:t>，土地面积</w:t>
      </w:r>
      <w:r w:rsidR="00B04288" w:rsidRPr="00B04288">
        <w:rPr>
          <w:rFonts w:ascii="Times New Roman" w:eastAsia="仿宋_GB2312" w:hAnsi="Times New Roman" w:cs="Times New Roman" w:hint="eastAsia"/>
          <w:sz w:val="32"/>
          <w:szCs w:val="32"/>
        </w:rPr>
        <w:t>82.7993</w:t>
      </w:r>
      <w:r w:rsidRPr="00A13B0A">
        <w:rPr>
          <w:rFonts w:ascii="Times New Roman" w:eastAsia="仿宋_GB2312" w:hAnsi="Times New Roman" w:cs="Times New Roman"/>
          <w:sz w:val="32"/>
          <w:szCs w:val="32"/>
        </w:rPr>
        <w:t>公顷，</w:t>
      </w:r>
      <w:r w:rsidR="00B04288" w:rsidRPr="00B04288">
        <w:rPr>
          <w:rFonts w:ascii="Times New Roman" w:eastAsia="仿宋_GB2312" w:hAnsi="Times New Roman" w:cs="Times New Roman" w:hint="eastAsia"/>
          <w:sz w:val="32"/>
          <w:szCs w:val="32"/>
        </w:rPr>
        <w:t>东至兴东路，南至东方路，西至革新河，北至</w:t>
      </w:r>
      <w:proofErr w:type="gramStart"/>
      <w:r w:rsidR="00B04288" w:rsidRPr="00B04288">
        <w:rPr>
          <w:rFonts w:ascii="Times New Roman" w:eastAsia="仿宋_GB2312" w:hAnsi="Times New Roman" w:cs="Times New Roman" w:hint="eastAsia"/>
          <w:sz w:val="32"/>
          <w:szCs w:val="32"/>
        </w:rPr>
        <w:t>潞</w:t>
      </w:r>
      <w:proofErr w:type="gramEnd"/>
      <w:r w:rsidR="00B04288" w:rsidRPr="00B04288">
        <w:rPr>
          <w:rFonts w:ascii="Times New Roman" w:eastAsia="仿宋_GB2312" w:hAnsi="Times New Roman" w:cs="Times New Roman" w:hint="eastAsia"/>
          <w:sz w:val="32"/>
          <w:szCs w:val="32"/>
        </w:rPr>
        <w:t>横河。</w:t>
      </w:r>
    </w:p>
    <w:p w14:paraId="4BAF3706" w14:textId="525D6F7C" w:rsidR="00510E3C" w:rsidRPr="00A13B0A" w:rsidRDefault="00B80A13" w:rsidP="00843262">
      <w:pPr>
        <w:spacing w:line="360" w:lineRule="auto"/>
        <w:jc w:val="center"/>
        <w:rPr>
          <w:rFonts w:ascii="Times New Roman" w:eastAsia="仿宋_GB2312" w:hAnsi="Times New Roman" w:cs="Times New Roman"/>
          <w:sz w:val="32"/>
          <w:szCs w:val="32"/>
        </w:rPr>
      </w:pPr>
      <w:r w:rsidRPr="00A13B0A">
        <w:rPr>
          <w:rFonts w:ascii="Times New Roman" w:eastAsia="仿宋_GB2312" w:hAnsi="Times New Roman" w:cs="Times New Roman"/>
          <w:noProof/>
          <w:sz w:val="32"/>
          <w:szCs w:val="32"/>
        </w:rPr>
        <w:drawing>
          <wp:inline distT="0" distB="0" distL="0" distR="0" wp14:anchorId="658AC089" wp14:editId="20634D06">
            <wp:extent cx="4441164" cy="3139718"/>
            <wp:effectExtent l="0" t="0" r="0" b="3810"/>
            <wp:docPr id="21048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210"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1164" cy="3139718"/>
                    </a:xfrm>
                    <a:prstGeom prst="rect">
                      <a:avLst/>
                    </a:prstGeom>
                  </pic:spPr>
                </pic:pic>
              </a:graphicData>
            </a:graphic>
          </wp:inline>
        </w:drawing>
      </w:r>
    </w:p>
    <w:p w14:paraId="4398EFD3" w14:textId="4B64C481" w:rsidR="004E00DF" w:rsidRPr="00A13B0A" w:rsidRDefault="00B80A13" w:rsidP="00843262">
      <w:pPr>
        <w:spacing w:line="360" w:lineRule="auto"/>
        <w:jc w:val="center"/>
        <w:rPr>
          <w:rFonts w:ascii="Times New Roman" w:eastAsia="仿宋_GB2312" w:hAnsi="Times New Roman" w:cs="Times New Roman"/>
          <w:sz w:val="32"/>
          <w:szCs w:val="32"/>
        </w:rPr>
      </w:pPr>
      <w:r w:rsidRPr="00A13B0A">
        <w:rPr>
          <w:rFonts w:ascii="Times New Roman" w:eastAsia="仿宋_GB2312" w:hAnsi="Times New Roman" w:cs="Times New Roman"/>
          <w:noProof/>
          <w:sz w:val="32"/>
          <w:szCs w:val="32"/>
        </w:rPr>
        <w:drawing>
          <wp:inline distT="0" distB="0" distL="0" distR="0" wp14:anchorId="73D3634D" wp14:editId="44C3A37A">
            <wp:extent cx="4477128" cy="3165143"/>
            <wp:effectExtent l="0" t="0" r="0" b="0"/>
            <wp:docPr id="434323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23138"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7128" cy="3165143"/>
                    </a:xfrm>
                    <a:prstGeom prst="rect">
                      <a:avLst/>
                    </a:prstGeom>
                  </pic:spPr>
                </pic:pic>
              </a:graphicData>
            </a:graphic>
          </wp:inline>
        </w:drawing>
      </w:r>
    </w:p>
    <w:p w14:paraId="23FA739C" w14:textId="007A0AF0" w:rsidR="008170D6" w:rsidRPr="00BC38EB" w:rsidRDefault="008170D6" w:rsidP="008170D6">
      <w:pPr>
        <w:spacing w:line="360" w:lineRule="auto"/>
        <w:ind w:firstLineChars="200" w:firstLine="420"/>
        <w:jc w:val="center"/>
        <w:rPr>
          <w:rFonts w:ascii="Times New Roman" w:eastAsia="宋体" w:hAnsi="Times New Roman" w:cs="Times New Roman"/>
          <w:sz w:val="30"/>
          <w:szCs w:val="30"/>
        </w:rPr>
      </w:pPr>
      <w:r w:rsidRPr="00A13B0A">
        <w:rPr>
          <w:rFonts w:ascii="Times New Roman" w:eastAsia="黑体" w:hAnsi="Times New Roman" w:cs="Times New Roman"/>
          <w:szCs w:val="21"/>
        </w:rPr>
        <w:t>（成片开发范围以最终批复为准）</w:t>
      </w:r>
    </w:p>
    <w:p w14:paraId="09C349FF" w14:textId="77777777" w:rsidR="008170D6" w:rsidRPr="008170D6" w:rsidRDefault="008170D6" w:rsidP="00D97281">
      <w:pPr>
        <w:jc w:val="center"/>
        <w:rPr>
          <w:rFonts w:ascii="Times New Roman" w:hAnsi="Times New Roman" w:cs="Times New Roman"/>
        </w:rPr>
      </w:pPr>
    </w:p>
    <w:sectPr w:rsidR="008170D6" w:rsidRPr="008170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94C2A" w14:textId="77777777" w:rsidR="00844081" w:rsidRDefault="00844081" w:rsidP="007A2ECC">
      <w:pPr>
        <w:rPr>
          <w:rFonts w:hint="eastAsia"/>
        </w:rPr>
      </w:pPr>
      <w:r>
        <w:separator/>
      </w:r>
    </w:p>
  </w:endnote>
  <w:endnote w:type="continuationSeparator" w:id="0">
    <w:p w14:paraId="4697F468" w14:textId="77777777" w:rsidR="00844081" w:rsidRDefault="00844081" w:rsidP="007A2EC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ABE05" w14:textId="77777777" w:rsidR="00844081" w:rsidRDefault="00844081" w:rsidP="007A2ECC">
      <w:pPr>
        <w:rPr>
          <w:rFonts w:hint="eastAsia"/>
        </w:rPr>
      </w:pPr>
      <w:r>
        <w:separator/>
      </w:r>
    </w:p>
  </w:footnote>
  <w:footnote w:type="continuationSeparator" w:id="0">
    <w:p w14:paraId="496AA1A1" w14:textId="77777777" w:rsidR="00844081" w:rsidRDefault="00844081" w:rsidP="007A2EC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I0MzcwZDY3N2E2NWRjMGU5ZGViNWM4NTQ2MTUzODkifQ=="/>
  </w:docVars>
  <w:rsids>
    <w:rsidRoot w:val="00E17C9B"/>
    <w:rsid w:val="00072937"/>
    <w:rsid w:val="000D6F25"/>
    <w:rsid w:val="000F6A3C"/>
    <w:rsid w:val="00126333"/>
    <w:rsid w:val="00154E0E"/>
    <w:rsid w:val="001A05B5"/>
    <w:rsid w:val="001F11A4"/>
    <w:rsid w:val="002039D0"/>
    <w:rsid w:val="00210B76"/>
    <w:rsid w:val="00217109"/>
    <w:rsid w:val="00250C5E"/>
    <w:rsid w:val="002D6C1C"/>
    <w:rsid w:val="00306BD2"/>
    <w:rsid w:val="00347CDD"/>
    <w:rsid w:val="00352573"/>
    <w:rsid w:val="0037646C"/>
    <w:rsid w:val="003830A3"/>
    <w:rsid w:val="003B157A"/>
    <w:rsid w:val="00486D33"/>
    <w:rsid w:val="004E00DF"/>
    <w:rsid w:val="00510E3C"/>
    <w:rsid w:val="00524BC7"/>
    <w:rsid w:val="00570BA0"/>
    <w:rsid w:val="005D50C6"/>
    <w:rsid w:val="0063553E"/>
    <w:rsid w:val="00645B4A"/>
    <w:rsid w:val="00664068"/>
    <w:rsid w:val="00676A93"/>
    <w:rsid w:val="006857AF"/>
    <w:rsid w:val="00691193"/>
    <w:rsid w:val="00714BA0"/>
    <w:rsid w:val="0076121E"/>
    <w:rsid w:val="007A2ECC"/>
    <w:rsid w:val="008170D6"/>
    <w:rsid w:val="00817867"/>
    <w:rsid w:val="00843262"/>
    <w:rsid w:val="00844081"/>
    <w:rsid w:val="00854F13"/>
    <w:rsid w:val="008C61F5"/>
    <w:rsid w:val="008D50BF"/>
    <w:rsid w:val="00933490"/>
    <w:rsid w:val="00934D00"/>
    <w:rsid w:val="0097548A"/>
    <w:rsid w:val="00975C1C"/>
    <w:rsid w:val="00995821"/>
    <w:rsid w:val="009B0641"/>
    <w:rsid w:val="00A03BF4"/>
    <w:rsid w:val="00A101A4"/>
    <w:rsid w:val="00A13B0A"/>
    <w:rsid w:val="00A30E4E"/>
    <w:rsid w:val="00A538CA"/>
    <w:rsid w:val="00AD1B9B"/>
    <w:rsid w:val="00AF66D9"/>
    <w:rsid w:val="00B03C12"/>
    <w:rsid w:val="00B04288"/>
    <w:rsid w:val="00B33A6F"/>
    <w:rsid w:val="00B74E25"/>
    <w:rsid w:val="00B80A13"/>
    <w:rsid w:val="00BB2F41"/>
    <w:rsid w:val="00BC38EB"/>
    <w:rsid w:val="00BD6377"/>
    <w:rsid w:val="00C113D4"/>
    <w:rsid w:val="00C12707"/>
    <w:rsid w:val="00C15EBE"/>
    <w:rsid w:val="00C7430D"/>
    <w:rsid w:val="00D2155A"/>
    <w:rsid w:val="00D33251"/>
    <w:rsid w:val="00D97281"/>
    <w:rsid w:val="00DB5A15"/>
    <w:rsid w:val="00DF5582"/>
    <w:rsid w:val="00E17C9B"/>
    <w:rsid w:val="00E705C7"/>
    <w:rsid w:val="00EE2ABA"/>
    <w:rsid w:val="00EF6AFB"/>
    <w:rsid w:val="00EF6C56"/>
    <w:rsid w:val="00F26801"/>
    <w:rsid w:val="00F8151D"/>
    <w:rsid w:val="00F853CB"/>
    <w:rsid w:val="00FD7017"/>
    <w:rsid w:val="57255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2FACB4"/>
  <w15:docId w15:val="{DB68A3DF-56A4-49CA-A3FC-39109A43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2173">
      <w:bodyDiv w:val="1"/>
      <w:marLeft w:val="0"/>
      <w:marRight w:val="0"/>
      <w:marTop w:val="0"/>
      <w:marBottom w:val="0"/>
      <w:divBdr>
        <w:top w:val="none" w:sz="0" w:space="0" w:color="auto"/>
        <w:left w:val="none" w:sz="0" w:space="0" w:color="auto"/>
        <w:bottom w:val="none" w:sz="0" w:space="0" w:color="auto"/>
        <w:right w:val="none" w:sz="0" w:space="0" w:color="auto"/>
      </w:divBdr>
    </w:div>
    <w:div w:id="125393636">
      <w:bodyDiv w:val="1"/>
      <w:marLeft w:val="0"/>
      <w:marRight w:val="0"/>
      <w:marTop w:val="0"/>
      <w:marBottom w:val="0"/>
      <w:divBdr>
        <w:top w:val="none" w:sz="0" w:space="0" w:color="auto"/>
        <w:left w:val="none" w:sz="0" w:space="0" w:color="auto"/>
        <w:bottom w:val="none" w:sz="0" w:space="0" w:color="auto"/>
        <w:right w:val="none" w:sz="0" w:space="0" w:color="auto"/>
      </w:divBdr>
    </w:div>
    <w:div w:id="313876162">
      <w:bodyDiv w:val="1"/>
      <w:marLeft w:val="0"/>
      <w:marRight w:val="0"/>
      <w:marTop w:val="0"/>
      <w:marBottom w:val="0"/>
      <w:divBdr>
        <w:top w:val="none" w:sz="0" w:space="0" w:color="auto"/>
        <w:left w:val="none" w:sz="0" w:space="0" w:color="auto"/>
        <w:bottom w:val="none" w:sz="0" w:space="0" w:color="auto"/>
        <w:right w:val="none" w:sz="0" w:space="0" w:color="auto"/>
      </w:divBdr>
    </w:div>
    <w:div w:id="340857462">
      <w:bodyDiv w:val="1"/>
      <w:marLeft w:val="0"/>
      <w:marRight w:val="0"/>
      <w:marTop w:val="0"/>
      <w:marBottom w:val="0"/>
      <w:divBdr>
        <w:top w:val="none" w:sz="0" w:space="0" w:color="auto"/>
        <w:left w:val="none" w:sz="0" w:space="0" w:color="auto"/>
        <w:bottom w:val="none" w:sz="0" w:space="0" w:color="auto"/>
        <w:right w:val="none" w:sz="0" w:space="0" w:color="auto"/>
      </w:divBdr>
    </w:div>
    <w:div w:id="437869801">
      <w:bodyDiv w:val="1"/>
      <w:marLeft w:val="0"/>
      <w:marRight w:val="0"/>
      <w:marTop w:val="0"/>
      <w:marBottom w:val="0"/>
      <w:divBdr>
        <w:top w:val="none" w:sz="0" w:space="0" w:color="auto"/>
        <w:left w:val="none" w:sz="0" w:space="0" w:color="auto"/>
        <w:bottom w:val="none" w:sz="0" w:space="0" w:color="auto"/>
        <w:right w:val="none" w:sz="0" w:space="0" w:color="auto"/>
      </w:divBdr>
    </w:div>
    <w:div w:id="522943177">
      <w:bodyDiv w:val="1"/>
      <w:marLeft w:val="0"/>
      <w:marRight w:val="0"/>
      <w:marTop w:val="0"/>
      <w:marBottom w:val="0"/>
      <w:divBdr>
        <w:top w:val="none" w:sz="0" w:space="0" w:color="auto"/>
        <w:left w:val="none" w:sz="0" w:space="0" w:color="auto"/>
        <w:bottom w:val="none" w:sz="0" w:space="0" w:color="auto"/>
        <w:right w:val="none" w:sz="0" w:space="0" w:color="auto"/>
      </w:divBdr>
    </w:div>
    <w:div w:id="685639152">
      <w:bodyDiv w:val="1"/>
      <w:marLeft w:val="0"/>
      <w:marRight w:val="0"/>
      <w:marTop w:val="0"/>
      <w:marBottom w:val="0"/>
      <w:divBdr>
        <w:top w:val="none" w:sz="0" w:space="0" w:color="auto"/>
        <w:left w:val="none" w:sz="0" w:space="0" w:color="auto"/>
        <w:bottom w:val="none" w:sz="0" w:space="0" w:color="auto"/>
        <w:right w:val="none" w:sz="0" w:space="0" w:color="auto"/>
      </w:divBdr>
    </w:div>
    <w:div w:id="725566452">
      <w:bodyDiv w:val="1"/>
      <w:marLeft w:val="0"/>
      <w:marRight w:val="0"/>
      <w:marTop w:val="0"/>
      <w:marBottom w:val="0"/>
      <w:divBdr>
        <w:top w:val="none" w:sz="0" w:space="0" w:color="auto"/>
        <w:left w:val="none" w:sz="0" w:space="0" w:color="auto"/>
        <w:bottom w:val="none" w:sz="0" w:space="0" w:color="auto"/>
        <w:right w:val="none" w:sz="0" w:space="0" w:color="auto"/>
      </w:divBdr>
    </w:div>
    <w:div w:id="766730101">
      <w:bodyDiv w:val="1"/>
      <w:marLeft w:val="0"/>
      <w:marRight w:val="0"/>
      <w:marTop w:val="0"/>
      <w:marBottom w:val="0"/>
      <w:divBdr>
        <w:top w:val="none" w:sz="0" w:space="0" w:color="auto"/>
        <w:left w:val="none" w:sz="0" w:space="0" w:color="auto"/>
        <w:bottom w:val="none" w:sz="0" w:space="0" w:color="auto"/>
        <w:right w:val="none" w:sz="0" w:space="0" w:color="auto"/>
      </w:divBdr>
    </w:div>
    <w:div w:id="801074831">
      <w:bodyDiv w:val="1"/>
      <w:marLeft w:val="0"/>
      <w:marRight w:val="0"/>
      <w:marTop w:val="0"/>
      <w:marBottom w:val="0"/>
      <w:divBdr>
        <w:top w:val="none" w:sz="0" w:space="0" w:color="auto"/>
        <w:left w:val="none" w:sz="0" w:space="0" w:color="auto"/>
        <w:bottom w:val="none" w:sz="0" w:space="0" w:color="auto"/>
        <w:right w:val="none" w:sz="0" w:space="0" w:color="auto"/>
      </w:divBdr>
    </w:div>
    <w:div w:id="909536695">
      <w:bodyDiv w:val="1"/>
      <w:marLeft w:val="0"/>
      <w:marRight w:val="0"/>
      <w:marTop w:val="0"/>
      <w:marBottom w:val="0"/>
      <w:divBdr>
        <w:top w:val="none" w:sz="0" w:space="0" w:color="auto"/>
        <w:left w:val="none" w:sz="0" w:space="0" w:color="auto"/>
        <w:bottom w:val="none" w:sz="0" w:space="0" w:color="auto"/>
        <w:right w:val="none" w:sz="0" w:space="0" w:color="auto"/>
      </w:divBdr>
    </w:div>
    <w:div w:id="1035883869">
      <w:bodyDiv w:val="1"/>
      <w:marLeft w:val="0"/>
      <w:marRight w:val="0"/>
      <w:marTop w:val="0"/>
      <w:marBottom w:val="0"/>
      <w:divBdr>
        <w:top w:val="none" w:sz="0" w:space="0" w:color="auto"/>
        <w:left w:val="none" w:sz="0" w:space="0" w:color="auto"/>
        <w:bottom w:val="none" w:sz="0" w:space="0" w:color="auto"/>
        <w:right w:val="none" w:sz="0" w:space="0" w:color="auto"/>
      </w:divBdr>
    </w:div>
    <w:div w:id="1060246156">
      <w:bodyDiv w:val="1"/>
      <w:marLeft w:val="0"/>
      <w:marRight w:val="0"/>
      <w:marTop w:val="0"/>
      <w:marBottom w:val="0"/>
      <w:divBdr>
        <w:top w:val="none" w:sz="0" w:space="0" w:color="auto"/>
        <w:left w:val="none" w:sz="0" w:space="0" w:color="auto"/>
        <w:bottom w:val="none" w:sz="0" w:space="0" w:color="auto"/>
        <w:right w:val="none" w:sz="0" w:space="0" w:color="auto"/>
      </w:divBdr>
    </w:div>
    <w:div w:id="1126042606">
      <w:bodyDiv w:val="1"/>
      <w:marLeft w:val="0"/>
      <w:marRight w:val="0"/>
      <w:marTop w:val="0"/>
      <w:marBottom w:val="0"/>
      <w:divBdr>
        <w:top w:val="none" w:sz="0" w:space="0" w:color="auto"/>
        <w:left w:val="none" w:sz="0" w:space="0" w:color="auto"/>
        <w:bottom w:val="none" w:sz="0" w:space="0" w:color="auto"/>
        <w:right w:val="none" w:sz="0" w:space="0" w:color="auto"/>
      </w:divBdr>
    </w:div>
    <w:div w:id="1150707168">
      <w:bodyDiv w:val="1"/>
      <w:marLeft w:val="0"/>
      <w:marRight w:val="0"/>
      <w:marTop w:val="0"/>
      <w:marBottom w:val="0"/>
      <w:divBdr>
        <w:top w:val="none" w:sz="0" w:space="0" w:color="auto"/>
        <w:left w:val="none" w:sz="0" w:space="0" w:color="auto"/>
        <w:bottom w:val="none" w:sz="0" w:space="0" w:color="auto"/>
        <w:right w:val="none" w:sz="0" w:space="0" w:color="auto"/>
      </w:divBdr>
    </w:div>
    <w:div w:id="1175344154">
      <w:bodyDiv w:val="1"/>
      <w:marLeft w:val="0"/>
      <w:marRight w:val="0"/>
      <w:marTop w:val="0"/>
      <w:marBottom w:val="0"/>
      <w:divBdr>
        <w:top w:val="none" w:sz="0" w:space="0" w:color="auto"/>
        <w:left w:val="none" w:sz="0" w:space="0" w:color="auto"/>
        <w:bottom w:val="none" w:sz="0" w:space="0" w:color="auto"/>
        <w:right w:val="none" w:sz="0" w:space="0" w:color="auto"/>
      </w:divBdr>
    </w:div>
    <w:div w:id="1261138194">
      <w:bodyDiv w:val="1"/>
      <w:marLeft w:val="0"/>
      <w:marRight w:val="0"/>
      <w:marTop w:val="0"/>
      <w:marBottom w:val="0"/>
      <w:divBdr>
        <w:top w:val="none" w:sz="0" w:space="0" w:color="auto"/>
        <w:left w:val="none" w:sz="0" w:space="0" w:color="auto"/>
        <w:bottom w:val="none" w:sz="0" w:space="0" w:color="auto"/>
        <w:right w:val="none" w:sz="0" w:space="0" w:color="auto"/>
      </w:divBdr>
    </w:div>
    <w:div w:id="1540781397">
      <w:bodyDiv w:val="1"/>
      <w:marLeft w:val="0"/>
      <w:marRight w:val="0"/>
      <w:marTop w:val="0"/>
      <w:marBottom w:val="0"/>
      <w:divBdr>
        <w:top w:val="none" w:sz="0" w:space="0" w:color="auto"/>
        <w:left w:val="none" w:sz="0" w:space="0" w:color="auto"/>
        <w:bottom w:val="none" w:sz="0" w:space="0" w:color="auto"/>
        <w:right w:val="none" w:sz="0" w:space="0" w:color="auto"/>
      </w:divBdr>
    </w:div>
    <w:div w:id="1567495265">
      <w:bodyDiv w:val="1"/>
      <w:marLeft w:val="0"/>
      <w:marRight w:val="0"/>
      <w:marTop w:val="0"/>
      <w:marBottom w:val="0"/>
      <w:divBdr>
        <w:top w:val="none" w:sz="0" w:space="0" w:color="auto"/>
        <w:left w:val="none" w:sz="0" w:space="0" w:color="auto"/>
        <w:bottom w:val="none" w:sz="0" w:space="0" w:color="auto"/>
        <w:right w:val="none" w:sz="0" w:space="0" w:color="auto"/>
      </w:divBdr>
    </w:div>
    <w:div w:id="1736010273">
      <w:bodyDiv w:val="1"/>
      <w:marLeft w:val="0"/>
      <w:marRight w:val="0"/>
      <w:marTop w:val="0"/>
      <w:marBottom w:val="0"/>
      <w:divBdr>
        <w:top w:val="none" w:sz="0" w:space="0" w:color="auto"/>
        <w:left w:val="none" w:sz="0" w:space="0" w:color="auto"/>
        <w:bottom w:val="none" w:sz="0" w:space="0" w:color="auto"/>
        <w:right w:val="none" w:sz="0" w:space="0" w:color="auto"/>
      </w:divBdr>
    </w:div>
    <w:div w:id="1883249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1103</Words>
  <Characters>1103</Characters>
  <Application>Microsoft Office Word</Application>
  <DocSecurity>0</DocSecurity>
  <Lines>157</Lines>
  <Paragraphs>200</Paragraphs>
  <ScaleCrop>false</ScaleCrop>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丽 骆</dc:creator>
  <cp:lastModifiedBy>丽 骆</cp:lastModifiedBy>
  <cp:revision>2</cp:revision>
  <dcterms:created xsi:type="dcterms:W3CDTF">2025-09-24T02:57:00Z</dcterms:created>
  <dcterms:modified xsi:type="dcterms:W3CDTF">2025-09-24T02:57:00Z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FF38C773440E48EFAD4651054CC6D670_13</vt:lpwstr>
  </property>
</Properties>
</file>