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794CE">
      <w:pPr>
        <w:jc w:val="center"/>
        <w:rPr>
          <w:rFonts w:ascii="Times New Roman" w:hAnsi="Times New Roman"/>
          <w:sz w:val="52"/>
        </w:rPr>
      </w:pPr>
    </w:p>
    <w:p w14:paraId="01201695">
      <w:pPr>
        <w:jc w:val="center"/>
        <w:rPr>
          <w:rFonts w:ascii="Times New Roman" w:hAnsi="Times New Roman"/>
          <w:b/>
          <w:sz w:val="52"/>
          <w:szCs w:val="52"/>
        </w:rPr>
      </w:pPr>
    </w:p>
    <w:p w14:paraId="6555C2E9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宋体"/>
          <w:b/>
          <w:sz w:val="52"/>
          <w:szCs w:val="52"/>
        </w:rPr>
        <w:t>江苏省固体（危险）废物</w:t>
      </w:r>
    </w:p>
    <w:p w14:paraId="44F3F9D4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宋体"/>
          <w:b/>
          <w:sz w:val="52"/>
          <w:szCs w:val="52"/>
        </w:rPr>
        <w:t>跨省（市）转移实施方案</w:t>
      </w:r>
    </w:p>
    <w:p w14:paraId="7504C84F">
      <w:pPr>
        <w:jc w:val="center"/>
        <w:rPr>
          <w:rFonts w:ascii="Times New Roman" w:hAnsi="Times New Roman"/>
          <w:sz w:val="52"/>
        </w:rPr>
      </w:pPr>
    </w:p>
    <w:p w14:paraId="06D53315">
      <w:pPr>
        <w:jc w:val="center"/>
        <w:rPr>
          <w:rFonts w:ascii="Times New Roman" w:hAnsi="Times New Roman"/>
          <w:sz w:val="52"/>
        </w:rPr>
      </w:pPr>
    </w:p>
    <w:p w14:paraId="705B2C23">
      <w:pPr>
        <w:jc w:val="center"/>
        <w:rPr>
          <w:rFonts w:ascii="Times New Roman" w:hAnsi="Times New Roman"/>
        </w:rPr>
      </w:pPr>
    </w:p>
    <w:p w14:paraId="7F452BDE">
      <w:pPr>
        <w:rPr>
          <w:rFonts w:ascii="Times New Roman" w:hAnsi="Times New Roman"/>
        </w:rPr>
      </w:pPr>
    </w:p>
    <w:p w14:paraId="0207F02D">
      <w:pPr>
        <w:rPr>
          <w:rFonts w:ascii="Times New Roman" w:hAnsi="Times New Roman"/>
        </w:rPr>
      </w:pPr>
    </w:p>
    <w:p w14:paraId="5777005D">
      <w:pPr>
        <w:rPr>
          <w:rFonts w:ascii="Times New Roman" w:hAnsi="Times New Roman"/>
        </w:rPr>
      </w:pPr>
    </w:p>
    <w:p w14:paraId="6C58EF98">
      <w:pPr>
        <w:rPr>
          <w:rFonts w:ascii="Times New Roman" w:hAnsi="Times New Roman"/>
        </w:rPr>
      </w:pPr>
    </w:p>
    <w:p w14:paraId="3F7219C5">
      <w:pPr>
        <w:rPr>
          <w:rFonts w:ascii="Times New Roman" w:hAnsi="Times New Roman"/>
        </w:rPr>
      </w:pPr>
    </w:p>
    <w:p w14:paraId="5E349C49">
      <w:pPr>
        <w:rPr>
          <w:rFonts w:ascii="Times New Roman" w:hAnsi="Times New Roman"/>
        </w:rPr>
      </w:pPr>
    </w:p>
    <w:p w14:paraId="4E9B79DA">
      <w:pPr>
        <w:rPr>
          <w:rFonts w:ascii="Times New Roman" w:hAnsi="Times New Roman"/>
        </w:rPr>
      </w:pPr>
    </w:p>
    <w:p w14:paraId="6654148C">
      <w:pPr>
        <w:pStyle w:val="5"/>
        <w:tabs>
          <w:tab w:val="left" w:pos="5940"/>
        </w:tabs>
        <w:snapToGrid w:val="0"/>
        <w:ind w:firstLine="315" w:firstLineChars="98"/>
        <w:rPr>
          <w:rFonts w:ascii="Times New Roman" w:hAnsi="Times New Roman" w:cs="Times New Roman"/>
          <w:b/>
          <w:sz w:val="32"/>
        </w:rPr>
      </w:pPr>
      <w:r>
        <w:rPr>
          <w:rFonts w:ascii="Times New Roman" w:hAnsi="宋体" w:cs="Times New Roman"/>
          <w:b/>
          <w:sz w:val="32"/>
        </w:rPr>
        <w:t>申请单位：</w:t>
      </w:r>
      <w:r>
        <w:rPr>
          <w:rFonts w:ascii="Times New Roman" w:hAnsi="Times New Roman" w:cs="Times New Roman"/>
          <w:b/>
          <w:sz w:val="32"/>
          <w:u w:val="single"/>
        </w:rPr>
        <w:t xml:space="preserve"> </w:t>
      </w:r>
      <w:r>
        <w:rPr>
          <w:rFonts w:ascii="Times New Roman" w:hAnsi="宋体" w:cs="Times New Roman"/>
          <w:b/>
          <w:sz w:val="32"/>
          <w:u w:val="single"/>
        </w:rPr>
        <w:t>常州翔宇资源再生科技有限公司</w:t>
      </w:r>
      <w:r>
        <w:rPr>
          <w:rFonts w:ascii="Times New Roman" w:hAnsi="Times New Roman" w:cs="Times New Roman"/>
          <w:b/>
          <w:sz w:val="32"/>
          <w:u w:val="single"/>
        </w:rPr>
        <w:t xml:space="preserve"> </w:t>
      </w:r>
      <w:r>
        <w:rPr>
          <w:rFonts w:ascii="Times New Roman" w:hAnsi="宋体" w:cs="Times New Roman"/>
          <w:b/>
          <w:sz w:val="32"/>
        </w:rPr>
        <w:t>（公章）</w:t>
      </w:r>
    </w:p>
    <w:p w14:paraId="07A39185">
      <w:pPr>
        <w:tabs>
          <w:tab w:val="left" w:pos="5940"/>
        </w:tabs>
        <w:snapToGrid w:val="0"/>
        <w:rPr>
          <w:rFonts w:ascii="Times New Roman" w:hAnsi="Times New Roman"/>
          <w:b/>
          <w:sz w:val="32"/>
        </w:rPr>
      </w:pPr>
    </w:p>
    <w:p w14:paraId="3A8ECA37">
      <w:pPr>
        <w:tabs>
          <w:tab w:val="left" w:pos="5940"/>
        </w:tabs>
        <w:snapToGrid w:val="0"/>
        <w:rPr>
          <w:rFonts w:ascii="Times New Roman" w:hAnsi="Times New Roman"/>
          <w:b/>
          <w:sz w:val="32"/>
        </w:rPr>
      </w:pPr>
    </w:p>
    <w:p w14:paraId="395B6291">
      <w:pPr>
        <w:tabs>
          <w:tab w:val="left" w:pos="5940"/>
        </w:tabs>
        <w:snapToGrid w:val="0"/>
        <w:ind w:firstLine="315" w:firstLineChars="98"/>
        <w:rPr>
          <w:rFonts w:ascii="Times New Roman" w:hAnsi="Times New Roman"/>
          <w:b/>
          <w:sz w:val="32"/>
        </w:rPr>
      </w:pPr>
      <w:r>
        <w:rPr>
          <w:rFonts w:ascii="Times New Roman" w:hAnsi="宋体"/>
          <w:b/>
          <w:sz w:val="32"/>
        </w:rPr>
        <w:t>填报日期：</w:t>
      </w:r>
      <w:r>
        <w:rPr>
          <w:rFonts w:ascii="Times New Roman" w:hAnsi="Times New Roman"/>
          <w:b/>
          <w:sz w:val="32"/>
          <w:u w:val="single"/>
        </w:rPr>
        <w:t xml:space="preserve">       20</w:t>
      </w:r>
      <w:r>
        <w:rPr>
          <w:rFonts w:hint="eastAsia"/>
          <w:b/>
          <w:sz w:val="32"/>
          <w:u w:val="single"/>
          <w:lang w:val="en-US" w:eastAsia="zh-CN"/>
        </w:rPr>
        <w:t>23</w:t>
      </w:r>
      <w:r>
        <w:rPr>
          <w:rFonts w:ascii="Times New Roman" w:hAnsi="宋体"/>
          <w:b/>
          <w:sz w:val="32"/>
          <w:u w:val="single"/>
        </w:rPr>
        <w:t>年</w:t>
      </w:r>
      <w:r>
        <w:rPr>
          <w:rFonts w:hint="eastAsia" w:hAnsi="宋体"/>
          <w:b/>
          <w:sz w:val="32"/>
          <w:u w:val="single"/>
          <w:lang w:val="en-US" w:eastAsia="zh-CN"/>
        </w:rPr>
        <w:t>0</w:t>
      </w:r>
      <w:r>
        <w:rPr>
          <w:rFonts w:hint="eastAsia"/>
          <w:b/>
          <w:sz w:val="32"/>
          <w:u w:val="single"/>
          <w:lang w:val="en-US" w:eastAsia="zh-CN"/>
        </w:rPr>
        <w:t>1</w:t>
      </w:r>
      <w:r>
        <w:rPr>
          <w:rFonts w:ascii="Times New Roman" w:hAnsi="宋体"/>
          <w:b/>
          <w:sz w:val="32"/>
          <w:u w:val="single"/>
        </w:rPr>
        <w:t>月</w:t>
      </w:r>
      <w:r>
        <w:rPr>
          <w:rFonts w:hint="eastAsia"/>
          <w:b/>
          <w:sz w:val="32"/>
          <w:u w:val="single"/>
          <w:lang w:val="en-US" w:eastAsia="zh-CN"/>
        </w:rPr>
        <w:t>01</w:t>
      </w:r>
      <w:r>
        <w:rPr>
          <w:rFonts w:ascii="Times New Roman" w:hAnsi="宋体"/>
          <w:b/>
          <w:sz w:val="32"/>
          <w:u w:val="single"/>
        </w:rPr>
        <w:t>日</w:t>
      </w:r>
      <w:r>
        <w:rPr>
          <w:rFonts w:ascii="Times New Roman" w:hAnsi="Times New Roman"/>
          <w:b/>
          <w:sz w:val="32"/>
          <w:u w:val="single"/>
        </w:rPr>
        <w:t xml:space="preserve">      </w:t>
      </w:r>
      <w:r>
        <w:rPr>
          <w:rFonts w:ascii="Times New Roman" w:hAnsi="Times New Roman"/>
          <w:b/>
          <w:sz w:val="32"/>
        </w:rPr>
        <w:t xml:space="preserve">     </w:t>
      </w:r>
    </w:p>
    <w:p w14:paraId="18D82752">
      <w:pPr>
        <w:tabs>
          <w:tab w:val="left" w:pos="5940"/>
        </w:tabs>
        <w:snapToGrid w:val="0"/>
        <w:spacing w:line="400" w:lineRule="exact"/>
        <w:rPr>
          <w:rFonts w:ascii="Times New Roman" w:hAnsi="Times New Roman"/>
          <w:b/>
          <w:sz w:val="24"/>
        </w:rPr>
      </w:pPr>
    </w:p>
    <w:p w14:paraId="78B5583B">
      <w:pPr>
        <w:tabs>
          <w:tab w:val="left" w:pos="5940"/>
        </w:tabs>
        <w:snapToGrid w:val="0"/>
        <w:spacing w:line="400" w:lineRule="exact"/>
        <w:rPr>
          <w:rFonts w:ascii="Times New Roman" w:hAnsi="Times New Roman"/>
          <w:spacing w:val="20"/>
          <w:sz w:val="30"/>
        </w:rPr>
      </w:pPr>
    </w:p>
    <w:p w14:paraId="599206DC">
      <w:pPr>
        <w:tabs>
          <w:tab w:val="left" w:pos="5940"/>
        </w:tabs>
        <w:snapToGrid w:val="0"/>
        <w:spacing w:line="400" w:lineRule="exact"/>
        <w:rPr>
          <w:rFonts w:ascii="Times New Roman" w:hAnsi="Times New Roman"/>
          <w:b/>
          <w:sz w:val="24"/>
        </w:rPr>
      </w:pPr>
    </w:p>
    <w:p w14:paraId="1C8854F4">
      <w:pPr>
        <w:tabs>
          <w:tab w:val="left" w:pos="5940"/>
        </w:tabs>
        <w:snapToGrid w:val="0"/>
        <w:spacing w:line="400" w:lineRule="exact"/>
        <w:rPr>
          <w:rFonts w:ascii="Times New Roman" w:hAnsi="Times New Roman"/>
          <w:b/>
          <w:sz w:val="24"/>
        </w:rPr>
      </w:pPr>
    </w:p>
    <w:p w14:paraId="4B7D5ED4">
      <w:pPr>
        <w:tabs>
          <w:tab w:val="left" w:pos="5940"/>
        </w:tabs>
        <w:snapToGrid w:val="0"/>
        <w:spacing w:line="400" w:lineRule="exact"/>
        <w:rPr>
          <w:rFonts w:ascii="Times New Roman" w:hAnsi="Times New Roman"/>
          <w:b/>
          <w:sz w:val="24"/>
        </w:rPr>
      </w:pPr>
    </w:p>
    <w:p w14:paraId="03C0CA67">
      <w:pPr>
        <w:tabs>
          <w:tab w:val="left" w:pos="5940"/>
        </w:tabs>
        <w:snapToGrid w:val="0"/>
        <w:spacing w:line="400" w:lineRule="exact"/>
        <w:jc w:val="center"/>
        <w:rPr>
          <w:rFonts w:ascii="Times New Roman" w:hAnsi="Times New Roman"/>
          <w:sz w:val="2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286" w:charSpace="0"/>
        </w:sectPr>
      </w:pPr>
      <w:r>
        <w:rPr>
          <w:rFonts w:ascii="Times New Roman" w:hAnsi="宋体"/>
          <w:b/>
          <w:sz w:val="24"/>
        </w:rPr>
        <w:t>江苏省环境保护厅制</w:t>
      </w:r>
    </w:p>
    <w:p w14:paraId="0EF2D280">
      <w:pPr>
        <w:ind w:right="-758" w:rightChars="-361" w:firstLine="3080" w:firstLineChars="700"/>
        <w:rPr>
          <w:rFonts w:ascii="Times New Roman" w:hAnsi="宋体"/>
          <w:sz w:val="44"/>
          <w:szCs w:val="44"/>
        </w:rPr>
      </w:pPr>
    </w:p>
    <w:p w14:paraId="2D966354">
      <w:pPr>
        <w:ind w:right="-758" w:rightChars="-361" w:firstLine="3080" w:firstLineChars="700"/>
        <w:rPr>
          <w:rFonts w:ascii="Times New Roman" w:hAnsi="Times New Roman"/>
          <w:sz w:val="44"/>
          <w:szCs w:val="44"/>
        </w:rPr>
      </w:pPr>
      <w:r>
        <w:rPr>
          <w:rFonts w:ascii="Times New Roman" w:hAnsi="宋体"/>
          <w:sz w:val="44"/>
          <w:szCs w:val="44"/>
        </w:rPr>
        <w:t>申请者声明</w:t>
      </w:r>
    </w:p>
    <w:p w14:paraId="2ECCD676">
      <w:pPr>
        <w:ind w:right="-758" w:rightChars="-361"/>
        <w:jc w:val="center"/>
        <w:rPr>
          <w:rFonts w:ascii="Times New Roman" w:hAnsi="Times New Roman"/>
          <w:b/>
          <w:sz w:val="44"/>
          <w:szCs w:val="44"/>
        </w:rPr>
      </w:pPr>
    </w:p>
    <w:p w14:paraId="798D27B6">
      <w:pPr>
        <w:spacing w:line="360" w:lineRule="auto"/>
        <w:ind w:left="-210" w:leftChars="-100" w:right="-210" w:rightChars="-100"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宋体"/>
          <w:sz w:val="32"/>
          <w:szCs w:val="32"/>
        </w:rPr>
        <w:t>我代表申请单位郑重承诺：本实施方案所填资料是完整的和真实的。转移的危险废物名称、类别、代码、数量与实际相符。危险废物接受单位具备相应的处置利用能力和污染防治措施。委托有资质单位进行运输并按照制定的运输路线运输，保证转移的废物均到达接收单位进行安全处置处理，对转移过程中可能产生的环境风险提出合理的控制措施，实行跨省（市）转移网上报告，承担转移全过程监控责任。</w:t>
      </w:r>
    </w:p>
    <w:p w14:paraId="69A939B8">
      <w:pPr>
        <w:ind w:left="-210" w:leftChars="-100" w:right="-210" w:rightChars="-100" w:firstLine="126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</w:t>
      </w:r>
    </w:p>
    <w:p w14:paraId="5095B1B6">
      <w:pPr>
        <w:ind w:left="-210" w:leftChars="-100" w:right="-210" w:rightChars="-100" w:firstLine="1264"/>
        <w:rPr>
          <w:rFonts w:ascii="Times New Roman" w:hAnsi="Times New Roman"/>
          <w:sz w:val="36"/>
          <w:szCs w:val="36"/>
        </w:rPr>
      </w:pPr>
    </w:p>
    <w:p w14:paraId="61A4E452">
      <w:pPr>
        <w:ind w:left="-210" w:leftChars="-100" w:right="-210" w:rightChars="-100" w:firstLine="1264"/>
        <w:rPr>
          <w:rFonts w:ascii="Times New Roman" w:hAnsi="Times New Roman"/>
          <w:sz w:val="36"/>
          <w:szCs w:val="36"/>
        </w:rPr>
      </w:pPr>
    </w:p>
    <w:p w14:paraId="4957404F">
      <w:pPr>
        <w:ind w:left="-210" w:leftChars="-100" w:right="-210" w:rightChars="-100" w:firstLine="126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2"/>
          <w:szCs w:val="32"/>
        </w:rPr>
        <w:t xml:space="preserve">     </w:t>
      </w:r>
    </w:p>
    <w:p w14:paraId="040F6241">
      <w:pPr>
        <w:ind w:left="-210" w:leftChars="-100" w:right="-210" w:rightChars="-100" w:firstLine="126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>
        <w:rPr>
          <w:rFonts w:hint="eastAsia"/>
          <w:sz w:val="32"/>
          <w:szCs w:val="32"/>
          <w:lang w:val="en-US" w:eastAsia="zh-CN"/>
        </w:rPr>
        <w:t xml:space="preserve">       </w:t>
      </w:r>
      <w:r>
        <w:rPr>
          <w:rFonts w:ascii="Times New Roman" w:hAnsi="宋体"/>
          <w:sz w:val="32"/>
          <w:szCs w:val="32"/>
        </w:rPr>
        <w:t>法人代表签字：</w:t>
      </w:r>
    </w:p>
    <w:p w14:paraId="0844C791">
      <w:pPr>
        <w:ind w:left="-210" w:leftChars="-100" w:right="-210" w:rightChars="-100" w:firstLine="126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</w:t>
      </w:r>
      <w:r>
        <w:rPr>
          <w:rFonts w:ascii="Times New Roman" w:hAnsi="宋体"/>
          <w:sz w:val="32"/>
          <w:szCs w:val="32"/>
        </w:rPr>
        <w:t>年</w:t>
      </w:r>
      <w:r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宋体"/>
          <w:sz w:val="32"/>
          <w:szCs w:val="32"/>
        </w:rPr>
        <w:t>月</w:t>
      </w:r>
      <w:r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宋体"/>
          <w:sz w:val="32"/>
          <w:szCs w:val="32"/>
        </w:rPr>
        <w:t>日</w:t>
      </w:r>
    </w:p>
    <w:p w14:paraId="4FCCD065">
      <w:pPr>
        <w:ind w:left="-210" w:leftChars="-100" w:right="-210" w:rightChars="-100" w:firstLine="1264"/>
        <w:jc w:val="center"/>
        <w:rPr>
          <w:rFonts w:ascii="Times New Roman" w:hAnsi="Times New Roman"/>
          <w:sz w:val="36"/>
          <w:szCs w:val="36"/>
        </w:rPr>
      </w:pPr>
    </w:p>
    <w:p w14:paraId="76C192E4">
      <w:pPr>
        <w:ind w:left="-708" w:leftChars="-337" w:right="-758" w:rightChars="-361" w:firstLine="1264"/>
        <w:rPr>
          <w:rFonts w:ascii="Times New Roman" w:hAnsi="Times New Roman"/>
          <w:sz w:val="36"/>
          <w:szCs w:val="36"/>
        </w:rPr>
      </w:pPr>
    </w:p>
    <w:p w14:paraId="7D9693A8">
      <w:pPr>
        <w:ind w:left="-708" w:leftChars="-337" w:right="-758" w:rightChars="-361" w:firstLine="1264"/>
        <w:rPr>
          <w:rFonts w:ascii="Times New Roman" w:hAnsi="Times New Roman"/>
          <w:sz w:val="36"/>
          <w:szCs w:val="36"/>
        </w:rPr>
      </w:pPr>
    </w:p>
    <w:p w14:paraId="23343010">
      <w:pPr>
        <w:ind w:left="-708" w:leftChars="-337" w:right="-758" w:rightChars="-361" w:firstLine="1264"/>
        <w:rPr>
          <w:rFonts w:ascii="Times New Roman" w:hAnsi="Times New Roman"/>
          <w:sz w:val="36"/>
          <w:szCs w:val="36"/>
        </w:rPr>
      </w:pPr>
    </w:p>
    <w:p w14:paraId="3E498F84">
      <w:pPr>
        <w:ind w:left="-708" w:leftChars="-337" w:right="-758" w:rightChars="-361" w:firstLine="1264"/>
        <w:rPr>
          <w:rFonts w:ascii="Times New Roman" w:hAnsi="Times New Roman"/>
          <w:sz w:val="28"/>
        </w:rPr>
      </w:pPr>
    </w:p>
    <w:p w14:paraId="385D2A79">
      <w:pPr>
        <w:ind w:right="-758" w:rightChars="-361"/>
        <w:rPr>
          <w:rFonts w:ascii="Times New Roman" w:hAnsi="Times New Roman"/>
          <w:sz w:val="28"/>
        </w:rPr>
      </w:pPr>
    </w:p>
    <w:p w14:paraId="6C829D36">
      <w:pPr>
        <w:ind w:left="-708" w:leftChars="-337" w:right="-758" w:rightChars="-361" w:firstLine="1264"/>
        <w:rPr>
          <w:rFonts w:ascii="Times New Roman" w:hAnsi="Times New Roman"/>
          <w:sz w:val="28"/>
        </w:rPr>
      </w:pPr>
    </w:p>
    <w:p w14:paraId="6884E456">
      <w:pPr>
        <w:ind w:left="-708" w:leftChars="-337" w:right="-758" w:rightChars="-361" w:firstLine="1264"/>
        <w:rPr>
          <w:rFonts w:ascii="Times New Roman" w:hAnsi="Times New Roman"/>
          <w:sz w:val="28"/>
        </w:rPr>
      </w:pPr>
    </w:p>
    <w:p w14:paraId="0D91EE49">
      <w:pPr>
        <w:ind w:left="-708" w:leftChars="-337" w:right="-758" w:rightChars="-361" w:firstLine="1264"/>
        <w:rPr>
          <w:rFonts w:ascii="Times New Roman" w:hAnsi="Times New Roman"/>
          <w:sz w:val="28"/>
        </w:rPr>
      </w:pPr>
    </w:p>
    <w:p w14:paraId="613FEE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第一部分：拟转移废物基本情况</w:t>
      </w:r>
    </w:p>
    <w:tbl>
      <w:tblPr>
        <w:tblStyle w:val="8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2052"/>
        <w:gridCol w:w="1350"/>
        <w:gridCol w:w="2409"/>
        <w:gridCol w:w="1806"/>
      </w:tblGrid>
      <w:tr w14:paraId="4105B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9135" w:type="dxa"/>
            <w:gridSpan w:val="5"/>
            <w:noWrap w:val="0"/>
            <w:vAlign w:val="top"/>
          </w:tcPr>
          <w:p w14:paraId="2C660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宋体"/>
                <w:sz w:val="24"/>
                <w:szCs w:val="24"/>
              </w:rPr>
              <w:t>废物产生情况</w:t>
            </w:r>
          </w:p>
        </w:tc>
      </w:tr>
      <w:tr w14:paraId="43A74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2" w:hRule="atLeast"/>
        </w:trPr>
        <w:tc>
          <w:tcPr>
            <w:tcW w:w="9135" w:type="dxa"/>
            <w:gridSpan w:val="5"/>
            <w:noWrap w:val="0"/>
            <w:vAlign w:val="top"/>
          </w:tcPr>
          <w:p w14:paraId="423720A0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废物产生企业概况（企业投产时间、主要经营范围及规模）</w:t>
            </w:r>
          </w:p>
          <w:p w14:paraId="52DFB1F8"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常州翔宇资源再生科技有限公司组建于</w:t>
            </w:r>
            <w:r>
              <w:rPr>
                <w:rFonts w:ascii="Times New Roman" w:hAnsi="Times New Roman"/>
                <w:szCs w:val="21"/>
              </w:rPr>
              <w:t>2008</w:t>
            </w:r>
            <w:r>
              <w:rPr>
                <w:rFonts w:ascii="Times New Roman" w:hAnsi="宋体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>12</w:t>
            </w:r>
            <w:r>
              <w:rPr>
                <w:rFonts w:ascii="Times New Roman" w:hAnsi="宋体"/>
                <w:szCs w:val="21"/>
              </w:rPr>
              <w:t>月，注册资金</w:t>
            </w:r>
            <w:r>
              <w:rPr>
                <w:rFonts w:ascii="Times New Roman" w:hAnsi="Times New Roman"/>
                <w:szCs w:val="21"/>
              </w:rPr>
              <w:t>3000</w:t>
            </w:r>
            <w:r>
              <w:rPr>
                <w:rFonts w:ascii="Times New Roman" w:hAnsi="宋体"/>
                <w:szCs w:val="21"/>
              </w:rPr>
              <w:t>万元，总投资</w:t>
            </w:r>
            <w:r>
              <w:rPr>
                <w:rFonts w:ascii="Times New Roman" w:hAnsi="Times New Roman"/>
                <w:szCs w:val="21"/>
              </w:rPr>
              <w:t>2.8</w:t>
            </w:r>
            <w:r>
              <w:rPr>
                <w:rFonts w:ascii="Times New Roman" w:hAnsi="宋体"/>
                <w:szCs w:val="21"/>
              </w:rPr>
              <w:t>亿元，总面积达</w:t>
            </w:r>
            <w:r>
              <w:rPr>
                <w:rFonts w:ascii="Times New Roman" w:hAnsi="Times New Roman"/>
                <w:szCs w:val="21"/>
              </w:rPr>
              <w:t>63669</w:t>
            </w:r>
            <w:r>
              <w:rPr>
                <w:rFonts w:ascii="Times New Roman" w:hAnsi="宋体"/>
                <w:szCs w:val="21"/>
              </w:rPr>
              <w:t>平方米，为江苏省十二五规划废旧电器电子产品处置定点单位。主要</w:t>
            </w:r>
            <w:r>
              <w:rPr>
                <w:rFonts w:hint="eastAsia" w:hAnsi="宋体"/>
                <w:szCs w:val="21"/>
                <w:lang w:eastAsia="zh-CN"/>
              </w:rPr>
              <w:t>从事</w:t>
            </w:r>
            <w:r>
              <w:rPr>
                <w:rFonts w:ascii="Times New Roman" w:hAnsi="宋体"/>
                <w:szCs w:val="21"/>
              </w:rPr>
              <w:t>废旧电视机、电冰箱、洗衣机、房间空气调节器、微型计算机的处理业务。目前已建成年处置各类电子废弃物</w:t>
            </w:r>
            <w:r>
              <w:rPr>
                <w:rFonts w:ascii="Times New Roman" w:hAnsi="Times New Roman"/>
                <w:szCs w:val="21"/>
              </w:rPr>
              <w:t>25000</w:t>
            </w:r>
            <w:r>
              <w:rPr>
                <w:rFonts w:ascii="Times New Roman" w:hAnsi="宋体"/>
                <w:szCs w:val="21"/>
              </w:rPr>
              <w:t>吨的生产线，贵金属资源化率不低于</w:t>
            </w:r>
            <w:r>
              <w:rPr>
                <w:rFonts w:ascii="Times New Roman" w:hAnsi="Times New Roman"/>
                <w:szCs w:val="21"/>
              </w:rPr>
              <w:t>98%</w:t>
            </w:r>
            <w:r>
              <w:rPr>
                <w:rFonts w:ascii="Times New Roman" w:hAnsi="宋体"/>
                <w:szCs w:val="21"/>
              </w:rPr>
              <w:t>。</w:t>
            </w:r>
          </w:p>
        </w:tc>
      </w:tr>
      <w:tr w14:paraId="1B3C4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9135" w:type="dxa"/>
            <w:gridSpan w:val="5"/>
            <w:noWrap w:val="0"/>
            <w:vAlign w:val="center"/>
          </w:tcPr>
          <w:p w14:paraId="5B9E5637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产品及产废情况</w:t>
            </w:r>
          </w:p>
        </w:tc>
      </w:tr>
      <w:tr w14:paraId="5DC57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4920" w:type="dxa"/>
            <w:gridSpan w:val="3"/>
            <w:noWrap w:val="0"/>
            <w:vAlign w:val="center"/>
          </w:tcPr>
          <w:p w14:paraId="74BDA61A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产品情况</w:t>
            </w:r>
          </w:p>
        </w:tc>
        <w:tc>
          <w:tcPr>
            <w:tcW w:w="4215" w:type="dxa"/>
            <w:gridSpan w:val="2"/>
            <w:noWrap w:val="0"/>
            <w:vAlign w:val="center"/>
          </w:tcPr>
          <w:p w14:paraId="3B5E6F79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产生危险废物情况</w:t>
            </w:r>
          </w:p>
        </w:tc>
      </w:tr>
      <w:tr w14:paraId="658DA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18" w:type="dxa"/>
            <w:noWrap w:val="0"/>
            <w:vAlign w:val="center"/>
          </w:tcPr>
          <w:p w14:paraId="357DE54D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产品名称</w:t>
            </w:r>
          </w:p>
        </w:tc>
        <w:tc>
          <w:tcPr>
            <w:tcW w:w="2052" w:type="dxa"/>
            <w:noWrap w:val="0"/>
            <w:vAlign w:val="center"/>
          </w:tcPr>
          <w:p w14:paraId="265D85D2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主要成分化学名</w:t>
            </w:r>
          </w:p>
        </w:tc>
        <w:tc>
          <w:tcPr>
            <w:tcW w:w="1350" w:type="dxa"/>
            <w:noWrap w:val="0"/>
            <w:vAlign w:val="center"/>
          </w:tcPr>
          <w:p w14:paraId="1531A892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年产量</w:t>
            </w:r>
          </w:p>
        </w:tc>
        <w:tc>
          <w:tcPr>
            <w:tcW w:w="2409" w:type="dxa"/>
            <w:noWrap w:val="0"/>
            <w:vAlign w:val="center"/>
          </w:tcPr>
          <w:p w14:paraId="79A3C51D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废物名称</w:t>
            </w:r>
          </w:p>
        </w:tc>
        <w:tc>
          <w:tcPr>
            <w:tcW w:w="1806" w:type="dxa"/>
            <w:noWrap w:val="0"/>
            <w:vAlign w:val="center"/>
          </w:tcPr>
          <w:p w14:paraId="3106B250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年产生量</w:t>
            </w:r>
          </w:p>
        </w:tc>
      </w:tr>
      <w:tr w14:paraId="12A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restart"/>
            <w:noWrap w:val="0"/>
            <w:vAlign w:val="center"/>
          </w:tcPr>
          <w:p w14:paraId="4E502DF0">
            <w:pPr>
              <w:spacing w:line="300" w:lineRule="exact"/>
              <w:jc w:val="both"/>
              <w:rPr>
                <w:rFonts w:hint="eastAsia" w:ascii="Times New Roman" w:hAnsi="Times New Roman" w:eastAsia="宋体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再生金属</w:t>
            </w:r>
          </w:p>
        </w:tc>
        <w:tc>
          <w:tcPr>
            <w:tcW w:w="2052" w:type="dxa"/>
            <w:vMerge w:val="restart"/>
            <w:noWrap w:val="0"/>
            <w:vAlign w:val="center"/>
          </w:tcPr>
          <w:p w14:paraId="27DF467F">
            <w:pPr>
              <w:spacing w:line="300" w:lineRule="exact"/>
              <w:jc w:val="center"/>
              <w:rPr>
                <w:rFonts w:hint="eastAsia" w:ascii="Times New Roman" w:hAnsi="Times New Roman" w:eastAsia="宋体"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铜、铁、铝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1A7C1432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  <w:lang w:val="en-US" w:eastAsia="zh-CN"/>
              </w:rPr>
              <w:t>5000</w:t>
            </w:r>
            <w:r>
              <w:rPr>
                <w:rFonts w:ascii="Times New Roman"/>
              </w:rPr>
              <w:t>吨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/>
              </w:rPr>
              <w:t>年</w:t>
            </w:r>
          </w:p>
        </w:tc>
        <w:tc>
          <w:tcPr>
            <w:tcW w:w="2409" w:type="dxa"/>
            <w:noWrap w:val="0"/>
            <w:vAlign w:val="center"/>
          </w:tcPr>
          <w:p w14:paraId="4A01CB83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彩色</w:t>
            </w:r>
            <w:r>
              <w:rPr>
                <w:rFonts w:ascii="Times New Roman" w:hAnsi="Times New Roman"/>
              </w:rPr>
              <w:t>CRT</w:t>
            </w:r>
            <w:r>
              <w:rPr>
                <w:rFonts w:ascii="Times New Roman"/>
              </w:rPr>
              <w:t>锥玻璃</w:t>
            </w:r>
          </w:p>
        </w:tc>
        <w:tc>
          <w:tcPr>
            <w:tcW w:w="1806" w:type="dxa"/>
            <w:noWrap w:val="0"/>
            <w:vAlign w:val="center"/>
          </w:tcPr>
          <w:p w14:paraId="0899EDF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lang w:val="en-US" w:eastAsia="zh-CN"/>
              </w:rPr>
              <w:t>1500</w:t>
            </w:r>
            <w:r>
              <w:rPr>
                <w:rFonts w:ascii="Times New Roman"/>
              </w:rPr>
              <w:t>吨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/>
              </w:rPr>
              <w:t>年</w:t>
            </w:r>
          </w:p>
        </w:tc>
      </w:tr>
      <w:tr w14:paraId="6D394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3C2E4933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3875F242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4EC7A511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77784A9A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3E5FD2A6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14:paraId="2DCFF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7592CDDF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2C1430A8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7D63ADD8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77E62336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65A105BD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7603F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514192B0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39BBDF1C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139B33FD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01BB01F4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0B46FB29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37B01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76EB7254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60B4EC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36B3341F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3A1E9341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400641EE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64649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restart"/>
            <w:noWrap w:val="0"/>
            <w:vAlign w:val="center"/>
          </w:tcPr>
          <w:p w14:paraId="36AB1374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restart"/>
            <w:noWrap w:val="0"/>
            <w:vAlign w:val="center"/>
          </w:tcPr>
          <w:p w14:paraId="59EE5E8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restart"/>
            <w:noWrap w:val="0"/>
            <w:vAlign w:val="center"/>
          </w:tcPr>
          <w:p w14:paraId="607DED54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0151D8B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5A654F38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4D37A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42DAC6C4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21E11AA0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2E543978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6D90F2BD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7B055300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1DD1B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2F9055E6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65061D3E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33EB4C8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7C0573F2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0DFCE084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58644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32E25C17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6AEF2DB6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22E958B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7A6000FE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7D54A95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4A9E3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6B09D4B0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55814848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1F1AD6B7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2C862E9C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3CEA588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38518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restart"/>
            <w:noWrap w:val="0"/>
            <w:vAlign w:val="center"/>
          </w:tcPr>
          <w:p w14:paraId="13BC0D39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restart"/>
            <w:noWrap w:val="0"/>
            <w:vAlign w:val="center"/>
          </w:tcPr>
          <w:p w14:paraId="0AEED430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restart"/>
            <w:noWrap w:val="0"/>
            <w:vAlign w:val="center"/>
          </w:tcPr>
          <w:p w14:paraId="197662F3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496D183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5AC60612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39567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4DAE843C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179240C9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172FA4D0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0B9F8EE2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1DFA084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3F41F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2346DC0E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026DE500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1EC09372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26CB8C35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649709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038BA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014000C7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42544A14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0721EF32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3FF3C51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3E09520C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5F2EC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073031EE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6E7AE57C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258F7A40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03BE9A54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032EA8DD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2A355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restart"/>
            <w:noWrap w:val="0"/>
            <w:vAlign w:val="center"/>
          </w:tcPr>
          <w:p w14:paraId="65CBF374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restart"/>
            <w:noWrap w:val="0"/>
            <w:vAlign w:val="center"/>
          </w:tcPr>
          <w:p w14:paraId="7F637F66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restart"/>
            <w:noWrap w:val="0"/>
            <w:vAlign w:val="center"/>
          </w:tcPr>
          <w:p w14:paraId="5EF681AC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234DAAAD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5AEC9757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4319B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4D4638CD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77B4EB68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57627F32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3BF3B273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1DAE26A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413C5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5EEB1E23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7A4DA254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0F3B6B3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3E709892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18ADCD28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34C00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3357D185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7DEDA617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63157864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34BCFD18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0E61CEF4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09D79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2C59462F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6F9F2E63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0A9CCFF8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43BDFFC2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17F3151C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276F5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9135" w:type="dxa"/>
            <w:gridSpan w:val="5"/>
            <w:noWrap w:val="0"/>
            <w:vAlign w:val="center"/>
          </w:tcPr>
          <w:p w14:paraId="1E805D6E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宋体"/>
                <w:sz w:val="24"/>
                <w:szCs w:val="24"/>
              </w:rPr>
              <w:t>与申请转移废物相关的生产工艺</w:t>
            </w:r>
          </w:p>
        </w:tc>
      </w:tr>
      <w:tr w14:paraId="13894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8" w:hRule="atLeast"/>
        </w:trPr>
        <w:tc>
          <w:tcPr>
            <w:tcW w:w="9135" w:type="dxa"/>
            <w:gridSpan w:val="5"/>
            <w:noWrap w:val="0"/>
            <w:vAlign w:val="top"/>
          </w:tcPr>
          <w:p w14:paraId="18D204BB">
            <w:pPr>
              <w:spacing w:line="30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/>
                <w:szCs w:val="24"/>
              </w:rPr>
              <w:t>文字描述及工艺流程图</w:t>
            </w:r>
          </w:p>
          <w:p w14:paraId="536C7957"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电视机和电脑显示器，通过人工分选，废旧电视机、电脑显示器被人工分拣出来，进拆解处理线。整个拆解过程均为人工作业。拆解及液压打包过程中产生少量无组织粉尘（</w:t>
            </w:r>
            <w:r>
              <w:rPr>
                <w:rFonts w:ascii="Times New Roman" w:hAnsi="Times New Roman"/>
                <w:szCs w:val="21"/>
              </w:rPr>
              <w:t>Gu1</w:t>
            </w:r>
            <w:r>
              <w:rPr>
                <w:rFonts w:ascii="Times New Roman" w:hAnsi="宋体"/>
                <w:szCs w:val="21"/>
              </w:rPr>
              <w:t>），项目采取干式吸尘器清理废家电表面灰尘，以减少粉尘的产生。正常拆解过程中没有重金属逸出。废电器由输送带输送到拆解点，用电动改锥等工具手工拆解电视机、电脑显示器后盖箱，预先取出显像管、线路板、电源线等，然后依次拆除扬声器、机壳等。在显像管拆除时，工人采取防护措施，避免电视机及显示器中阴极射线管破碎导致内部的铅、汞、磷物质的泄露。</w:t>
            </w:r>
          </w:p>
          <w:p w14:paraId="7E179468"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项目拆解产物阴极射线管进处理设备分选为屏玻璃和锥玻璃，工人采取防护措施，避免电视机及显示器中阴极射线管破碎导致内部的铅、汞、磷物质的泄露。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</w:p>
          <w:p w14:paraId="5D00BAC5"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分离线路板上的电源线、数据线、散热片等，电源线及数据线与废电线一并处理，散热片（铝、铁）打包销售，剩余电子元器件等线路板送往原有生产线暂存资源化处理。</w:t>
            </w:r>
          </w:p>
          <w:p w14:paraId="3F050E69"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分离出的电缆、电源线、数据线等经拆线机分离塑料和铜丝，电线塑料厂区利用，铜丝经铜米机切制铜米，外售利用。</w:t>
            </w:r>
          </w:p>
          <w:p w14:paraId="5F4099A4"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953770</wp:posOffset>
                  </wp:positionH>
                  <wp:positionV relativeFrom="paragraph">
                    <wp:posOffset>58420</wp:posOffset>
                  </wp:positionV>
                  <wp:extent cx="3746500" cy="1893570"/>
                  <wp:effectExtent l="0" t="0" r="6350" b="11430"/>
                  <wp:wrapSquare wrapText="bothSides"/>
                  <wp:docPr id="3" name="图片 27" descr="工艺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7" descr="工艺图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500" cy="189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45A2761">
            <w:pPr>
              <w:spacing w:line="300" w:lineRule="exact"/>
              <w:rPr>
                <w:rFonts w:ascii="Times New Roman" w:hAnsi="Times New Roman"/>
                <w:szCs w:val="21"/>
              </w:rPr>
            </w:pPr>
          </w:p>
          <w:p w14:paraId="54BDDB39"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 w14:paraId="1C8F1642"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 w14:paraId="4B7F1484"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 w14:paraId="0C4F506A"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 w14:paraId="5E87C4CE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 w14:paraId="5E2B8789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</w:tc>
      </w:tr>
    </w:tbl>
    <w:p w14:paraId="4C5F4016">
      <w:pPr>
        <w:rPr>
          <w:rFonts w:ascii="Times New Roman" w:hAnsi="Times New Roman"/>
          <w:sz w:val="28"/>
        </w:rPr>
      </w:pPr>
    </w:p>
    <w:tbl>
      <w:tblPr>
        <w:tblStyle w:val="8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769"/>
        <w:gridCol w:w="1680"/>
        <w:gridCol w:w="2205"/>
        <w:gridCol w:w="1680"/>
      </w:tblGrid>
      <w:tr w14:paraId="655EF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135" w:type="dxa"/>
            <w:gridSpan w:val="5"/>
            <w:noWrap w:val="0"/>
            <w:vAlign w:val="center"/>
          </w:tcPr>
          <w:p w14:paraId="66267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  </w:t>
            </w:r>
            <w:r>
              <w:rPr>
                <w:rFonts w:ascii="Times New Roman" w:hAnsi="宋体"/>
                <w:sz w:val="24"/>
                <w:szCs w:val="24"/>
              </w:rPr>
              <w:t>废物组分、特性（详见附件）</w:t>
            </w:r>
          </w:p>
        </w:tc>
      </w:tr>
      <w:tr w14:paraId="474FF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801" w:type="dxa"/>
            <w:noWrap w:val="0"/>
            <w:vAlign w:val="center"/>
          </w:tcPr>
          <w:p w14:paraId="4BD3C9BB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废物名称</w:t>
            </w:r>
          </w:p>
        </w:tc>
        <w:tc>
          <w:tcPr>
            <w:tcW w:w="1769" w:type="dxa"/>
            <w:noWrap w:val="0"/>
            <w:vAlign w:val="center"/>
          </w:tcPr>
          <w:p w14:paraId="4499EF01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主要组分</w:t>
            </w:r>
          </w:p>
        </w:tc>
        <w:tc>
          <w:tcPr>
            <w:tcW w:w="1680" w:type="dxa"/>
            <w:noWrap w:val="0"/>
            <w:vAlign w:val="center"/>
          </w:tcPr>
          <w:p w14:paraId="670078F3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相应比例（</w:t>
            </w:r>
            <w:r>
              <w:rPr>
                <w:rFonts w:ascii="Times New Roman" w:hAnsi="Times New Roman"/>
                <w:szCs w:val="21"/>
              </w:rPr>
              <w:t>%</w:t>
            </w:r>
            <w:r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2205" w:type="dxa"/>
            <w:noWrap w:val="0"/>
            <w:vAlign w:val="center"/>
          </w:tcPr>
          <w:p w14:paraId="627B696C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危害特性</w:t>
            </w:r>
          </w:p>
        </w:tc>
        <w:tc>
          <w:tcPr>
            <w:tcW w:w="1680" w:type="dxa"/>
            <w:noWrap w:val="0"/>
            <w:vAlign w:val="center"/>
          </w:tcPr>
          <w:p w14:paraId="387BE478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形态</w:t>
            </w:r>
          </w:p>
        </w:tc>
      </w:tr>
      <w:tr w14:paraId="52B7B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1" w:type="dxa"/>
            <w:vMerge w:val="restart"/>
            <w:noWrap w:val="0"/>
            <w:vAlign w:val="top"/>
          </w:tcPr>
          <w:p w14:paraId="5EC8E975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</w:rPr>
              <w:t>彩色</w:t>
            </w:r>
            <w:r>
              <w:rPr>
                <w:rFonts w:ascii="Times New Roman" w:hAnsi="Times New Roman"/>
              </w:rPr>
              <w:t>CRT</w:t>
            </w:r>
            <w:r>
              <w:rPr>
                <w:rFonts w:ascii="Times New Roman"/>
              </w:rPr>
              <w:t>锥玻璃</w:t>
            </w:r>
          </w:p>
        </w:tc>
        <w:tc>
          <w:tcPr>
            <w:tcW w:w="1769" w:type="dxa"/>
            <w:noWrap w:val="0"/>
            <w:vAlign w:val="top"/>
          </w:tcPr>
          <w:p w14:paraId="3C1C84F5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PbO</w:t>
            </w:r>
          </w:p>
        </w:tc>
        <w:tc>
          <w:tcPr>
            <w:tcW w:w="1680" w:type="dxa"/>
            <w:noWrap w:val="0"/>
            <w:vAlign w:val="top"/>
          </w:tcPr>
          <w:p w14:paraId="03352CCF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18-24</w:t>
            </w:r>
          </w:p>
        </w:tc>
        <w:tc>
          <w:tcPr>
            <w:tcW w:w="2205" w:type="dxa"/>
            <w:vMerge w:val="restart"/>
            <w:noWrap w:val="0"/>
            <w:vAlign w:val="center"/>
          </w:tcPr>
          <w:p w14:paraId="2C3E7621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腐蚀性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 w14:paraId="74A9AF0E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毒性</w:t>
            </w:r>
            <w:r>
              <w:rPr>
                <w:rFonts w:ascii="Times New Roman" w:hAnsi="Times New Roman"/>
                <w:szCs w:val="21"/>
              </w:rPr>
              <w:t xml:space="preserve">           </w:t>
            </w:r>
            <w:r>
              <w:rPr>
                <w:rFonts w:ascii="Times New Roman" w:hAnsi="Times New Roman"/>
              </w:rPr>
              <w:t>█</w:t>
            </w:r>
          </w:p>
          <w:p w14:paraId="612A89DB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易燃性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 w14:paraId="14E12858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反应性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 w14:paraId="73D39A06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感染性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</w:tc>
        <w:tc>
          <w:tcPr>
            <w:tcW w:w="1680" w:type="dxa"/>
            <w:vMerge w:val="restart"/>
            <w:noWrap w:val="0"/>
            <w:vAlign w:val="center"/>
          </w:tcPr>
          <w:p w14:paraId="1A252C01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固态</w:t>
            </w:r>
            <w:r>
              <w:rPr>
                <w:rFonts w:ascii="Times New Roman" w:hAnsi="Times New Roman"/>
                <w:szCs w:val="21"/>
              </w:rPr>
              <w:t xml:space="preserve">       </w:t>
            </w:r>
            <w:r>
              <w:rPr>
                <w:rFonts w:ascii="Times New Roman" w:hAnsi="Times New Roman"/>
              </w:rPr>
              <w:t>█</w:t>
            </w:r>
          </w:p>
          <w:p w14:paraId="54ED1DA3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半固态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 w14:paraId="6968DD3E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粉末态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 w14:paraId="5277BE91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颗粒态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 w14:paraId="617A9820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液态</w:t>
            </w:r>
            <w:r>
              <w:rPr>
                <w:rFonts w:ascii="Times New Roman" w:hAnsi="Times New Roman"/>
                <w:szCs w:val="21"/>
              </w:rPr>
              <w:t xml:space="preserve">       □</w:t>
            </w:r>
          </w:p>
        </w:tc>
      </w:tr>
      <w:tr w14:paraId="6525B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1" w:type="dxa"/>
            <w:vMerge w:val="continue"/>
            <w:noWrap w:val="0"/>
            <w:vAlign w:val="top"/>
          </w:tcPr>
          <w:p w14:paraId="56935A5C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 w14:paraId="75B8A187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 w14:paraId="72E844A5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 w14:paraId="5B66E7C9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 w14:paraId="62E327FF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 w14:paraId="799CB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1" w:type="dxa"/>
            <w:vMerge w:val="continue"/>
            <w:noWrap w:val="0"/>
            <w:vAlign w:val="top"/>
          </w:tcPr>
          <w:p w14:paraId="5A259DA1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 w14:paraId="078B833F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 w14:paraId="5593E24F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 w14:paraId="20D652D2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 w14:paraId="32D9D61C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 w14:paraId="23800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1" w:type="dxa"/>
            <w:vMerge w:val="continue"/>
            <w:noWrap w:val="0"/>
            <w:vAlign w:val="top"/>
          </w:tcPr>
          <w:p w14:paraId="6942D0D0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 w14:paraId="7CDA95F4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 w14:paraId="1F268D8C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 w14:paraId="30E7EB6E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 w14:paraId="308CAC6E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 w14:paraId="7CDF9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1" w:type="dxa"/>
            <w:vMerge w:val="continue"/>
            <w:noWrap w:val="0"/>
            <w:vAlign w:val="top"/>
          </w:tcPr>
          <w:p w14:paraId="4CBA2D96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 w14:paraId="53B14A7E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 w14:paraId="2A884279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 w14:paraId="1BBE335D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 w14:paraId="5BDC1025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 w14:paraId="7C8CD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1" w:type="dxa"/>
            <w:vMerge w:val="restart"/>
            <w:noWrap w:val="0"/>
            <w:vAlign w:val="top"/>
          </w:tcPr>
          <w:p w14:paraId="3707BD3E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 w14:paraId="325CEA4A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 w14:paraId="02B66068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 w14:paraId="56A1E43D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 w14:paraId="37163775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 w14:paraId="137714B4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 w14:paraId="37C1E4C2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restart"/>
            <w:noWrap w:val="0"/>
            <w:vAlign w:val="center"/>
          </w:tcPr>
          <w:p w14:paraId="05F3A18D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腐蚀性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 w14:paraId="445667B0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毒性</w:t>
            </w:r>
            <w:r>
              <w:rPr>
                <w:rFonts w:ascii="Times New Roman" w:hAnsi="Times New Roman"/>
                <w:szCs w:val="21"/>
              </w:rPr>
              <w:t xml:space="preserve">           □</w:t>
            </w:r>
          </w:p>
          <w:p w14:paraId="01A8FF85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易燃性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 w14:paraId="4A2BAC5D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反应性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 w14:paraId="09ED8266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感染性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</w:tc>
        <w:tc>
          <w:tcPr>
            <w:tcW w:w="1680" w:type="dxa"/>
            <w:vMerge w:val="restart"/>
            <w:noWrap w:val="0"/>
            <w:vAlign w:val="center"/>
          </w:tcPr>
          <w:p w14:paraId="0F5274D3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固态</w:t>
            </w:r>
            <w:r>
              <w:rPr>
                <w:rFonts w:ascii="Times New Roman" w:hAnsi="Times New Roman"/>
                <w:szCs w:val="21"/>
              </w:rPr>
              <w:t xml:space="preserve">       □</w:t>
            </w:r>
          </w:p>
          <w:p w14:paraId="24FAA8AA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半固态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 w14:paraId="44167889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粉末态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 w14:paraId="2B9C2F3E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颗粒态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 w14:paraId="286FEEC5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液态</w:t>
            </w:r>
            <w:r>
              <w:rPr>
                <w:rFonts w:ascii="Times New Roman" w:hAnsi="Times New Roman"/>
                <w:szCs w:val="21"/>
              </w:rPr>
              <w:t xml:space="preserve">       □</w:t>
            </w:r>
          </w:p>
        </w:tc>
      </w:tr>
      <w:tr w14:paraId="7EAB0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1" w:type="dxa"/>
            <w:vMerge w:val="continue"/>
            <w:noWrap w:val="0"/>
            <w:vAlign w:val="top"/>
          </w:tcPr>
          <w:p w14:paraId="12DF4A78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 w14:paraId="3AEDE806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 w14:paraId="39AFA66C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 w14:paraId="07EB1BC3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 w14:paraId="1704A5C2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 w14:paraId="738B7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1" w:type="dxa"/>
            <w:vMerge w:val="continue"/>
            <w:noWrap w:val="0"/>
            <w:vAlign w:val="top"/>
          </w:tcPr>
          <w:p w14:paraId="03266A9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 w14:paraId="318EC656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 w14:paraId="054C80E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 w14:paraId="70D51BBC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 w14:paraId="28EBEA93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 w14:paraId="5A942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1" w:type="dxa"/>
            <w:vMerge w:val="continue"/>
            <w:noWrap w:val="0"/>
            <w:vAlign w:val="top"/>
          </w:tcPr>
          <w:p w14:paraId="37EED3C1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 w14:paraId="2805CD48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 w14:paraId="0F1DDEF2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 w14:paraId="05DE3F22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 w14:paraId="1370F14F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 w14:paraId="513B8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1" w:type="dxa"/>
            <w:vMerge w:val="continue"/>
            <w:noWrap w:val="0"/>
            <w:vAlign w:val="top"/>
          </w:tcPr>
          <w:p w14:paraId="1591308D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 w14:paraId="035E7F52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 w14:paraId="7449D596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 w14:paraId="4E5BB046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 w14:paraId="2DDB566A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 w14:paraId="0E211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1" w:type="dxa"/>
            <w:noWrap w:val="0"/>
            <w:vAlign w:val="top"/>
          </w:tcPr>
          <w:p w14:paraId="08E1EE98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 w14:paraId="2A59F337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 w14:paraId="3EF252E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 w14:paraId="51237717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 w14:paraId="2EFB1FDE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 w14:paraId="7278776D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 w14:paraId="5B75760F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noWrap w:val="0"/>
            <w:vAlign w:val="center"/>
          </w:tcPr>
          <w:p w14:paraId="4CE08716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腐蚀性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 w14:paraId="5B7B6751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毒性</w:t>
            </w:r>
            <w:r>
              <w:rPr>
                <w:rFonts w:ascii="Times New Roman" w:hAnsi="Times New Roman"/>
                <w:szCs w:val="21"/>
              </w:rPr>
              <w:t xml:space="preserve">           □</w:t>
            </w:r>
          </w:p>
          <w:p w14:paraId="6C02111F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易燃性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 w14:paraId="2943DF57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反应性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 w14:paraId="75CA5F63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感染性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</w:tc>
        <w:tc>
          <w:tcPr>
            <w:tcW w:w="1680" w:type="dxa"/>
            <w:noWrap w:val="0"/>
            <w:vAlign w:val="center"/>
          </w:tcPr>
          <w:p w14:paraId="6463B2B6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固态</w:t>
            </w:r>
            <w:r>
              <w:rPr>
                <w:rFonts w:ascii="Times New Roman" w:hAnsi="Times New Roman"/>
                <w:szCs w:val="21"/>
              </w:rPr>
              <w:t xml:space="preserve">       □</w:t>
            </w:r>
          </w:p>
          <w:p w14:paraId="6C5D3C08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半固态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 w14:paraId="689EF466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粉末态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 w14:paraId="6BB32219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颗粒态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 w14:paraId="5C819FC0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液态</w:t>
            </w:r>
            <w:r>
              <w:rPr>
                <w:rFonts w:ascii="Times New Roman" w:hAnsi="Times New Roman"/>
                <w:szCs w:val="21"/>
              </w:rPr>
              <w:t xml:space="preserve">       □</w:t>
            </w:r>
          </w:p>
        </w:tc>
      </w:tr>
    </w:tbl>
    <w:p w14:paraId="7C5CC6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第二部分：废物包装、运输情况</w:t>
      </w:r>
    </w:p>
    <w:tbl>
      <w:tblPr>
        <w:tblStyle w:val="8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634"/>
        <w:gridCol w:w="2075"/>
        <w:gridCol w:w="1421"/>
        <w:gridCol w:w="1379"/>
        <w:gridCol w:w="1716"/>
      </w:tblGrid>
      <w:tr w14:paraId="3C1D6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9240" w:type="dxa"/>
            <w:gridSpan w:val="6"/>
            <w:noWrap w:val="0"/>
            <w:vAlign w:val="center"/>
          </w:tcPr>
          <w:p w14:paraId="2C67E3C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宋体"/>
                <w:b/>
                <w:bCs/>
              </w:rPr>
              <w:t>表</w:t>
            </w:r>
            <w:r>
              <w:rPr>
                <w:rFonts w:ascii="Times New Roman" w:hAnsi="Times New Roman"/>
                <w:b/>
                <w:bCs/>
              </w:rPr>
              <w:t xml:space="preserve">1   </w:t>
            </w:r>
            <w:r>
              <w:rPr>
                <w:rFonts w:ascii="Times New Roman" w:hAnsi="宋体"/>
                <w:b/>
                <w:bCs/>
              </w:rPr>
              <w:t>废物包装情况</w:t>
            </w:r>
          </w:p>
        </w:tc>
      </w:tr>
      <w:tr w14:paraId="2F722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15" w:type="dxa"/>
            <w:noWrap w:val="0"/>
            <w:vAlign w:val="center"/>
          </w:tcPr>
          <w:p w14:paraId="46A38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序号</w:t>
            </w:r>
          </w:p>
        </w:tc>
        <w:tc>
          <w:tcPr>
            <w:tcW w:w="1634" w:type="dxa"/>
            <w:noWrap w:val="0"/>
            <w:vAlign w:val="center"/>
          </w:tcPr>
          <w:p w14:paraId="3905BD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废物名称</w:t>
            </w:r>
          </w:p>
        </w:tc>
        <w:tc>
          <w:tcPr>
            <w:tcW w:w="2075" w:type="dxa"/>
            <w:noWrap w:val="0"/>
            <w:vAlign w:val="center"/>
          </w:tcPr>
          <w:p w14:paraId="7E6B59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包装物（容器）名称</w:t>
            </w:r>
          </w:p>
        </w:tc>
        <w:tc>
          <w:tcPr>
            <w:tcW w:w="1421" w:type="dxa"/>
            <w:noWrap w:val="0"/>
            <w:vAlign w:val="center"/>
          </w:tcPr>
          <w:p w14:paraId="64BC2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材质</w:t>
            </w:r>
          </w:p>
        </w:tc>
        <w:tc>
          <w:tcPr>
            <w:tcW w:w="1379" w:type="dxa"/>
            <w:noWrap w:val="0"/>
            <w:vAlign w:val="center"/>
          </w:tcPr>
          <w:p w14:paraId="385267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容积</w:t>
            </w:r>
          </w:p>
        </w:tc>
        <w:tc>
          <w:tcPr>
            <w:tcW w:w="1716" w:type="dxa"/>
            <w:noWrap w:val="0"/>
            <w:vAlign w:val="center"/>
          </w:tcPr>
          <w:p w14:paraId="5F842F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是否有危废标签</w:t>
            </w:r>
          </w:p>
        </w:tc>
      </w:tr>
      <w:tr w14:paraId="3EF37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15" w:type="dxa"/>
            <w:noWrap w:val="0"/>
            <w:vAlign w:val="center"/>
          </w:tcPr>
          <w:p w14:paraId="359926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4" w:type="dxa"/>
            <w:noWrap w:val="0"/>
            <w:vAlign w:val="center"/>
          </w:tcPr>
          <w:p w14:paraId="04FA03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彩色</w:t>
            </w:r>
            <w:r>
              <w:rPr>
                <w:rFonts w:ascii="Times New Roman" w:hAnsi="Times New Roman"/>
              </w:rPr>
              <w:t>CRT</w:t>
            </w:r>
            <w:r>
              <w:rPr>
                <w:rFonts w:ascii="Times New Roman" w:hAnsi="宋体"/>
              </w:rPr>
              <w:t>锥玻璃</w:t>
            </w:r>
          </w:p>
        </w:tc>
        <w:tc>
          <w:tcPr>
            <w:tcW w:w="2075" w:type="dxa"/>
            <w:noWrap w:val="0"/>
            <w:vAlign w:val="center"/>
          </w:tcPr>
          <w:p w14:paraId="717B1E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吨包</w:t>
            </w:r>
          </w:p>
        </w:tc>
        <w:tc>
          <w:tcPr>
            <w:tcW w:w="1421" w:type="dxa"/>
            <w:noWrap w:val="0"/>
            <w:vAlign w:val="center"/>
          </w:tcPr>
          <w:p w14:paraId="232F2E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聚乙烯</w:t>
            </w:r>
          </w:p>
        </w:tc>
        <w:tc>
          <w:tcPr>
            <w:tcW w:w="1379" w:type="dxa"/>
            <w:noWrap w:val="0"/>
            <w:vAlign w:val="center"/>
          </w:tcPr>
          <w:p w14:paraId="002F6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宋体"/>
              </w:rPr>
              <w:t>立方米</w:t>
            </w:r>
          </w:p>
        </w:tc>
        <w:tc>
          <w:tcPr>
            <w:tcW w:w="1716" w:type="dxa"/>
            <w:noWrap w:val="0"/>
            <w:vAlign w:val="center"/>
          </w:tcPr>
          <w:p w14:paraId="5B0CC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是</w:t>
            </w:r>
          </w:p>
        </w:tc>
      </w:tr>
      <w:tr w14:paraId="583E2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15" w:type="dxa"/>
            <w:noWrap w:val="0"/>
            <w:vAlign w:val="center"/>
          </w:tcPr>
          <w:p w14:paraId="2D2A46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43ACA7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09F945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4CFAA0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6ED3BE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6573B441">
            <w:pPr>
              <w:jc w:val="center"/>
              <w:rPr>
                <w:rFonts w:ascii="Times New Roman" w:hAnsi="Times New Roman"/>
              </w:rPr>
            </w:pPr>
          </w:p>
        </w:tc>
      </w:tr>
      <w:tr w14:paraId="7E223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15" w:type="dxa"/>
            <w:noWrap w:val="0"/>
            <w:vAlign w:val="center"/>
          </w:tcPr>
          <w:p w14:paraId="003903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32BE8E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6278EE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32B483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192762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0E1938A6">
            <w:pPr>
              <w:jc w:val="center"/>
              <w:rPr>
                <w:rFonts w:ascii="Times New Roman" w:hAnsi="Times New Roman"/>
              </w:rPr>
            </w:pPr>
          </w:p>
        </w:tc>
      </w:tr>
      <w:tr w14:paraId="5089E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15" w:type="dxa"/>
            <w:noWrap w:val="0"/>
            <w:vAlign w:val="center"/>
          </w:tcPr>
          <w:p w14:paraId="25A577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54343C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0B0920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1A32E8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012F1F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16972A93">
            <w:pPr>
              <w:jc w:val="center"/>
              <w:rPr>
                <w:rFonts w:ascii="Times New Roman" w:hAnsi="Times New Roman"/>
              </w:rPr>
            </w:pPr>
          </w:p>
        </w:tc>
      </w:tr>
      <w:tr w14:paraId="4BC2A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15" w:type="dxa"/>
            <w:noWrap w:val="0"/>
            <w:vAlign w:val="center"/>
          </w:tcPr>
          <w:p w14:paraId="31F06D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5930C9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3C547E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2BDA05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094113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37AE071D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4855608">
      <w:pPr>
        <w:rPr>
          <w:rFonts w:ascii="Times New Roman" w:hAnsi="Times New Roman"/>
          <w:sz w:val="28"/>
          <w:szCs w:val="28"/>
        </w:rPr>
      </w:pPr>
    </w:p>
    <w:tbl>
      <w:tblPr>
        <w:tblStyle w:val="8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1C02D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240" w:type="dxa"/>
            <w:noWrap w:val="0"/>
            <w:vAlign w:val="center"/>
          </w:tcPr>
          <w:p w14:paraId="05C3579F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宋体"/>
                <w:b/>
                <w:bCs/>
                <w:szCs w:val="24"/>
              </w:rPr>
              <w:t>表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2  </w:t>
            </w:r>
            <w:r>
              <w:rPr>
                <w:rFonts w:ascii="Times New Roman" w:hAnsi="宋体"/>
                <w:b/>
                <w:bCs/>
                <w:szCs w:val="24"/>
              </w:rPr>
              <w:t>废物运输情况</w:t>
            </w:r>
          </w:p>
        </w:tc>
      </w:tr>
      <w:tr w14:paraId="10187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9240" w:type="dxa"/>
            <w:noWrap w:val="0"/>
            <w:vAlign w:val="top"/>
          </w:tcPr>
          <w:p w14:paraId="69A6E3B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/>
                <w:szCs w:val="24"/>
              </w:rPr>
              <w:t>运输是否符合交管部门运输相关规定（文字描述）</w:t>
            </w:r>
          </w:p>
          <w:p w14:paraId="3C7F003A">
            <w:pPr>
              <w:spacing w:line="300" w:lineRule="exact"/>
              <w:ind w:firstLine="420" w:firstLineChars="2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/>
                <w:szCs w:val="21"/>
              </w:rPr>
              <w:t>本</w:t>
            </w:r>
            <w:r>
              <w:rPr>
                <w:rFonts w:hint="eastAsia" w:ascii="Times New Roman" w:hAnsi="宋体"/>
                <w:szCs w:val="21"/>
                <w:lang w:eastAsia="zh-CN"/>
              </w:rPr>
              <w:t>年度</w:t>
            </w:r>
            <w:r>
              <w:rPr>
                <w:rFonts w:ascii="Times New Roman" w:hAnsi="宋体"/>
                <w:szCs w:val="21"/>
              </w:rPr>
              <w:t>危险废物跨省转移</w:t>
            </w:r>
            <w:r>
              <w:rPr>
                <w:rFonts w:hint="eastAsia" w:ascii="Times New Roman" w:hAnsi="宋体"/>
                <w:szCs w:val="21"/>
                <w:lang w:eastAsia="zh-CN"/>
              </w:rPr>
              <w:t>由</w:t>
            </w:r>
            <w:r>
              <w:rPr>
                <w:rFonts w:hint="eastAsia" w:hAnsi="宋体"/>
                <w:szCs w:val="21"/>
                <w:lang w:eastAsia="zh-CN"/>
              </w:rPr>
              <w:t>湖南恒晟环保科技</w:t>
            </w:r>
            <w:r>
              <w:rPr>
                <w:rFonts w:hint="eastAsia" w:ascii="Times New Roman" w:hAnsi="宋体"/>
                <w:szCs w:val="21"/>
                <w:lang w:eastAsia="zh-CN"/>
              </w:rPr>
              <w:t>有限公司委托</w:t>
            </w:r>
            <w:r>
              <w:rPr>
                <w:rFonts w:hint="eastAsia" w:hAnsi="宋体"/>
                <w:szCs w:val="21"/>
                <w:lang w:eastAsia="zh-CN"/>
              </w:rPr>
              <w:t>郴州市大成物流有限公司</w:t>
            </w:r>
            <w:r>
              <w:rPr>
                <w:rFonts w:hint="eastAsia" w:ascii="Times New Roman" w:hAnsi="宋体"/>
                <w:szCs w:val="21"/>
                <w:lang w:eastAsia="zh-CN"/>
              </w:rPr>
              <w:t>（许可证编号：</w:t>
            </w:r>
            <w:r>
              <w:rPr>
                <w:rFonts w:hint="eastAsia" w:hAnsi="宋体"/>
                <w:szCs w:val="21"/>
                <w:lang w:val="en-US" w:eastAsia="zh-CN"/>
              </w:rPr>
              <w:t>431000300011</w:t>
            </w:r>
            <w:r>
              <w:rPr>
                <w:rFonts w:hint="eastAsia" w:ascii="Times New Roman" w:hAnsi="宋体"/>
                <w:szCs w:val="21"/>
                <w:lang w:eastAsia="zh-CN"/>
              </w:rPr>
              <w:t>）承运，该</w:t>
            </w:r>
            <w:r>
              <w:rPr>
                <w:rFonts w:ascii="Times New Roman" w:hAnsi="宋体"/>
                <w:szCs w:val="21"/>
              </w:rPr>
              <w:t>运输单位具有危险废物运输资质，运输车辆状况良好，运输车辆已设置相关警示标志，符合交管部门相关规定。</w:t>
            </w:r>
          </w:p>
        </w:tc>
      </w:tr>
      <w:tr w14:paraId="75911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240" w:type="dxa"/>
            <w:noWrap w:val="0"/>
            <w:vAlign w:val="center"/>
          </w:tcPr>
          <w:p w14:paraId="5EC540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/>
                <w:szCs w:val="24"/>
              </w:rPr>
              <w:t>运输方式：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  <w:r>
              <w:rPr>
                <w:rFonts w:ascii="Times New Roman" w:hAnsi="宋体"/>
                <w:szCs w:val="24"/>
              </w:rPr>
              <w:t>道路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█</w:t>
            </w:r>
            <w:r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     </w:t>
            </w:r>
            <w:r>
              <w:rPr>
                <w:rFonts w:ascii="Times New Roman" w:hAnsi="宋体"/>
                <w:szCs w:val="24"/>
              </w:rPr>
              <w:t>铁路</w:t>
            </w:r>
            <w:r>
              <w:rPr>
                <w:rFonts w:ascii="Times New Roman" w:hAnsi="Times New Roman"/>
                <w:szCs w:val="24"/>
              </w:rPr>
              <w:t xml:space="preserve"> □      </w:t>
            </w:r>
            <w:r>
              <w:rPr>
                <w:rFonts w:ascii="Times New Roman" w:hAnsi="宋体"/>
                <w:szCs w:val="24"/>
              </w:rPr>
              <w:t>水路</w:t>
            </w:r>
            <w:r>
              <w:rPr>
                <w:rFonts w:ascii="Times New Roman" w:hAnsi="Times New Roman"/>
                <w:szCs w:val="24"/>
              </w:rPr>
              <w:t xml:space="preserve"> □</w:t>
            </w:r>
          </w:p>
        </w:tc>
      </w:tr>
      <w:tr w14:paraId="7DA03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5" w:hRule="atLeast"/>
        </w:trPr>
        <w:tc>
          <w:tcPr>
            <w:tcW w:w="9240" w:type="dxa"/>
            <w:noWrap w:val="0"/>
            <w:vAlign w:val="top"/>
          </w:tcPr>
          <w:p w14:paraId="78A4D063">
            <w:pPr>
              <w:spacing w:line="300" w:lineRule="exact"/>
              <w:ind w:firstLine="420" w:firstLineChars="200"/>
              <w:rPr>
                <w:rFonts w:ascii="Times New Roman" w:hAnsi="宋体"/>
                <w:sz w:val="21"/>
                <w:szCs w:val="21"/>
              </w:rPr>
            </w:pPr>
            <w:r>
              <w:rPr>
                <w:rFonts w:ascii="Times New Roman" w:hAnsi="宋体"/>
                <w:sz w:val="21"/>
                <w:szCs w:val="21"/>
              </w:rPr>
              <w:t>运输路线文字描述：（写明途经省、市、县（区），附路线图）</w:t>
            </w:r>
          </w:p>
          <w:p w14:paraId="2D6B3A7A">
            <w:pPr>
              <w:spacing w:line="300" w:lineRule="exact"/>
              <w:ind w:firstLine="420" w:firstLineChars="200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ascii="Times New Roman" w:hAnsi="宋体"/>
                <w:sz w:val="21"/>
                <w:szCs w:val="21"/>
              </w:rPr>
              <w:t>常州翔宇资源再生科技有限公司转移至</w:t>
            </w:r>
            <w:r>
              <w:rPr>
                <w:rFonts w:hint="eastAsia" w:hAnsi="宋体"/>
                <w:sz w:val="21"/>
                <w:szCs w:val="21"/>
                <w:lang w:eastAsia="zh-CN"/>
              </w:rPr>
              <w:t>湖南恒晟环保科技</w:t>
            </w:r>
            <w:r>
              <w:rPr>
                <w:rFonts w:hint="eastAsia" w:ascii="Times New Roman" w:hAnsi="宋体"/>
                <w:sz w:val="21"/>
                <w:szCs w:val="21"/>
                <w:lang w:eastAsia="zh-CN"/>
              </w:rPr>
              <w:t>有限公司</w:t>
            </w:r>
            <w:r>
              <w:rPr>
                <w:rFonts w:ascii="Times New Roman" w:hAnsi="宋体"/>
                <w:sz w:val="21"/>
                <w:szCs w:val="21"/>
              </w:rPr>
              <w:t>路线：</w:t>
            </w:r>
            <w:r>
              <w:rPr>
                <w:rFonts w:hint="eastAsia" w:hAnsi="宋体"/>
                <w:sz w:val="21"/>
                <w:szCs w:val="21"/>
                <w:lang w:eastAsia="zh-CN"/>
              </w:rPr>
              <w:t>从</w:t>
            </w:r>
            <w:r>
              <w:rPr>
                <w:rFonts w:hint="eastAsia" w:ascii="Times New Roman" w:hAnsi="宋体"/>
                <w:sz w:val="21"/>
                <w:szCs w:val="21"/>
                <w:lang w:val="en-US" w:eastAsia="zh-CN"/>
              </w:rPr>
              <w:t>武进区城区行驶3公里,左转进入淹城中路，沿淹城中路行驶2.4公里,右转请进入右转车道，沿武南西路行驶2公里,右转走匝道（经武进收费站）,朝S38、沿江高速方向,进入江宜高速公路，沿江宜高速公路行驶2.2公里,从G4221、南京出口离开,朝G4221、南京方向,进入沪武高速公路，沿沪武高速公路行驶133.3公里,从芜湖出口离开,朝芜湖、铜陵方向,进入宁芜高速公路，沿宁芜高速公路一直向前行驶211.5公里,从S27、G35出口离开,进入安东高速公路，沿安东高速公路行驶53.8公里,从G35、望江出口离开,进入济广高速公路，沿济广高速公路行驶12.1公里,从S38、彭泽出口离开,进入东彭高速公路，沿东彭高速公路一直向前行驶75.9公里,从湖口、九江出口离开,进入杭瑞高速公路，沿杭瑞高速公路行驶27.8公里（经九江东收费站）,从南昌、福州出口离开,进入杭瑞高速公路，继续沿杭瑞高速公路行驶13.8公里（经九江收费站）,从G56出口离开,进入杭瑞高速公路，沿杭瑞高速公路一直向前行驶138.9公里,从G6001出口离开,进入南昌绕城高速公路，继续沿南昌绕城高速公路行驶9.9公里,稍向左转进入沪昆高速公路，沿沪昆高速公路行驶74.7公里,稍向左转进入樟吉高速公路，沿樟吉高速公路一直向前行驶136.9公里,从G1517出口离开,进入莆炎高速公路，沿莆炎高速公路行驶59.6公里,从睦村、炎陵出口离开,进入莆炎高速公路，继续沿莆炎高速公路行驶72.3公里,从G0422、桂东出口离开,朝G0422、桂东方向,进入武深高速公路，沿武深高速公路行驶21.5公里,从船形、鹿原出口离开（经船形收费站）,右转进入X064，沿X064行驶4.8公里,右转进入S205，沿S205行驶61.4公里,稍向右转进入环城东路，沿环城东路行驶1.3公里,右转进入西正街，沿西正街行驶0.6公里,右转进入X021，沿X021行驶2.2公里,到达终点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。</w:t>
            </w:r>
          </w:p>
          <w:p w14:paraId="4A67281F">
            <w:pPr>
              <w:spacing w:line="300" w:lineRule="exact"/>
              <w:ind w:firstLine="420" w:firstLineChars="200"/>
              <w:rPr>
                <w:rFonts w:ascii="Times New Roman" w:hAnsi="宋体"/>
                <w:sz w:val="21"/>
                <w:szCs w:val="21"/>
              </w:rPr>
            </w:pPr>
          </w:p>
          <w:p w14:paraId="63A4468B">
            <w:pPr>
              <w:spacing w:line="300" w:lineRule="exact"/>
              <w:ind w:firstLine="420" w:firstLineChars="200"/>
              <w:rPr>
                <w:rFonts w:ascii="Times New Roman" w:hAnsi="宋体"/>
                <w:sz w:val="21"/>
                <w:szCs w:val="21"/>
              </w:rPr>
            </w:pPr>
          </w:p>
          <w:p w14:paraId="78B95DAE"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 w:val="21"/>
                <w:szCs w:val="21"/>
              </w:rPr>
              <w:t>途径城市有江苏省</w:t>
            </w:r>
            <w:r>
              <w:rPr>
                <w:rFonts w:ascii="宋体" w:hAnsi="宋体" w:eastAsia="宋体" w:cs="宋体"/>
                <w:sz w:val="21"/>
                <w:szCs w:val="21"/>
              </w:rPr>
              <w:t>常州市，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安徽省</w:t>
            </w:r>
            <w:r>
              <w:rPr>
                <w:rFonts w:ascii="宋体" w:hAnsi="宋体" w:eastAsia="宋体" w:cs="宋体"/>
                <w:sz w:val="21"/>
                <w:szCs w:val="21"/>
              </w:rPr>
              <w:t>马鞍山市，芜湖市，铜陵市，安庆</w:t>
            </w:r>
            <w:r>
              <w:rPr>
                <w:rFonts w:ascii="宋体" w:hAnsi="宋体" w:eastAsia="宋体" w:cs="宋体"/>
                <w:sz w:val="24"/>
                <w:szCs w:val="24"/>
              </w:rPr>
              <w:t>市，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九江市，南昌市，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宜春市，吉安市，郴州市</w:t>
            </w:r>
            <w:r>
              <w:rPr>
                <w:rFonts w:ascii="Times New Roman" w:hAnsi="宋体"/>
                <w:sz w:val="21"/>
                <w:szCs w:val="21"/>
              </w:rPr>
              <w:t>线路图如下：</w:t>
            </w:r>
          </w:p>
          <w:p w14:paraId="0CF93712">
            <w:pPr>
              <w:spacing w:line="240" w:lineRule="auto"/>
              <w:ind w:firstLine="420" w:firstLineChars="200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eastAsia="zh-CN"/>
              </w:rPr>
              <w:drawing>
                <wp:inline distT="0" distB="0" distL="114300" distR="114300">
                  <wp:extent cx="5114925" cy="4257675"/>
                  <wp:effectExtent l="0" t="0" r="9525" b="9525"/>
                  <wp:docPr id="8" name="图片 8" descr="@NA3_%8]7%(RHOXK`VA(_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@NA3_%8]7%(RHOXK`VA(_ZS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4925" cy="425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2B84F0"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 w14:paraId="056B3FD5"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 w14:paraId="138704BE"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 w14:paraId="1A6F273A"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 w14:paraId="6D1FA8C0">
            <w:pPr>
              <w:spacing w:line="240" w:lineRule="auto"/>
              <w:ind w:firstLine="420" w:firstLineChars="200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</w:p>
        </w:tc>
      </w:tr>
    </w:tbl>
    <w:p w14:paraId="62785627">
      <w:pPr>
        <w:rPr>
          <w:rFonts w:ascii="Times New Roman" w:hAnsi="Times New Roman"/>
          <w:szCs w:val="24"/>
        </w:rPr>
        <w:sectPr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286" w:charSpace="0"/>
        </w:sectPr>
      </w:pPr>
    </w:p>
    <w:tbl>
      <w:tblPr>
        <w:tblStyle w:val="8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 w14:paraId="420C9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345" w:type="dxa"/>
            <w:noWrap w:val="0"/>
            <w:vAlign w:val="center"/>
          </w:tcPr>
          <w:p w14:paraId="0F11EA42">
            <w:pPr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宋体"/>
                <w:b/>
                <w:bCs/>
                <w:szCs w:val="24"/>
              </w:rPr>
              <w:t>表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3  </w:t>
            </w:r>
            <w:r>
              <w:rPr>
                <w:rFonts w:ascii="Times New Roman" w:hAnsi="宋体"/>
                <w:b/>
                <w:bCs/>
                <w:szCs w:val="24"/>
              </w:rPr>
              <w:t>转移的污染防治、安全防护和应急措施</w:t>
            </w:r>
          </w:p>
        </w:tc>
      </w:tr>
      <w:tr w14:paraId="26845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</w:trPr>
        <w:tc>
          <w:tcPr>
            <w:tcW w:w="9345" w:type="dxa"/>
            <w:noWrap w:val="0"/>
            <w:vAlign w:val="top"/>
          </w:tcPr>
          <w:p w14:paraId="32D6AF83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宋体"/>
                <w:bCs/>
                <w:szCs w:val="24"/>
              </w:rPr>
              <w:t>运输过程中的污染防治措施以及按照要求配备的相应污染防治设备</w:t>
            </w:r>
          </w:p>
          <w:p w14:paraId="07E60CE7">
            <w:pPr>
              <w:spacing w:line="300" w:lineRule="exact"/>
              <w:ind w:firstLine="420" w:firstLineChars="200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在运输过程中，运输车辆采用钢筋框架固定，彩色</w:t>
            </w:r>
            <w:r>
              <w:rPr>
                <w:rFonts w:ascii="Times New Roman" w:hAnsi="Times New Roman"/>
                <w:szCs w:val="21"/>
              </w:rPr>
              <w:t>CRT</w:t>
            </w:r>
            <w:r>
              <w:rPr>
                <w:rFonts w:ascii="Times New Roman" w:hAnsi="宋体"/>
                <w:szCs w:val="21"/>
              </w:rPr>
              <w:t>玻璃采用吨包包装，再采取篷布覆盖加工，达到加固及防抛洒要求。</w:t>
            </w:r>
            <w:r>
              <w:rPr>
                <w:rFonts w:hint="eastAsia" w:ascii="Times New Roman" w:hAnsi="宋体"/>
                <w:szCs w:val="21"/>
              </w:rPr>
              <w:t>运输车需具备：通讯器材、手机，急救箱，干粉灭火器，清洁工具，塑料袋，联络单。</w:t>
            </w:r>
          </w:p>
          <w:p w14:paraId="1B6139B4">
            <w:pPr>
              <w:spacing w:line="240" w:lineRule="auto"/>
              <w:rPr>
                <w:rFonts w:ascii="Times New Roman" w:hAnsi="Times New Roman"/>
                <w:bCs/>
                <w:szCs w:val="24"/>
              </w:rPr>
            </w:pPr>
          </w:p>
        </w:tc>
      </w:tr>
      <w:tr w14:paraId="5BB36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9345" w:type="dxa"/>
            <w:noWrap w:val="0"/>
            <w:vAlign w:val="top"/>
          </w:tcPr>
          <w:p w14:paraId="2BEA0BD6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宋体"/>
                <w:bCs/>
                <w:szCs w:val="24"/>
              </w:rPr>
              <w:t>运输过程中的安全防护措施以及按照要求配备的相应安全防护设备</w:t>
            </w:r>
          </w:p>
          <w:p w14:paraId="71672B25">
            <w:pPr>
              <w:spacing w:line="300" w:lineRule="exact"/>
              <w:ind w:firstLine="420" w:firstLineChars="200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在运输过程中，运输车辆设置危险废物警示标志，对运输过程中的其他驾驶员起到警示作用。</w:t>
            </w:r>
            <w:r>
              <w:rPr>
                <w:rFonts w:hint="eastAsia" w:ascii="Times New Roman" w:hAnsi="宋体"/>
                <w:szCs w:val="21"/>
              </w:rPr>
              <w:t>所有承运车辆必须车况良好，不得同车装运其它物品，严禁携带其它人员同乘。且具有消防和化学两方面的紧急处理措施，具体包括干粉灭火器，化学防护镜，橡胶手套，工作服，橡胶靴子，防毒面具；运输车需具备：通讯器材、手机，急救箱，干粉灭火器，清洁工具，塑料袋，联络单。</w:t>
            </w:r>
          </w:p>
          <w:p w14:paraId="0143D4EC"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 w14:paraId="2BC967BF">
            <w:pPr>
              <w:rPr>
                <w:rFonts w:ascii="Times New Roman" w:hAnsi="Times New Roman"/>
                <w:bCs/>
                <w:szCs w:val="24"/>
              </w:rPr>
            </w:pPr>
          </w:p>
          <w:p w14:paraId="0A077D5A">
            <w:pPr>
              <w:rPr>
                <w:rFonts w:ascii="Times New Roman" w:hAnsi="Times New Roman"/>
                <w:szCs w:val="24"/>
              </w:rPr>
            </w:pPr>
          </w:p>
        </w:tc>
      </w:tr>
      <w:tr w14:paraId="4FA28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5" w:hRule="atLeast"/>
        </w:trPr>
        <w:tc>
          <w:tcPr>
            <w:tcW w:w="9345" w:type="dxa"/>
            <w:noWrap w:val="0"/>
            <w:vAlign w:val="top"/>
          </w:tcPr>
          <w:p w14:paraId="4F31698C">
            <w:pPr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Cs w:val="24"/>
              </w:rPr>
              <w:t>3</w:t>
            </w:r>
            <w:r>
              <w:rPr>
                <w:rFonts w:ascii="Times New Roman" w:hAnsi="宋体"/>
                <w:bCs/>
                <w:color w:val="auto"/>
                <w:szCs w:val="24"/>
              </w:rPr>
              <w:t>、运输过程中的应急预案以及按照要求配备的相应应急设备</w:t>
            </w:r>
          </w:p>
          <w:p w14:paraId="41325707">
            <w:pPr>
              <w:spacing w:line="300" w:lineRule="exact"/>
              <w:ind w:firstLine="420" w:firstLineChars="200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事故发生时，发现事故人立即告知事故现场周围人员并通知事故应急负责人，事故应急责任人负责指挥协调处置突发环境事故。事故应急负责人立即向事故应急小组汇报，运输押运人员、事故应急人员无条件执行事故应急负责人命令，齐心协力处理好突发应急事故。</w:t>
            </w:r>
            <w:r>
              <w:rPr>
                <w:rFonts w:hint="eastAsia" w:ascii="Times New Roman" w:hAnsi="宋体"/>
                <w:color w:val="auto"/>
                <w:szCs w:val="21"/>
              </w:rPr>
              <w:t>运输过程中要配备相应的应急设备主要包括：灭火器、护目镜、橡胶手套、工作服、橡胶靴子、防毒面具等。</w:t>
            </w:r>
          </w:p>
          <w:p w14:paraId="603842AA">
            <w:pPr>
              <w:spacing w:line="300" w:lineRule="exact"/>
              <w:ind w:firstLine="420" w:firstLineChars="200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szCs w:val="21"/>
                <w:lang w:eastAsia="zh-CN"/>
              </w:rPr>
              <w:t>湖南恒晟环保科技有限公司</w:t>
            </w:r>
            <w:r>
              <w:rPr>
                <w:rFonts w:ascii="Times New Roman" w:hAnsi="宋体"/>
                <w:color w:val="auto"/>
                <w:szCs w:val="21"/>
              </w:rPr>
              <w:t>：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黄永亮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13182612168</w:t>
            </w:r>
          </w:p>
          <w:p w14:paraId="2CEE226E">
            <w:pPr>
              <w:spacing w:line="300" w:lineRule="exact"/>
              <w:jc w:val="center"/>
              <w:rPr>
                <w:rFonts w:ascii="Times New Roman" w:hAnsi="宋体"/>
                <w:b/>
                <w:color w:val="auto"/>
                <w:szCs w:val="21"/>
              </w:rPr>
            </w:pPr>
            <w:r>
              <w:rPr>
                <w:rFonts w:ascii="Times New Roman" w:hAnsi="宋体"/>
                <w:b/>
                <w:color w:val="auto"/>
                <w:szCs w:val="21"/>
              </w:rPr>
              <w:t>危险废物运输突发环境事故应急预案</w:t>
            </w:r>
          </w:p>
          <w:p w14:paraId="757E612D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危险废物在运输过程中由于自然</w:t>
            </w:r>
            <w:r>
              <w:rPr>
                <w:rFonts w:hint="eastAsia" w:ascii="Times New Roman" w:hAnsi="宋体"/>
                <w:color w:val="auto"/>
                <w:szCs w:val="21"/>
              </w:rPr>
              <w:t>、</w:t>
            </w:r>
            <w:r>
              <w:rPr>
                <w:rFonts w:ascii="Times New Roman" w:hAnsi="宋体"/>
                <w:color w:val="auto"/>
                <w:szCs w:val="21"/>
              </w:rPr>
              <w:t>人为</w:t>
            </w:r>
            <w:r>
              <w:rPr>
                <w:rFonts w:hint="eastAsia" w:ascii="Times New Roman" w:hAnsi="宋体"/>
                <w:color w:val="auto"/>
                <w:szCs w:val="21"/>
              </w:rPr>
              <w:t>、</w:t>
            </w:r>
            <w:r>
              <w:rPr>
                <w:rFonts w:ascii="Times New Roman" w:hAnsi="宋体"/>
                <w:color w:val="auto"/>
                <w:szCs w:val="21"/>
              </w:rPr>
              <w:t>技术或设备等原因可能引发交通</w:t>
            </w:r>
            <w:r>
              <w:rPr>
                <w:rFonts w:hint="eastAsia" w:ascii="Times New Roman" w:hAnsi="宋体"/>
                <w:color w:val="auto"/>
                <w:szCs w:val="21"/>
              </w:rPr>
              <w:t>事故</w:t>
            </w:r>
            <w:r>
              <w:rPr>
                <w:rFonts w:ascii="Times New Roman" w:hAnsi="宋体"/>
                <w:color w:val="auto"/>
                <w:szCs w:val="21"/>
              </w:rPr>
              <w:t>，导致危险废物拋洒、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遗</w:t>
            </w:r>
            <w:r>
              <w:rPr>
                <w:rFonts w:ascii="Times New Roman" w:hAnsi="宋体"/>
                <w:color w:val="auto"/>
                <w:szCs w:val="21"/>
              </w:rPr>
              <w:t>漏、燃烧、爆炸等，可能对环境</w:t>
            </w:r>
            <w:r>
              <w:rPr>
                <w:rFonts w:hint="eastAsia" w:ascii="Times New Roman" w:hAnsi="宋体"/>
                <w:color w:val="auto"/>
                <w:szCs w:val="21"/>
              </w:rPr>
              <w:t>造成较重污染后果的行为。为建立危险废物运输突发环境</w:t>
            </w:r>
            <w:r>
              <w:rPr>
                <w:rFonts w:ascii="Times New Roman" w:hAnsi="宋体"/>
                <w:color w:val="auto"/>
                <w:szCs w:val="21"/>
              </w:rPr>
              <w:t>事故应急机制，提高应急能力，确保能够快</w:t>
            </w:r>
            <w:r>
              <w:rPr>
                <w:rFonts w:hint="eastAsia" w:ascii="Times New Roman" w:hAnsi="宋体"/>
                <w:color w:val="auto"/>
                <w:szCs w:val="21"/>
              </w:rPr>
              <w:t>速</w:t>
            </w:r>
            <w:r>
              <w:rPr>
                <w:rFonts w:ascii="Times New Roman" w:hAnsi="宋体"/>
                <w:color w:val="auto"/>
                <w:szCs w:val="21"/>
              </w:rPr>
              <w:t>响应、有序行动、尚效处</w:t>
            </w:r>
            <w:r>
              <w:rPr>
                <w:rFonts w:hint="eastAsia" w:ascii="Times New Roman" w:hAnsi="宋体"/>
                <w:color w:val="auto"/>
                <w:szCs w:val="21"/>
              </w:rPr>
              <w:t>置</w:t>
            </w:r>
            <w:r>
              <w:rPr>
                <w:rFonts w:ascii="Times New Roman" w:hAnsi="宋体"/>
                <w:color w:val="auto"/>
                <w:szCs w:val="21"/>
              </w:rPr>
              <w:t>、降低危害，实现保护公众、保护环境的</w:t>
            </w:r>
            <w:r>
              <w:rPr>
                <w:rFonts w:hint="eastAsia" w:ascii="Times New Roman" w:hAnsi="宋体"/>
                <w:color w:val="auto"/>
                <w:szCs w:val="21"/>
              </w:rPr>
              <w:t>目</w:t>
            </w:r>
            <w:r>
              <w:rPr>
                <w:rFonts w:ascii="Times New Roman" w:hAnsi="宋体"/>
                <w:color w:val="auto"/>
                <w:szCs w:val="21"/>
              </w:rPr>
              <w:t>的，特制定本预案.</w:t>
            </w:r>
          </w:p>
          <w:p w14:paraId="08A66EAE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依据国家危险货物运输管理有关规定，我司皱到以下几点：</w:t>
            </w:r>
          </w:p>
          <w:p w14:paraId="43EC3ABE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具有从事危险货物运输资质许可；</w:t>
            </w:r>
          </w:p>
          <w:p w14:paraId="602E2EA6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运输车辆悬桂或喷涂明显醒目的危险废物标志；</w:t>
            </w:r>
          </w:p>
          <w:p w14:paraId="2558787A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按照规定的线路运输危险废物；</w:t>
            </w:r>
          </w:p>
          <w:p w14:paraId="3A6B682C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不在人口稠密地区运输危险废物；</w:t>
            </w:r>
          </w:p>
          <w:p w14:paraId="05814D46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车</w:t>
            </w:r>
            <w:r>
              <w:rPr>
                <w:rFonts w:hint="eastAsia" w:ascii="Times New Roman" w:hAnsi="宋体"/>
                <w:color w:val="auto"/>
                <w:szCs w:val="21"/>
              </w:rPr>
              <w:t>辆</w:t>
            </w:r>
            <w:r>
              <w:rPr>
                <w:rFonts w:ascii="Times New Roman" w:hAnsi="宋体"/>
                <w:color w:val="auto"/>
                <w:szCs w:val="21"/>
              </w:rPr>
              <w:t>在经过桥梁、水源保护区域时限速行驶；</w:t>
            </w:r>
          </w:p>
          <w:p w14:paraId="7B64AB17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釆取严格的运输安全防护措施和防止污染环境措施；</w:t>
            </w:r>
          </w:p>
          <w:p w14:paraId="3DFE2718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随车</w:t>
            </w:r>
            <w:r>
              <w:rPr>
                <w:rFonts w:hint="eastAsia" w:ascii="Times New Roman" w:hAnsi="宋体"/>
                <w:color w:val="auto"/>
                <w:szCs w:val="21"/>
              </w:rPr>
              <w:t>携</w:t>
            </w:r>
            <w:r>
              <w:rPr>
                <w:rFonts w:ascii="Times New Roman" w:hAnsi="宋体"/>
                <w:color w:val="auto"/>
                <w:szCs w:val="21"/>
              </w:rPr>
              <w:t>带运输单位制定的《危险废物运输突发环境事故应急预案》和 《危险废物转栘联单》</w:t>
            </w:r>
            <w:r>
              <w:rPr>
                <w:rFonts w:hint="eastAsia" w:ascii="Times New Roman" w:hAnsi="宋体"/>
                <w:color w:val="auto"/>
                <w:szCs w:val="21"/>
              </w:rPr>
              <w:t>；</w:t>
            </w:r>
          </w:p>
          <w:p w14:paraId="79AE8D4F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驾驶人员除具备运输从业资质以外，还定期接受应急培训并取得合格成缋</w:t>
            </w:r>
            <w:r>
              <w:rPr>
                <w:rFonts w:hint="eastAsia" w:ascii="Times New Roman" w:hAnsi="宋体"/>
                <w:color w:val="auto"/>
                <w:szCs w:val="21"/>
              </w:rPr>
              <w:t>。</w:t>
            </w:r>
            <w:r>
              <w:rPr>
                <w:rFonts w:ascii="Times New Roman" w:hAnsi="宋体"/>
                <w:color w:val="auto"/>
                <w:szCs w:val="21"/>
              </w:rPr>
              <w:t>定期成不定期开展应急知识、技术和方案的培训，安排应急人员参加环保部</w:t>
            </w:r>
            <w:r>
              <w:rPr>
                <w:rFonts w:hint="eastAsia" w:ascii="Times New Roman" w:hAnsi="宋体"/>
                <w:color w:val="auto"/>
                <w:szCs w:val="21"/>
              </w:rPr>
              <w:t>、</w:t>
            </w:r>
            <w:r>
              <w:rPr>
                <w:rFonts w:ascii="Times New Roman" w:hAnsi="宋体"/>
                <w:color w:val="auto"/>
                <w:szCs w:val="21"/>
              </w:rPr>
              <w:t>省环保厅绍织的培训，同时对本市基层的应急人员和相关企业的有关人员开展培训，增强应急能力</w:t>
            </w:r>
            <w:r>
              <w:rPr>
                <w:rFonts w:hint="eastAsia" w:ascii="Times New Roman" w:hAnsi="宋体"/>
                <w:color w:val="auto"/>
                <w:szCs w:val="21"/>
              </w:rPr>
              <w:t>。</w:t>
            </w:r>
          </w:p>
          <w:p w14:paraId="67E5CC81">
            <w:pPr>
              <w:spacing w:line="300" w:lineRule="exact"/>
              <w:ind w:firstLine="420" w:firstLineChars="200"/>
              <w:rPr>
                <w:rFonts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我司设立相应的部门以应对突发事件。该部门负责</w:t>
            </w:r>
            <w:r>
              <w:rPr>
                <w:rFonts w:hint="eastAsia" w:ascii="Times New Roman" w:hAnsi="宋体"/>
                <w:color w:val="auto"/>
                <w:szCs w:val="21"/>
              </w:rPr>
              <w:t>（1）</w:t>
            </w:r>
            <w:r>
              <w:rPr>
                <w:rFonts w:ascii="Times New Roman" w:hAnsi="宋体"/>
                <w:color w:val="auto"/>
                <w:szCs w:val="21"/>
              </w:rPr>
              <w:t>遇到紧急情况做出应急处置重大</w:t>
            </w:r>
            <w:r>
              <w:rPr>
                <w:rFonts w:hint="eastAsia" w:ascii="Times New Roman" w:hAnsi="宋体"/>
                <w:color w:val="auto"/>
                <w:szCs w:val="21"/>
              </w:rPr>
              <w:t>事项的决策，提出应急行动原则要求。（2）协调实施应急处置行动。（3）及时向市政府报告应急处置行动进展情况。（4）督察事故现场应急处置工作完成情况。接到关于危险废物运输突发环境事故报告时，应主动并尽肯能详尽地了解情况，初步判断事故等级，立即向市环保局主要领导报告，决定是否启动应急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预</w:t>
            </w:r>
            <w:r>
              <w:rPr>
                <w:rFonts w:hint="eastAsia" w:ascii="Times New Roman" w:hAnsi="宋体"/>
                <w:color w:val="auto"/>
                <w:szCs w:val="21"/>
              </w:rPr>
              <w:t>案。发生高危危险废物运输突发环境事故时，必须立即启动应急预案。应急指令下达后，各有关部门的应急人员迅速集结，立印赶赴事故现场， 做好各项准备工作，形成指挥力量和应急力量。根据危险废物的种类性质以及现场情况，研究制定处置方案，下达应急处置行动指令。根据指令，立即确定应急检测方案并组织实施</w:t>
            </w:r>
            <w:bookmarkStart w:id="0" w:name="_GoBack"/>
            <w:bookmarkEnd w:id="0"/>
            <w:r>
              <w:rPr>
                <w:rFonts w:hint="eastAsia" w:ascii="Times New Roman" w:hAnsi="宋体"/>
                <w:color w:val="auto"/>
                <w:szCs w:val="21"/>
              </w:rPr>
              <w:t>。以最快的速度提供监测数据和气象信息，为指挥部决策提供依据。水体和饮用水源受到污染的，应及时报告市政府，由市政府作出停止使用水体功能或停止供水的决定，并向社会发布信息。同时按照规定上报和通报。对污染现场进行清理。危险废物以及受到污染的土壤全部送交危险废物处置企业集中处置。对事故现场逬行交通管制，禁止无关车辆和人员进入。需要组织群众疏散的</w:t>
            </w:r>
            <w:r>
              <w:rPr>
                <w:rFonts w:ascii="Times New Roman" w:hAnsi="宋体"/>
                <w:color w:val="auto"/>
                <w:szCs w:val="21"/>
              </w:rPr>
              <w:t>,</w:t>
            </w:r>
            <w:r>
              <w:rPr>
                <w:rFonts w:hint="eastAsia" w:ascii="Times New Roman" w:hAnsi="宋体"/>
                <w:color w:val="auto"/>
                <w:szCs w:val="21"/>
              </w:rPr>
              <w:t>立即确定疏散地点，紧急组织群众采用简易有效的防护措施（如毛巾、湿布、口罩等），选择安全撤离路线逆风向疏散地集中。如人员有受伤情况，立即组织救治。</w:t>
            </w:r>
          </w:p>
          <w:p w14:paraId="4DF0E142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hint="eastAsia" w:ascii="Times New Roman" w:hAnsi="宋体"/>
                <w:color w:val="auto"/>
                <w:szCs w:val="21"/>
              </w:rPr>
              <w:t>事后必须分析总结应急处置经验教训，提出改进建议</w:t>
            </w:r>
            <w:r>
              <w:rPr>
                <w:rFonts w:ascii="Times New Roman" w:hAnsi="宋体"/>
                <w:color w:val="auto"/>
                <w:szCs w:val="21"/>
              </w:rPr>
              <w:t>;</w:t>
            </w:r>
            <w:r>
              <w:rPr>
                <w:rFonts w:hint="eastAsia" w:ascii="Times New Roman" w:hAnsi="宋体"/>
                <w:color w:val="auto"/>
                <w:szCs w:val="21"/>
              </w:rPr>
              <w:t>查明事故原因，作出处埋决定，追究相关责任；发布事故处置工作有关信息；完成总结报告并及时上报。</w:t>
            </w:r>
          </w:p>
          <w:p w14:paraId="1E91ECF1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</w:p>
          <w:p w14:paraId="649AA1A6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5BE9187F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2C92B13A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103EBF4A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0765D04E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056E768F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1F2AE37D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797DDC24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00B3617A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35B39361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1857E2E4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2C27B04D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18C5DAB8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64B7C98D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7A71D054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4E40EB82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5EE90D73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6516DD57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0D2C9C0D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018D09A0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534C5ED9">
            <w:pPr>
              <w:spacing w:line="300" w:lineRule="exact"/>
              <w:ind w:firstLine="420" w:firstLineChars="200"/>
              <w:rPr>
                <w:rFonts w:hint="eastAsia" w:ascii="Times New Roman" w:hAnsi="Times New Roman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5D4255B7">
            <w:pPr>
              <w:spacing w:line="300" w:lineRule="exact"/>
              <w:ind w:firstLine="420" w:firstLineChars="200"/>
              <w:rPr>
                <w:rFonts w:hint="eastAsia" w:ascii="Times New Roman" w:hAnsi="Times New Roman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4481493B">
            <w:pPr>
              <w:rPr>
                <w:rFonts w:ascii="Times New Roman" w:hAnsi="Times New Roman"/>
                <w:color w:val="5B9BD5" w:themeColor="accent1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</w:tbl>
    <w:p w14:paraId="63F23A52">
      <w:pPr>
        <w:rPr>
          <w:rFonts w:ascii="Times New Roman" w:hAnsi="宋体"/>
          <w:sz w:val="28"/>
          <w:szCs w:val="28"/>
        </w:rPr>
      </w:pPr>
    </w:p>
    <w:p w14:paraId="0F63B6DB">
      <w:pPr>
        <w:numPr>
          <w:ilvl w:val="0"/>
          <w:numId w:val="2"/>
        </w:numPr>
        <w:rPr>
          <w:rFonts w:ascii="Times New Roman" w:hAnsi="宋体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宋体"/>
          <w:sz w:val="28"/>
          <w:szCs w:val="28"/>
        </w:rPr>
        <w:t>废物处理处置情况</w:t>
      </w:r>
    </w:p>
    <w:tbl>
      <w:tblPr>
        <w:tblStyle w:val="8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5"/>
        <w:gridCol w:w="4200"/>
      </w:tblGrid>
      <w:tr w14:paraId="4E33A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9345" w:type="dxa"/>
            <w:gridSpan w:val="2"/>
            <w:noWrap w:val="0"/>
            <w:vAlign w:val="center"/>
          </w:tcPr>
          <w:p w14:paraId="1A6768A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宋体"/>
                <w:b/>
                <w:bCs/>
              </w:rPr>
              <w:t>表</w:t>
            </w:r>
            <w:r>
              <w:rPr>
                <w:rFonts w:ascii="Times New Roman" w:hAnsi="Times New Roman"/>
                <w:b/>
                <w:bCs/>
              </w:rPr>
              <w:t xml:space="preserve">1   </w:t>
            </w:r>
            <w:r>
              <w:rPr>
                <w:rFonts w:ascii="Times New Roman" w:hAnsi="宋体"/>
                <w:b/>
                <w:bCs/>
              </w:rPr>
              <w:t>接受单位基本情况</w:t>
            </w:r>
          </w:p>
        </w:tc>
      </w:tr>
      <w:tr w14:paraId="31332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9345" w:type="dxa"/>
            <w:gridSpan w:val="2"/>
            <w:noWrap w:val="0"/>
            <w:vAlign w:val="center"/>
          </w:tcPr>
          <w:p w14:paraId="5F3BC9A0">
            <w:pPr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ascii="Times New Roman" w:hAnsi="宋体"/>
              </w:rPr>
              <w:t>单位名称：</w:t>
            </w:r>
            <w:r>
              <w:rPr>
                <w:rFonts w:hint="eastAsia" w:hAnsi="宋体"/>
                <w:lang w:eastAsia="zh-CN"/>
              </w:rPr>
              <w:t>湖南恒晟环保科技有限公司</w:t>
            </w:r>
          </w:p>
        </w:tc>
      </w:tr>
      <w:tr w14:paraId="0D695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5145" w:type="dxa"/>
            <w:noWrap w:val="0"/>
            <w:vAlign w:val="center"/>
          </w:tcPr>
          <w:p w14:paraId="07E7650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宋体"/>
                <w:color w:val="auto"/>
              </w:rPr>
              <w:t>危废经营许可证编号：</w:t>
            </w:r>
            <w:r>
              <w:rPr>
                <w:rFonts w:hint="eastAsia" w:ascii="Times New Roman" w:hAnsi="Times New Roman"/>
                <w:color w:val="auto"/>
              </w:rPr>
              <w:t>湘环（危</w:t>
            </w:r>
            <w:r>
              <w:rPr>
                <w:rFonts w:hint="eastAsia"/>
                <w:color w:val="auto"/>
                <w:lang w:eastAsia="zh-CN"/>
              </w:rPr>
              <w:t>临</w:t>
            </w:r>
            <w:r>
              <w:rPr>
                <w:rFonts w:hint="eastAsia" w:ascii="Times New Roman" w:hAnsi="Times New Roman"/>
                <w:color w:val="auto"/>
              </w:rPr>
              <w:t>）字第（</w:t>
            </w:r>
            <w:r>
              <w:rPr>
                <w:rFonts w:hint="eastAsia"/>
                <w:color w:val="auto"/>
                <w:lang w:val="en-US" w:eastAsia="zh-CN"/>
              </w:rPr>
              <w:t>160</w:t>
            </w:r>
            <w:r>
              <w:rPr>
                <w:rFonts w:hint="eastAsia" w:ascii="Times New Roman" w:hAnsi="Times New Roman"/>
                <w:color w:val="auto"/>
              </w:rPr>
              <w:t>）号</w:t>
            </w:r>
          </w:p>
        </w:tc>
        <w:tc>
          <w:tcPr>
            <w:tcW w:w="4200" w:type="dxa"/>
            <w:noWrap w:val="0"/>
            <w:vAlign w:val="center"/>
          </w:tcPr>
          <w:p w14:paraId="7795AF21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宋体"/>
                <w:color w:val="auto"/>
              </w:rPr>
              <w:t>有效期：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</w:t>
            </w:r>
            <w:r>
              <w:rPr>
                <w:rFonts w:ascii="Times New Roman" w:hAnsi="宋体"/>
                <w:color w:val="auto"/>
                <w:sz w:val="18"/>
                <w:szCs w:val="18"/>
              </w:rPr>
              <w:t>年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11</w:t>
            </w:r>
            <w:r>
              <w:rPr>
                <w:rFonts w:ascii="Times New Roman" w:hAnsi="宋体"/>
                <w:color w:val="auto"/>
                <w:sz w:val="18"/>
                <w:szCs w:val="18"/>
              </w:rPr>
              <w:t>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18</w:t>
            </w:r>
            <w:r>
              <w:rPr>
                <w:rFonts w:ascii="Times New Roman" w:hAnsi="宋体"/>
                <w:color w:val="auto"/>
                <w:sz w:val="18"/>
                <w:szCs w:val="18"/>
              </w:rPr>
              <w:t>日至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2023</w:t>
            </w:r>
            <w:r>
              <w:rPr>
                <w:rFonts w:ascii="Times New Roman" w:hAnsi="宋体"/>
                <w:color w:val="auto"/>
                <w:sz w:val="18"/>
                <w:szCs w:val="18"/>
              </w:rPr>
              <w:t>年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11</w:t>
            </w:r>
            <w:r>
              <w:rPr>
                <w:rFonts w:ascii="Times New Roman" w:hAnsi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17</w:t>
            </w:r>
            <w:r>
              <w:rPr>
                <w:rFonts w:ascii="Times New Roman" w:hAnsi="宋体"/>
                <w:color w:val="auto"/>
                <w:sz w:val="18"/>
                <w:szCs w:val="18"/>
              </w:rPr>
              <w:t>日</w:t>
            </w:r>
          </w:p>
        </w:tc>
      </w:tr>
      <w:tr w14:paraId="24C58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</w:trPr>
        <w:tc>
          <w:tcPr>
            <w:tcW w:w="9345" w:type="dxa"/>
            <w:gridSpan w:val="2"/>
            <w:noWrap w:val="0"/>
            <w:vAlign w:val="top"/>
          </w:tcPr>
          <w:p w14:paraId="6818B168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宋体"/>
                <w:color w:val="auto"/>
              </w:rPr>
              <w:t>经营核准内容（废物名称、类别、数量）：</w:t>
            </w:r>
          </w:p>
          <w:p w14:paraId="5FFCFFEB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宋体"/>
                <w:color w:val="auto"/>
              </w:rPr>
              <w:t>废物名称：废阴极射线管</w:t>
            </w:r>
            <w:r>
              <w:rPr>
                <w:rFonts w:hint="eastAsia" w:hAnsi="宋体"/>
                <w:color w:val="auto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宋体"/>
                <w:color w:val="auto"/>
              </w:rPr>
              <w:t>类别：</w:t>
            </w:r>
            <w:r>
              <w:rPr>
                <w:rFonts w:ascii="Times New Roman" w:hAnsi="Times New Roman"/>
                <w:color w:val="auto"/>
              </w:rPr>
              <w:t>HW49</w:t>
            </w:r>
            <w:r>
              <w:rPr>
                <w:rFonts w:ascii="Times New Roman" w:hAnsi="宋体"/>
                <w:color w:val="auto"/>
              </w:rPr>
              <w:t>类其它废物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宋体"/>
                <w:color w:val="auto"/>
              </w:rPr>
              <w:t>数量：</w:t>
            </w:r>
            <w:r>
              <w:rPr>
                <w:rFonts w:hint="eastAsia"/>
                <w:color w:val="auto"/>
                <w:lang w:val="en-US" w:eastAsia="zh-CN"/>
              </w:rPr>
              <w:t>12800</w:t>
            </w:r>
            <w:r>
              <w:rPr>
                <w:rFonts w:ascii="Times New Roman" w:hAnsi="宋体"/>
                <w:color w:val="auto"/>
              </w:rPr>
              <w:t>吨</w:t>
            </w:r>
          </w:p>
        </w:tc>
      </w:tr>
    </w:tbl>
    <w:p w14:paraId="55E10F32">
      <w:pPr>
        <w:numPr>
          <w:ilvl w:val="0"/>
          <w:numId w:val="0"/>
        </w:numPr>
        <w:rPr>
          <w:rFonts w:ascii="Times New Roman" w:hAnsi="宋体"/>
          <w:sz w:val="28"/>
          <w:szCs w:val="28"/>
        </w:rPr>
      </w:pPr>
    </w:p>
    <w:tbl>
      <w:tblPr>
        <w:tblStyle w:val="8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 w14:paraId="02D0F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345" w:type="dxa"/>
            <w:noWrap w:val="0"/>
            <w:vAlign w:val="center"/>
          </w:tcPr>
          <w:p w14:paraId="12388BD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宋体"/>
                <w:b/>
                <w:bCs/>
              </w:rPr>
              <w:t>表</w:t>
            </w:r>
            <w:r>
              <w:rPr>
                <w:rFonts w:ascii="Times New Roman" w:hAnsi="Times New Roman"/>
                <w:b/>
                <w:bCs/>
              </w:rPr>
              <w:t xml:space="preserve">2   </w:t>
            </w:r>
            <w:r>
              <w:rPr>
                <w:rFonts w:ascii="Times New Roman" w:hAnsi="宋体"/>
                <w:b/>
                <w:bCs/>
              </w:rPr>
              <w:t>与接收废物相关的处理处置情况</w:t>
            </w:r>
          </w:p>
        </w:tc>
      </w:tr>
      <w:tr w14:paraId="4EA69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45" w:type="dxa"/>
            <w:noWrap w:val="0"/>
            <w:vAlign w:val="top"/>
          </w:tcPr>
          <w:p w14:paraId="33CDB1F4">
            <w:pPr>
              <w:spacing w:line="30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/>
                <w:szCs w:val="24"/>
              </w:rPr>
              <w:t>文字描述及工艺流程图</w:t>
            </w:r>
          </w:p>
          <w:p w14:paraId="1CA9E1E7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 w14:paraId="48C127BF">
            <w:pPr>
              <w:pStyle w:val="4"/>
              <w:spacing w:before="0" w:after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阴极射线管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（含铅）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利用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工艺</w:t>
            </w:r>
          </w:p>
          <w:p w14:paraId="322BC328">
            <w:pPr>
              <w:ind w:firstLine="560" w:firstLineChars="200"/>
              <w:jc w:val="left"/>
              <w:rPr>
                <w:rFonts w:hint="eastAsia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含铅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危险废物经过制块后，与其他生产辅料一起投入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熔炼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炉内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被焦炭产生的高温熔化，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当温度升到一定的高度时，投入含铅锥玻璃，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氧化态的铅被炉内的还原剂还原成金属铅，并富集危废物中的其他有价金属。粗铅从铅口产出，外卖至铅冶炼企业。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产出的水淬渣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，堆放在一般固废渣场。烟气通过布袋除尘器除尘，二级碱液喷淋脱硫塔脱硫，达标后从80米烟囱排入大气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 w14:paraId="2B7169E6">
            <w:pPr>
              <w:spacing w:line="360" w:lineRule="auto"/>
              <w:ind w:firstLine="420" w:firstLineChars="200"/>
            </w:pPr>
          </w:p>
          <w:p w14:paraId="7BEBFD95">
            <w:pPr>
              <w:pStyle w:val="2"/>
              <w:jc w:val="right"/>
              <w:rPr>
                <w:rFonts w:hint="eastAsia"/>
                <w:lang w:eastAsia="zh-CN"/>
              </w:rPr>
            </w:pPr>
          </w:p>
          <w:p w14:paraId="54494220">
            <w:pPr>
              <w:pStyle w:val="2"/>
              <w:jc w:val="right"/>
              <w:rPr>
                <w:rFonts w:hint="eastAsia"/>
                <w:lang w:eastAsia="zh-CN"/>
              </w:rPr>
            </w:pPr>
          </w:p>
          <w:p w14:paraId="2B78B5D2">
            <w:pPr>
              <w:pStyle w:val="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</w:t>
            </w:r>
          </w:p>
          <w:p w14:paraId="133F69C9">
            <w:pPr>
              <w:pStyle w:val="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27912E9E">
            <w:pPr>
              <w:pStyle w:val="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14AB0C27">
            <w:pPr>
              <w:spacing w:beforeAutospacing="0"/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 w14:paraId="21CCAB2A">
            <w:pPr>
              <w:pStyle w:val="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粗铅冶炼工艺简介</w:t>
            </w:r>
          </w:p>
          <w:p w14:paraId="42C738EC">
            <w:pPr>
              <w:pStyle w:val="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38F52C40">
            <w:pPr>
              <w:pStyle w:val="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5792470" cy="4716145"/>
                  <wp:effectExtent l="0" t="0" r="17780" b="8255"/>
                  <wp:docPr id="9" name="图片 9" descr="PHFRFP[X`QB{P$I]9@B(}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PHFRFP[X`QB{P$I]9@B(}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2470" cy="471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289D3B">
            <w:pPr>
              <w:pStyle w:val="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66F7B5C3">
            <w:pPr>
              <w:pStyle w:val="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66749658">
            <w:pPr>
              <w:pStyle w:val="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湖南恒晟环保科技有限公司</w:t>
            </w:r>
          </w:p>
          <w:p w14:paraId="48B48FC7">
            <w:pPr>
              <w:pStyle w:val="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6829C3A6">
            <w:pPr>
              <w:spacing w:line="300" w:lineRule="exact"/>
              <w:rPr>
                <w:rFonts w:ascii="Times New Roman" w:hAnsi="Times New Roman"/>
                <w:b/>
                <w:bCs/>
              </w:rPr>
            </w:pPr>
          </w:p>
          <w:p w14:paraId="5640EED6">
            <w:pPr>
              <w:spacing w:line="300" w:lineRule="exact"/>
              <w:rPr>
                <w:rFonts w:ascii="Times New Roman" w:hAnsi="Times New Roman"/>
                <w:b/>
                <w:bCs/>
              </w:rPr>
            </w:pPr>
          </w:p>
          <w:p w14:paraId="206D21C6">
            <w:pPr>
              <w:spacing w:line="300" w:lineRule="exact"/>
              <w:rPr>
                <w:rFonts w:ascii="Times New Roman" w:hAnsi="Times New Roman"/>
                <w:bCs/>
              </w:rPr>
            </w:pPr>
          </w:p>
        </w:tc>
      </w:tr>
    </w:tbl>
    <w:p w14:paraId="0B3F04BC">
      <w:pPr>
        <w:rPr>
          <w:rFonts w:ascii="Times New Roman" w:hAnsi="宋体"/>
          <w:sz w:val="28"/>
          <w:szCs w:val="28"/>
        </w:rPr>
      </w:pPr>
      <w:r>
        <w:rPr>
          <w:rFonts w:ascii="Times New Roman" w:hAnsi="宋体"/>
          <w:sz w:val="28"/>
          <w:szCs w:val="28"/>
        </w:rPr>
        <w:br w:type="page"/>
      </w:r>
    </w:p>
    <w:p w14:paraId="5C8A6590">
      <w:pPr>
        <w:rPr>
          <w:rFonts w:ascii="Times New Roman" w:hAnsi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BF2FD8E">
      <w:pPr>
        <w:numPr>
          <w:ilvl w:val="0"/>
          <w:numId w:val="2"/>
        </w:numPr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ascii="Times New Roman" w:hAnsi="Times New Roman"/>
          <w:sz w:val="28"/>
          <w:szCs w:val="28"/>
        </w:rPr>
        <w:t>上年度固体（危险）废物跨省转移情</w:t>
      </w:r>
      <w:r>
        <w:rPr>
          <w:rFonts w:hint="eastAsia" w:ascii="Times New Roman" w:hAnsi="Times New Roman"/>
          <w:sz w:val="28"/>
          <w:szCs w:val="28"/>
          <w:lang w:eastAsia="zh-CN"/>
        </w:rPr>
        <w:t>况</w:t>
      </w:r>
    </w:p>
    <w:tbl>
      <w:tblPr>
        <w:tblStyle w:val="8"/>
        <w:tblpPr w:leftFromText="180" w:rightFromText="180" w:vertAnchor="text" w:horzAnchor="page" w:tblpX="722" w:tblpY="274"/>
        <w:tblOverlap w:val="never"/>
        <w:tblW w:w="16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20"/>
        <w:gridCol w:w="334"/>
        <w:gridCol w:w="1315"/>
        <w:gridCol w:w="1710"/>
        <w:gridCol w:w="1861"/>
        <w:gridCol w:w="1260"/>
        <w:gridCol w:w="2483"/>
        <w:gridCol w:w="1297"/>
        <w:gridCol w:w="2700"/>
        <w:gridCol w:w="1260"/>
      </w:tblGrid>
      <w:tr w14:paraId="5CFBA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38010700">
            <w:pPr>
              <w:widowControl/>
              <w:spacing w:beforeAutospacing="0"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出厂日期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7855B5A2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转移批次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1680F3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联单编号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43AA1294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废物名称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 w14:paraId="08ECC1B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类别</w:t>
            </w:r>
            <w:r>
              <w:rPr>
                <w:rFonts w:ascii="Times New Roman" w:hAnsi="Times New Roman"/>
                <w:kern w:val="0"/>
                <w:szCs w:val="21"/>
              </w:rPr>
              <w:t>/</w:t>
            </w:r>
            <w:r>
              <w:rPr>
                <w:rFonts w:ascii="Times New Roman" w:hAnsi="宋体"/>
                <w:kern w:val="0"/>
                <w:szCs w:val="21"/>
              </w:rPr>
              <w:t>代码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2657B646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转移量（吨）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6C1518E1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宋体"/>
                <w:kern w:val="0"/>
                <w:szCs w:val="21"/>
              </w:rPr>
              <w:t>运输单位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092AB35B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车号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3BCEA1F6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接收单位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06306FED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接收日期</w:t>
            </w:r>
          </w:p>
        </w:tc>
      </w:tr>
      <w:tr w14:paraId="7CC96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4D73E67B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2022.07.30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5A7373E2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9DF9844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20223204028443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351041E2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 w14:paraId="3C597D35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624439BD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>34.167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24CC03D3"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35467A4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鲁DC1695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2A0EAAB8">
            <w:pPr>
              <w:widowControl/>
              <w:spacing w:line="240" w:lineRule="auto"/>
              <w:jc w:val="center"/>
              <w:rPr>
                <w:rFonts w:hint="eastAsia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147E9F4E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2022.08.01</w:t>
            </w:r>
          </w:p>
        </w:tc>
      </w:tr>
      <w:tr w14:paraId="5AD02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7744ED70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2022.07.30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5F0CFFE5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85C6B5A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20223204028455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12F81E6A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 w14:paraId="7D845477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567F82A3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>33.904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5AD6C5C5"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209F432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鲁DC3825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1CE11920">
            <w:pPr>
              <w:widowControl/>
              <w:spacing w:line="240" w:lineRule="auto"/>
              <w:jc w:val="center"/>
              <w:rPr>
                <w:rFonts w:hint="eastAsia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5334CB51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2022.08.01</w:t>
            </w:r>
          </w:p>
        </w:tc>
      </w:tr>
      <w:tr w14:paraId="1D5E3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29F725A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2022.07.30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3FD0B5DC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D20656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20223204028489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2A1E757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 w14:paraId="511C82C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43AFCF4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>33.134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2C29BA2E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464BF0B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皖P2D751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7C6BCF46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4BE44321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2022.08.02</w:t>
            </w:r>
          </w:p>
        </w:tc>
      </w:tr>
      <w:tr w14:paraId="40DD7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1A3668B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2022.07.30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54CF4533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67B9792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20223204028490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0DE1155C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 w14:paraId="6E89820D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3E1384C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>33.001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08822CCE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3EE39BC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皖P2D747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760554A3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5113409E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2022.08.02</w:t>
            </w:r>
          </w:p>
        </w:tc>
      </w:tr>
      <w:tr w14:paraId="2A315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6083DAC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2022.07.30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7ADABF73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2B30A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20223204028494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389E0F8C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 w14:paraId="7BE9794E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73B97B6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>33.056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3AA24A8B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7F8D82C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皖PB9511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65C3CBF3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421EA45D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2022.08.02</w:t>
            </w:r>
          </w:p>
        </w:tc>
      </w:tr>
      <w:tr w14:paraId="13699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24699D86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2022.07.30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56335E2B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07E1B5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20223204028496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1DD5D2AA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 w14:paraId="5295073B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377B82A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>34.803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3F0F9861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6F987B8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冀B1311L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2833E6EA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191AC23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2022.08.02</w:t>
            </w:r>
          </w:p>
        </w:tc>
      </w:tr>
      <w:tr w14:paraId="2203D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03659BE3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2022.07.30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01166FDF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619D62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20223204028497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2CC1D68C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 w14:paraId="256E9504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1F645A2C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>34.715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74AC5FB8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250C0E8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冀B7985M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480812BB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063A9F2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2022.08.03</w:t>
            </w:r>
          </w:p>
        </w:tc>
      </w:tr>
      <w:tr w14:paraId="77986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00762C85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2022.07.30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64CC244F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813FA2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20223204028491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24E171A6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 w14:paraId="2D85B38B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080E383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>34.036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3711603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42B363A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皖KV1306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075CA88C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2FEB7FCC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2022.08.01</w:t>
            </w:r>
          </w:p>
        </w:tc>
      </w:tr>
      <w:tr w14:paraId="0B8B6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180736C7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2022.07.30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7B6FEAA1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641139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20223204028476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60A19D6C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 w14:paraId="007BD942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41AB5F7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>33.035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15F5BD11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7D52695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皖P2E736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37C5850D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6FC51EF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2022.08.02</w:t>
            </w:r>
          </w:p>
        </w:tc>
      </w:tr>
      <w:tr w14:paraId="37D66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03E2204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2022.07.30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376A6FF7"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59BDEB7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20223204028459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14DCB8AC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 w14:paraId="7A0F03C1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5489D8D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>33.496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66101E7D"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4503073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皖PB8580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299A2E42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3C23E03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2022.08.02</w:t>
            </w:r>
          </w:p>
        </w:tc>
      </w:tr>
      <w:tr w14:paraId="6467B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485CF22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2022.07.30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0FCE4442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3AEDEF3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20223204028457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68C19C96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 w14:paraId="5B35DBEE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23FDDB0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>33.017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77298D2C"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356D2A8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皖P2D070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2194AC1A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60246C4B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2022.08.01</w:t>
            </w:r>
          </w:p>
        </w:tc>
      </w:tr>
      <w:tr w14:paraId="3EB2E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37BCF28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2022.07.30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51BDDCB3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88A4CE2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20223204028482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75E5111A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 w14:paraId="305D5901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3DCF5A8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>33.338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1878CD0F"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3D8CE59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鲁DD6863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62C9222B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72322801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2022.08.02</w:t>
            </w:r>
          </w:p>
        </w:tc>
      </w:tr>
      <w:tr w14:paraId="1D0F9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1AB5ECEE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2022.7.31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24BA6155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D560F6E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20223204028512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7D6AEAA5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 w14:paraId="70687E86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42673A25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34.182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2762CAB5"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7968DE8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皖PB4002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67D306FF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6572ADFE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2022.08.03</w:t>
            </w:r>
          </w:p>
        </w:tc>
      </w:tr>
      <w:tr w14:paraId="6F8C3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71FB59D5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2022.07.31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3E376B2D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82073F3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20223204028515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57E5E59B">
            <w:pPr>
              <w:widowControl/>
              <w:spacing w:line="240" w:lineRule="auto"/>
              <w:jc w:val="center"/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 w14:paraId="33ECD16B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0CAC7FB4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34.334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5FF0CB13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1484B96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皖PC1466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61EAE428">
            <w:pPr>
              <w:widowControl/>
              <w:spacing w:line="240" w:lineRule="auto"/>
              <w:jc w:val="center"/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63C074EC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2022.08.03</w:t>
            </w:r>
          </w:p>
        </w:tc>
      </w:tr>
      <w:tr w14:paraId="10947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4F26C7C6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2022.07.31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316B98C3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F55C68F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2022324028517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27B5E15C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 w14:paraId="24D454DB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66BF4644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>34.42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52371E61"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7E8E7B6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皖PC0563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3F03E6AA">
            <w:pPr>
              <w:widowControl/>
              <w:spacing w:line="240" w:lineRule="auto"/>
              <w:jc w:val="center"/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tbl>
            <w:tblPr>
              <w:tblStyle w:val="8"/>
              <w:tblW w:w="1620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60"/>
            </w:tblGrid>
            <w:tr w14:paraId="656E4FB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126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44AEACC6">
                  <w:pPr>
                    <w:widowControl/>
                    <w:spacing w:line="240" w:lineRule="auto"/>
                    <w:jc w:val="center"/>
                    <w:rPr>
                      <w:rFonts w:hint="default" w:ascii="Times New Roman" w:hAnsi="Times New Roman"/>
                      <w:kern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eastAsia"/>
                      <w:kern w:val="0"/>
                      <w:sz w:val="20"/>
                      <w:szCs w:val="20"/>
                      <w:lang w:val="en-US" w:eastAsia="zh-CN"/>
                    </w:rPr>
                    <w:t>2022.08.03</w:t>
                  </w:r>
                </w:p>
              </w:tc>
            </w:tr>
          </w:tbl>
          <w:p w14:paraId="53502D64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148B3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3812E527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2022.07.31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46F168C7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B81823C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20223204028525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066E3101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 w14:paraId="64538AAD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67D769CE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>33.234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36D899B5"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51AE766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皖PB4571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0E10F4FD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2866A1A5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2022.08.03</w:t>
            </w:r>
          </w:p>
        </w:tc>
      </w:tr>
      <w:tr w14:paraId="2995C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1C4E259A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2022.07.31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6C1CC32A"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E1709DE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20223204028533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07017CDC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 w14:paraId="3E6661C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18DFFB85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>34.125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14DB634D"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0B842DB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皖PA8289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575B1732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785102E8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2022.08.03</w:t>
            </w:r>
          </w:p>
        </w:tc>
      </w:tr>
      <w:tr w14:paraId="66855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15BD551D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2022.07.31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0D382FBF"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B5D98AB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20223204028534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27A6728A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 w14:paraId="257EEC9D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64C56681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>34.297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691F389F"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2C613EF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皖P15077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170BA11C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25E87B20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2022.08.03</w:t>
            </w:r>
          </w:p>
        </w:tc>
      </w:tr>
      <w:tr w14:paraId="6B91C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7A9D0CF8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2022.07.31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1939756D"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E052C05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20223204028541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23250EBD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 w14:paraId="2DB9FAF8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4E6CE479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>33.828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4B52267B"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64C1BB1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皖P2E157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0816ECEF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04A342DA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2022.08.02</w:t>
            </w:r>
          </w:p>
        </w:tc>
      </w:tr>
      <w:tr w14:paraId="451B1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5213E42C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2022.07.31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36EDE84D"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3D0E9BC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20223204028511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1EFED043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 w14:paraId="684C6643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4D8B60C2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>34.11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2D3E9EC0"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4C84A94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鲁DC6751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7A1E95D8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38966559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2022.08.03</w:t>
            </w:r>
          </w:p>
        </w:tc>
      </w:tr>
      <w:tr w14:paraId="5464F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3BC68772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2022.08.25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122A8F3A">
            <w:pPr>
              <w:widowControl/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E5478CD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20223204032470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006B85DD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 w14:paraId="011A37ED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528321EF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>34.261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794EC9B5"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3D3EB74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鲁DE0820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456657FE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334086EC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2022.08.27</w:t>
            </w:r>
          </w:p>
        </w:tc>
      </w:tr>
      <w:tr w14:paraId="1D520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089FED8A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2022.09.08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293B65C7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C957051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20223204034703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23C8A64D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 w14:paraId="7D2013B7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454B8B25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>33.645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063E3669"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7BF8749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皖KU3985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1DCD82A3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湖南恒晟环保科技有限公司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10CF29CC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2022.09.10</w:t>
            </w:r>
          </w:p>
        </w:tc>
      </w:tr>
      <w:tr w14:paraId="38BE1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59F81C74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2022.09.21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4FD2A0B0"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2DB0C3E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20223204036728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1ED8527F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 w14:paraId="4C2102E4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3890052A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33.361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630466A4"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郴州市宏顺物流有限公司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7EBE4B0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豫ND6509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64EC0738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344B0EAA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2022.09.23</w:t>
            </w:r>
          </w:p>
        </w:tc>
      </w:tr>
      <w:tr w14:paraId="39F00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03B9186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88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793BC4CF">
            <w:pPr>
              <w:widowControl/>
              <w:spacing w:line="240" w:lineRule="auto"/>
              <w:jc w:val="both"/>
              <w:rPr>
                <w:rFonts w:hint="eastAsia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777.499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吨</w:t>
            </w:r>
          </w:p>
        </w:tc>
      </w:tr>
    </w:tbl>
    <w:p w14:paraId="1B82C0E5">
      <w:pPr>
        <w:jc w:val="both"/>
        <w:rPr>
          <w:rFonts w:hint="eastAsia" w:ascii="仿宋" w:hAnsi="仿宋" w:eastAsia="仿宋" w:cs="仿宋"/>
          <w:sz w:val="28"/>
          <w:szCs w:val="28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-180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Song-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682080"/>
    <w:multiLevelType w:val="multilevel"/>
    <w:tmpl w:val="35682080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2B352B9"/>
    <w:multiLevelType w:val="singleLevel"/>
    <w:tmpl w:val="52B352B9"/>
    <w:lvl w:ilvl="0" w:tentative="0">
      <w:start w:val="3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ZTcxY2QxMzQ3NzQ4ZjAxMWJhYjg4YzVmNmNiNzMifQ=="/>
  </w:docVars>
  <w:rsids>
    <w:rsidRoot w:val="04756B72"/>
    <w:rsid w:val="0006128D"/>
    <w:rsid w:val="0023355F"/>
    <w:rsid w:val="003E1C5A"/>
    <w:rsid w:val="005508BE"/>
    <w:rsid w:val="005C31ED"/>
    <w:rsid w:val="0073326B"/>
    <w:rsid w:val="007523FB"/>
    <w:rsid w:val="009E2AE3"/>
    <w:rsid w:val="00AC03E2"/>
    <w:rsid w:val="00C63AE0"/>
    <w:rsid w:val="00FA5924"/>
    <w:rsid w:val="016D0077"/>
    <w:rsid w:val="026478F5"/>
    <w:rsid w:val="03451A50"/>
    <w:rsid w:val="03B519C6"/>
    <w:rsid w:val="04756B72"/>
    <w:rsid w:val="04A526FB"/>
    <w:rsid w:val="05C173E2"/>
    <w:rsid w:val="05ED2494"/>
    <w:rsid w:val="06845D1E"/>
    <w:rsid w:val="06DA3641"/>
    <w:rsid w:val="07396746"/>
    <w:rsid w:val="07B3343A"/>
    <w:rsid w:val="088C1A38"/>
    <w:rsid w:val="09712D40"/>
    <w:rsid w:val="09C904C7"/>
    <w:rsid w:val="0B197AB4"/>
    <w:rsid w:val="0C5B427C"/>
    <w:rsid w:val="0CD12600"/>
    <w:rsid w:val="0D33156C"/>
    <w:rsid w:val="0E690C2A"/>
    <w:rsid w:val="0F544CF5"/>
    <w:rsid w:val="0F8029B9"/>
    <w:rsid w:val="10ED70FC"/>
    <w:rsid w:val="1103494A"/>
    <w:rsid w:val="11A21CAE"/>
    <w:rsid w:val="121B0964"/>
    <w:rsid w:val="12622FF4"/>
    <w:rsid w:val="12BA5F53"/>
    <w:rsid w:val="12CF725E"/>
    <w:rsid w:val="12E01924"/>
    <w:rsid w:val="13A64AD9"/>
    <w:rsid w:val="144B06BE"/>
    <w:rsid w:val="16267AE6"/>
    <w:rsid w:val="166D0D4D"/>
    <w:rsid w:val="171657DF"/>
    <w:rsid w:val="178A4BAD"/>
    <w:rsid w:val="179054DE"/>
    <w:rsid w:val="17AD4FCE"/>
    <w:rsid w:val="181C7EB0"/>
    <w:rsid w:val="198D180A"/>
    <w:rsid w:val="19937568"/>
    <w:rsid w:val="1A3306CF"/>
    <w:rsid w:val="1C092B88"/>
    <w:rsid w:val="1CA36348"/>
    <w:rsid w:val="1CF97575"/>
    <w:rsid w:val="1D907B1C"/>
    <w:rsid w:val="1F795A10"/>
    <w:rsid w:val="20EA1BF7"/>
    <w:rsid w:val="21657FD7"/>
    <w:rsid w:val="21F55AD8"/>
    <w:rsid w:val="221327CF"/>
    <w:rsid w:val="22C476F8"/>
    <w:rsid w:val="22CA6BC3"/>
    <w:rsid w:val="245658CA"/>
    <w:rsid w:val="25370166"/>
    <w:rsid w:val="270B60C2"/>
    <w:rsid w:val="27216D62"/>
    <w:rsid w:val="27863109"/>
    <w:rsid w:val="27A14B3E"/>
    <w:rsid w:val="27E83BEA"/>
    <w:rsid w:val="283D2E8F"/>
    <w:rsid w:val="298C1387"/>
    <w:rsid w:val="29AD69CC"/>
    <w:rsid w:val="29B43EB6"/>
    <w:rsid w:val="2A0807BA"/>
    <w:rsid w:val="2CFB12A7"/>
    <w:rsid w:val="2E6E589E"/>
    <w:rsid w:val="2E8F645A"/>
    <w:rsid w:val="2E9E1974"/>
    <w:rsid w:val="2F73370B"/>
    <w:rsid w:val="305F0AD9"/>
    <w:rsid w:val="30696528"/>
    <w:rsid w:val="3079418D"/>
    <w:rsid w:val="33436AD5"/>
    <w:rsid w:val="33B20AA0"/>
    <w:rsid w:val="347A7FA4"/>
    <w:rsid w:val="34A87330"/>
    <w:rsid w:val="37B22073"/>
    <w:rsid w:val="39B24AAF"/>
    <w:rsid w:val="3A5F7499"/>
    <w:rsid w:val="3C0F13FF"/>
    <w:rsid w:val="3C875F3D"/>
    <w:rsid w:val="3CC33B82"/>
    <w:rsid w:val="3DC403E9"/>
    <w:rsid w:val="3E2F3CEF"/>
    <w:rsid w:val="3F1E7AC0"/>
    <w:rsid w:val="3F1F7D03"/>
    <w:rsid w:val="40AD06B3"/>
    <w:rsid w:val="40E302D2"/>
    <w:rsid w:val="42244F46"/>
    <w:rsid w:val="4261262A"/>
    <w:rsid w:val="426917C9"/>
    <w:rsid w:val="428125F9"/>
    <w:rsid w:val="434635A7"/>
    <w:rsid w:val="43B835F7"/>
    <w:rsid w:val="46976F25"/>
    <w:rsid w:val="48962A8F"/>
    <w:rsid w:val="489B28DF"/>
    <w:rsid w:val="49A61DE1"/>
    <w:rsid w:val="4A0D3F70"/>
    <w:rsid w:val="4ABE3A2A"/>
    <w:rsid w:val="4AD60806"/>
    <w:rsid w:val="4AF705BD"/>
    <w:rsid w:val="4B607322"/>
    <w:rsid w:val="4B8E5AAC"/>
    <w:rsid w:val="4BD5136D"/>
    <w:rsid w:val="4C1B08D1"/>
    <w:rsid w:val="4C235CCD"/>
    <w:rsid w:val="4C8B0C0C"/>
    <w:rsid w:val="4C937790"/>
    <w:rsid w:val="4C9F3C5F"/>
    <w:rsid w:val="4CEF498F"/>
    <w:rsid w:val="4EF126BD"/>
    <w:rsid w:val="4F2563AE"/>
    <w:rsid w:val="4FFB6482"/>
    <w:rsid w:val="50643684"/>
    <w:rsid w:val="50764699"/>
    <w:rsid w:val="519E15CA"/>
    <w:rsid w:val="523F083A"/>
    <w:rsid w:val="525A7E58"/>
    <w:rsid w:val="52925AE1"/>
    <w:rsid w:val="53261175"/>
    <w:rsid w:val="532C2C75"/>
    <w:rsid w:val="53BB18FE"/>
    <w:rsid w:val="53F82099"/>
    <w:rsid w:val="541906FD"/>
    <w:rsid w:val="54274100"/>
    <w:rsid w:val="549847B9"/>
    <w:rsid w:val="56A925FF"/>
    <w:rsid w:val="57572CFE"/>
    <w:rsid w:val="57E74AEA"/>
    <w:rsid w:val="589757C4"/>
    <w:rsid w:val="58ED4F1E"/>
    <w:rsid w:val="59435E9B"/>
    <w:rsid w:val="5A493425"/>
    <w:rsid w:val="5A49669A"/>
    <w:rsid w:val="60666014"/>
    <w:rsid w:val="608570AF"/>
    <w:rsid w:val="618A7356"/>
    <w:rsid w:val="62311865"/>
    <w:rsid w:val="626013D1"/>
    <w:rsid w:val="64B93F94"/>
    <w:rsid w:val="663233F9"/>
    <w:rsid w:val="67AD5C64"/>
    <w:rsid w:val="68132EF5"/>
    <w:rsid w:val="68773C97"/>
    <w:rsid w:val="68943CA6"/>
    <w:rsid w:val="69493412"/>
    <w:rsid w:val="69751DD9"/>
    <w:rsid w:val="6B7417B4"/>
    <w:rsid w:val="6C417D7E"/>
    <w:rsid w:val="6D56199F"/>
    <w:rsid w:val="6E53215E"/>
    <w:rsid w:val="6EFD4AD4"/>
    <w:rsid w:val="6FFA064B"/>
    <w:rsid w:val="70060051"/>
    <w:rsid w:val="70C97277"/>
    <w:rsid w:val="70E02966"/>
    <w:rsid w:val="710C44A3"/>
    <w:rsid w:val="74456C07"/>
    <w:rsid w:val="74E77319"/>
    <w:rsid w:val="75B02C1B"/>
    <w:rsid w:val="78C05985"/>
    <w:rsid w:val="7BA37EF9"/>
    <w:rsid w:val="7C1B6626"/>
    <w:rsid w:val="7C270CE3"/>
    <w:rsid w:val="7D0A0092"/>
    <w:rsid w:val="7E140C22"/>
    <w:rsid w:val="7FAD57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customStyle="1" w:styleId="3">
    <w:name w:val="xl27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-18030" w:hAnsi="新宋体-18030" w:eastAsia="新宋体-18030" w:cs="新宋体-18030"/>
      <w:kern w:val="0"/>
    </w:rPr>
  </w:style>
  <w:style w:type="paragraph" w:styleId="5">
    <w:name w:val="Plain Text"/>
    <w:basedOn w:val="1"/>
    <w:unhideWhenUsed/>
    <w:qFormat/>
    <w:uiPriority w:val="99"/>
    <w:pPr>
      <w:spacing w:line="240" w:lineRule="auto"/>
    </w:pPr>
    <w:rPr>
      <w:rFonts w:ascii="宋体" w:hAnsi="Courier New" w:cs="Courier New"/>
      <w:szCs w:val="21"/>
    </w:r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select"/>
    <w:basedOn w:val="9"/>
    <w:qFormat/>
    <w:uiPriority w:val="0"/>
    <w:rPr>
      <w:color w:val="1E8AE5"/>
    </w:rPr>
  </w:style>
  <w:style w:type="character" w:customStyle="1" w:styleId="13">
    <w:name w:val="hover5"/>
    <w:basedOn w:val="9"/>
    <w:qFormat/>
    <w:uiPriority w:val="0"/>
    <w:rPr>
      <w:u w:val="single"/>
    </w:rPr>
  </w:style>
  <w:style w:type="character" w:customStyle="1" w:styleId="14">
    <w:name w:val="hover6"/>
    <w:basedOn w:val="9"/>
    <w:qFormat/>
    <w:uiPriority w:val="0"/>
    <w:rPr>
      <w:u w:val="single"/>
    </w:rPr>
  </w:style>
  <w:style w:type="character" w:customStyle="1" w:styleId="15">
    <w:name w:val="nvpt1"/>
    <w:basedOn w:val="9"/>
    <w:qFormat/>
    <w:uiPriority w:val="0"/>
    <w:rPr>
      <w:color w:val="1E8AE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5034</Words>
  <Characters>6548</Characters>
  <Lines>2</Lines>
  <Paragraphs>1</Paragraphs>
  <TotalTime>3</TotalTime>
  <ScaleCrop>false</ScaleCrop>
  <LinksUpToDate>false</LinksUpToDate>
  <CharactersWithSpaces>6980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2017-06-26T03:19:00Z</dcterms:created>
  <dc:creator>xuejianhua</dc:creator>
  <cp:lastModifiedBy>烨</cp:lastModifiedBy>
  <cp:lastPrinted>2022-12-16T02:33:00Z</cp:lastPrinted>
  <dcterms:modified xsi:type="dcterms:W3CDTF">2025-07-21T06:51:36Z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9BB3F30C06FA456993A7F923ACBEA025</vt:lpwstr>
  </property>
  <property fmtid="{D5CDD505-2E9C-101B-9397-08002B2CF9AE}" pid="4" name="KSOTemplateDocerSaveRecord">
    <vt:lpwstr>eyJoZGlkIjoiZjhmZDViYmJhNjUzZDZlOWQxZGI0NDQ2NjQwMGU4ZmQiLCJ1c2VySWQiOiI3NDc5OTMxNTcifQ==</vt:lpwstr>
  </property>
</Properties>
</file>