
<file path=[Content_Types].xml><?xml version="1.0" encoding="utf-8"?>
<Types xmlns="http://schemas.openxmlformats.org/package/2006/content-types">
  <Default Extension="xml" ContentType="application/xml"/>
  <Default Extension="emf" ContentType="image/x-e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FDC08BB">
      <w:pPr>
        <w:jc w:val="center"/>
        <w:rPr>
          <w:rFonts w:ascii="Times New Roman" w:hAnsi="Times New Roman" w:eastAsia="黑体"/>
          <w:sz w:val="52"/>
        </w:rPr>
      </w:pPr>
    </w:p>
    <w:p w14:paraId="20321044">
      <w:pPr>
        <w:jc w:val="center"/>
        <w:rPr>
          <w:rFonts w:ascii="Times New Roman" w:hAnsi="Times New Roman" w:eastAsia="黑体"/>
          <w:sz w:val="52"/>
        </w:rPr>
      </w:pPr>
    </w:p>
    <w:p w14:paraId="7D6EE776">
      <w:pPr>
        <w:jc w:val="center"/>
        <w:rPr>
          <w:rFonts w:ascii="Times New Roman" w:hAnsi="Times New Roman" w:eastAsia="方正小标宋_GBK"/>
          <w:b/>
          <w:sz w:val="52"/>
          <w:szCs w:val="52"/>
        </w:rPr>
      </w:pPr>
    </w:p>
    <w:p w14:paraId="29E7F21A">
      <w:pPr>
        <w:jc w:val="center"/>
        <w:rPr>
          <w:rFonts w:ascii="Times New Roman" w:hAnsi="Times New Roman" w:eastAsia="方正小标宋_GBK"/>
          <w:sz w:val="52"/>
          <w:szCs w:val="52"/>
        </w:rPr>
      </w:pPr>
      <w:r>
        <w:rPr>
          <w:rFonts w:hint="eastAsia" w:ascii="Times New Roman" w:hAnsi="Times New Roman" w:eastAsia="方正小标宋_GBK"/>
          <w:sz w:val="52"/>
          <w:szCs w:val="52"/>
        </w:rPr>
        <w:t>江苏省固体（危险）废物</w:t>
      </w:r>
    </w:p>
    <w:p w14:paraId="1D1CEDB4">
      <w:pPr>
        <w:jc w:val="center"/>
        <w:rPr>
          <w:rFonts w:ascii="Times New Roman" w:hAnsi="Times New Roman" w:eastAsia="方正小标宋_GBK"/>
          <w:sz w:val="52"/>
          <w:szCs w:val="52"/>
        </w:rPr>
      </w:pPr>
      <w:r>
        <w:rPr>
          <w:rFonts w:hint="eastAsia" w:ascii="Times New Roman" w:hAnsi="Times New Roman" w:eastAsia="方正小标宋_GBK"/>
          <w:sz w:val="52"/>
          <w:szCs w:val="52"/>
        </w:rPr>
        <w:t>跨省（市）转移实施方案</w:t>
      </w:r>
    </w:p>
    <w:p w14:paraId="4277579C">
      <w:pPr>
        <w:jc w:val="center"/>
        <w:rPr>
          <w:rFonts w:ascii="Times New Roman" w:hAnsi="Times New Roman"/>
          <w:sz w:val="52"/>
        </w:rPr>
      </w:pPr>
    </w:p>
    <w:p w14:paraId="2F3B535F">
      <w:pPr>
        <w:jc w:val="center"/>
        <w:rPr>
          <w:rFonts w:ascii="Times New Roman" w:hAnsi="Times New Roman"/>
          <w:sz w:val="52"/>
        </w:rPr>
      </w:pPr>
    </w:p>
    <w:p w14:paraId="7F459ECB">
      <w:pPr>
        <w:jc w:val="center"/>
        <w:rPr>
          <w:rFonts w:ascii="Times New Roman" w:hAnsi="Times New Roman"/>
        </w:rPr>
      </w:pPr>
    </w:p>
    <w:p w14:paraId="47843AB6">
      <w:pPr>
        <w:rPr>
          <w:rFonts w:ascii="Times New Roman" w:hAnsi="Times New Roman"/>
        </w:rPr>
      </w:pPr>
    </w:p>
    <w:p w14:paraId="513E3E95">
      <w:pPr>
        <w:rPr>
          <w:rFonts w:ascii="Times New Roman" w:hAnsi="Times New Roman"/>
        </w:rPr>
      </w:pPr>
    </w:p>
    <w:p w14:paraId="317F6979">
      <w:pPr>
        <w:rPr>
          <w:rFonts w:ascii="Times New Roman" w:hAnsi="Times New Roman"/>
        </w:rPr>
      </w:pPr>
    </w:p>
    <w:p w14:paraId="54757AD9">
      <w:pPr>
        <w:rPr>
          <w:rFonts w:ascii="Times New Roman" w:hAnsi="Times New Roman"/>
        </w:rPr>
      </w:pPr>
    </w:p>
    <w:p w14:paraId="5D7EC4B0">
      <w:pPr>
        <w:pStyle w:val="2"/>
        <w:tabs>
          <w:tab w:val="left" w:pos="5940"/>
        </w:tabs>
        <w:snapToGrid w:val="0"/>
        <w:ind w:firstLine="964" w:firstLineChars="300"/>
        <w:rPr>
          <w:rFonts w:ascii="Times New Roman" w:hAnsi="Times New Roman"/>
          <w:b/>
          <w:sz w:val="32"/>
        </w:rPr>
      </w:pPr>
      <w:r>
        <w:rPr>
          <w:rFonts w:hint="eastAsia" w:ascii="Times New Roman" w:hAnsi="宋体"/>
          <w:b/>
          <w:sz w:val="32"/>
        </w:rPr>
        <w:t>申请单位：</w:t>
      </w:r>
      <w:r>
        <w:rPr>
          <w:rFonts w:hint="eastAsia" w:ascii="Times New Roman" w:hAnsi="宋体"/>
          <w:b/>
          <w:sz w:val="32"/>
          <w:u w:val="single"/>
          <w:lang w:eastAsia="zh-CN"/>
        </w:rPr>
        <w:t>江苏九洲包装科技有限公司</w:t>
      </w:r>
      <w:r>
        <w:rPr>
          <w:rFonts w:hint="eastAsia" w:ascii="Times New Roman" w:hAnsi="宋体"/>
          <w:b/>
          <w:sz w:val="32"/>
        </w:rPr>
        <w:t>（公章）</w:t>
      </w:r>
    </w:p>
    <w:p w14:paraId="536E1396">
      <w:pPr>
        <w:tabs>
          <w:tab w:val="left" w:pos="5940"/>
        </w:tabs>
        <w:rPr>
          <w:rFonts w:ascii="Times New Roman" w:hAnsi="Times New Roman"/>
          <w:b/>
          <w:sz w:val="32"/>
        </w:rPr>
      </w:pPr>
    </w:p>
    <w:p w14:paraId="1BB076CF">
      <w:pPr>
        <w:tabs>
          <w:tab w:val="left" w:pos="5940"/>
        </w:tabs>
        <w:rPr>
          <w:rFonts w:ascii="Times New Roman" w:hAnsi="Times New Roman"/>
          <w:b/>
          <w:sz w:val="32"/>
        </w:rPr>
      </w:pPr>
    </w:p>
    <w:p w14:paraId="2FA060BB">
      <w:pPr>
        <w:pStyle w:val="2"/>
        <w:tabs>
          <w:tab w:val="left" w:pos="5940"/>
        </w:tabs>
        <w:snapToGrid w:val="0"/>
        <w:ind w:firstLine="1928" w:firstLineChars="600"/>
        <w:rPr>
          <w:rFonts w:ascii="Times New Roman" w:hAnsi="宋体"/>
          <w:b/>
          <w:sz w:val="32"/>
        </w:rPr>
      </w:pPr>
      <w:r>
        <w:rPr>
          <w:rFonts w:hint="eastAsia" w:ascii="Times New Roman" w:hAnsi="宋体"/>
          <w:b/>
          <w:sz w:val="32"/>
        </w:rPr>
        <w:t>填报日期：</w:t>
      </w:r>
      <w:r>
        <w:rPr>
          <w:rFonts w:ascii="Times New Roman" w:hAnsi="宋体"/>
          <w:b/>
          <w:sz w:val="32"/>
        </w:rPr>
        <w:t xml:space="preserve">  20</w:t>
      </w:r>
      <w:r>
        <w:rPr>
          <w:rFonts w:hint="eastAsia" w:ascii="Times New Roman" w:hAnsi="宋体"/>
          <w:b/>
          <w:sz w:val="32"/>
          <w:lang w:val="en-US" w:eastAsia="zh-CN"/>
        </w:rPr>
        <w:t>22</w:t>
      </w:r>
      <w:r>
        <w:rPr>
          <w:rFonts w:hint="eastAsia" w:ascii="Times New Roman" w:hAnsi="宋体"/>
          <w:b/>
          <w:sz w:val="32"/>
        </w:rPr>
        <w:t>年</w:t>
      </w:r>
      <w:r>
        <w:rPr>
          <w:rFonts w:hint="eastAsia" w:ascii="Times New Roman" w:hAnsi="宋体"/>
          <w:b/>
          <w:sz w:val="32"/>
          <w:lang w:val="en-US" w:eastAsia="zh-CN"/>
        </w:rPr>
        <w:t>11</w:t>
      </w:r>
      <w:r>
        <w:rPr>
          <w:rFonts w:hint="eastAsia" w:ascii="Times New Roman" w:hAnsi="宋体"/>
          <w:b/>
          <w:sz w:val="32"/>
        </w:rPr>
        <w:t>月</w:t>
      </w:r>
      <w:r>
        <w:rPr>
          <w:rFonts w:hint="eastAsia" w:ascii="Times New Roman" w:hAnsi="宋体"/>
          <w:b/>
          <w:sz w:val="32"/>
          <w:lang w:val="en-US" w:eastAsia="zh-CN"/>
        </w:rPr>
        <w:t>5</w:t>
      </w:r>
      <w:r>
        <w:rPr>
          <w:rFonts w:hint="eastAsia" w:ascii="Times New Roman" w:hAnsi="宋体"/>
          <w:b/>
          <w:sz w:val="32"/>
        </w:rPr>
        <w:t>日</w:t>
      </w:r>
    </w:p>
    <w:p w14:paraId="52709C30">
      <w:pPr>
        <w:tabs>
          <w:tab w:val="left" w:pos="5940"/>
        </w:tabs>
        <w:spacing w:line="400" w:lineRule="exact"/>
        <w:rPr>
          <w:rFonts w:ascii="Times New Roman" w:hAnsi="Times New Roman"/>
          <w:b/>
          <w:sz w:val="24"/>
        </w:rPr>
      </w:pPr>
    </w:p>
    <w:p w14:paraId="154B8C67">
      <w:pPr>
        <w:tabs>
          <w:tab w:val="left" w:pos="5940"/>
        </w:tabs>
        <w:spacing w:line="400" w:lineRule="exact"/>
        <w:jc w:val="center"/>
        <w:rPr>
          <w:rFonts w:hint="eastAsia" w:ascii="Times New Roman" w:hAnsi="宋体"/>
          <w:b/>
          <w:sz w:val="24"/>
        </w:rPr>
      </w:pPr>
    </w:p>
    <w:p w14:paraId="472C895B">
      <w:pPr>
        <w:tabs>
          <w:tab w:val="left" w:pos="5940"/>
        </w:tabs>
        <w:spacing w:line="400" w:lineRule="exact"/>
        <w:jc w:val="center"/>
        <w:rPr>
          <w:rFonts w:hint="eastAsia" w:ascii="Times New Roman" w:hAnsi="宋体"/>
          <w:b/>
          <w:sz w:val="24"/>
        </w:rPr>
      </w:pPr>
    </w:p>
    <w:p w14:paraId="214BEE88">
      <w:pPr>
        <w:tabs>
          <w:tab w:val="left" w:pos="5940"/>
        </w:tabs>
        <w:spacing w:line="400" w:lineRule="exact"/>
        <w:jc w:val="center"/>
        <w:rPr>
          <w:rFonts w:ascii="Times New Roman" w:hAnsi="Times New Roman"/>
          <w:sz w:val="28"/>
          <w:szCs w:val="28"/>
        </w:rPr>
        <w:sectPr>
          <w:pgSz w:w="11906" w:h="16838"/>
          <w:pgMar w:top="1440" w:right="1800" w:bottom="1440" w:left="1800" w:header="851" w:footer="992" w:gutter="0"/>
          <w:pgNumType w:start="1"/>
          <w:cols w:space="425" w:num="1"/>
          <w:docGrid w:type="lines" w:linePitch="286" w:charSpace="0"/>
        </w:sectPr>
      </w:pPr>
      <w:r>
        <w:rPr>
          <w:rFonts w:hint="eastAsia" w:ascii="Times New Roman" w:hAnsi="宋体"/>
          <w:b/>
          <w:sz w:val="28"/>
          <w:szCs w:val="28"/>
        </w:rPr>
        <w:t>江苏省环境保护厅制</w:t>
      </w:r>
    </w:p>
    <w:p w14:paraId="17094BB7">
      <w:pPr>
        <w:ind w:right="-794" w:rightChars="-361"/>
        <w:jc w:val="center"/>
        <w:rPr>
          <w:rFonts w:ascii="Times New Roman" w:hAnsi="Times New Roman" w:eastAsia="方正小标宋_GBK"/>
          <w:sz w:val="44"/>
          <w:szCs w:val="44"/>
        </w:rPr>
      </w:pPr>
      <w:r>
        <w:rPr>
          <w:rFonts w:hint="eastAsia" w:ascii="Times New Roman" w:hAnsi="Times New Roman" w:eastAsia="方正小标宋_GBK"/>
          <w:sz w:val="44"/>
          <w:szCs w:val="44"/>
        </w:rPr>
        <w:t>申请者声明</w:t>
      </w:r>
    </w:p>
    <w:p w14:paraId="77757BFB">
      <w:pPr>
        <w:ind w:right="-794" w:rightChars="-361"/>
        <w:jc w:val="center"/>
        <w:rPr>
          <w:rFonts w:ascii="Times New Roman" w:hAnsi="Times New Roman" w:eastAsia="方正小标宋_GBK"/>
          <w:b/>
          <w:sz w:val="44"/>
          <w:szCs w:val="44"/>
        </w:rPr>
      </w:pPr>
    </w:p>
    <w:p w14:paraId="55B7BFF6">
      <w:pPr>
        <w:spacing w:line="360" w:lineRule="auto"/>
        <w:ind w:left="-220" w:leftChars="-100" w:right="-220" w:rightChars="-100" w:firstLine="640" w:firstLineChars="200"/>
        <w:rPr>
          <w:rFonts w:ascii="Times New Roman" w:hAnsi="Times New Roman" w:eastAsia="方正仿宋_GBK"/>
          <w:sz w:val="32"/>
          <w:szCs w:val="32"/>
        </w:rPr>
      </w:pPr>
      <w:r>
        <w:rPr>
          <w:rFonts w:hint="eastAsia" w:ascii="Times New Roman" w:hAnsi="方正仿宋_GBK" w:eastAsia="方正仿宋_GBK"/>
          <w:sz w:val="32"/>
          <w:szCs w:val="32"/>
        </w:rPr>
        <w:t>我代表申请单位郑重承诺：本实施方案所填资料是完整的和真实的。转移的危险废物名称、类别、代码、数量与实际相符。危险废物接受单位具备相应的处置利用能力和污染防治措施。委托有资质单位进行运输并按照制定的运输路线运输，保证转移的废物均到达接收单位进行安全处置处理，对转移过程中可能产生的环境风险提出合理的控制措施，实行跨省（市）转移网上报告，承担转移全过程监控责任。</w:t>
      </w:r>
    </w:p>
    <w:p w14:paraId="0521467E">
      <w:pPr>
        <w:ind w:left="-220" w:leftChars="-100" w:right="-220" w:rightChars="-100" w:firstLine="1264"/>
        <w:rPr>
          <w:rFonts w:ascii="Times New Roman" w:hAnsi="Times New Roman" w:eastAsia="方正仿宋_GBK"/>
          <w:sz w:val="36"/>
          <w:szCs w:val="36"/>
        </w:rPr>
      </w:pPr>
    </w:p>
    <w:p w14:paraId="454826A2">
      <w:pPr>
        <w:ind w:left="-220" w:leftChars="-100" w:right="-220" w:rightChars="-100" w:firstLine="1264"/>
        <w:rPr>
          <w:rFonts w:ascii="Times New Roman" w:hAnsi="Times New Roman" w:eastAsia="方正仿宋_GBK"/>
          <w:sz w:val="36"/>
          <w:szCs w:val="36"/>
        </w:rPr>
      </w:pPr>
    </w:p>
    <w:p w14:paraId="1DED95AD">
      <w:pPr>
        <w:ind w:left="-220" w:leftChars="-100" w:right="-220" w:rightChars="-100" w:firstLine="1264"/>
        <w:rPr>
          <w:rFonts w:ascii="Times New Roman" w:hAnsi="Times New Roman" w:eastAsia="方正仿宋_GBK"/>
          <w:sz w:val="36"/>
          <w:szCs w:val="36"/>
        </w:rPr>
      </w:pPr>
    </w:p>
    <w:p w14:paraId="318CA8BD">
      <w:pPr>
        <w:ind w:left="-220" w:leftChars="-100" w:right="-220" w:rightChars="-100" w:firstLine="1264"/>
        <w:rPr>
          <w:rFonts w:ascii="Times New Roman" w:hAnsi="Times New Roman" w:eastAsia="方正仿宋_GBK"/>
          <w:sz w:val="36"/>
          <w:szCs w:val="36"/>
        </w:rPr>
      </w:pPr>
    </w:p>
    <w:p w14:paraId="1310C0FA">
      <w:pPr>
        <w:ind w:left="-220" w:leftChars="-100" w:right="-220" w:rightChars="-100" w:firstLine="1264"/>
        <w:jc w:val="center"/>
        <w:rPr>
          <w:rFonts w:ascii="Times New Roman" w:hAnsi="方正仿宋_GBK" w:eastAsia="方正仿宋_GBK"/>
          <w:sz w:val="32"/>
          <w:szCs w:val="32"/>
        </w:rPr>
      </w:pPr>
      <w:r>
        <w:rPr>
          <w:rFonts w:hint="eastAsia" w:ascii="Times New Roman" w:hAnsi="方正仿宋_GBK" w:eastAsia="方正仿宋_GBK"/>
          <w:sz w:val="32"/>
          <w:szCs w:val="32"/>
        </w:rPr>
        <w:t>法人代表签字：</w:t>
      </w:r>
    </w:p>
    <w:p w14:paraId="75BAB06D">
      <w:pPr>
        <w:ind w:left="-220" w:leftChars="-100" w:right="-220" w:rightChars="-100" w:firstLine="1264"/>
        <w:jc w:val="center"/>
        <w:rPr>
          <w:rFonts w:ascii="Times New Roman" w:hAnsi="方正仿宋_GBK" w:eastAsia="方正仿宋_GBK"/>
          <w:sz w:val="32"/>
          <w:szCs w:val="32"/>
        </w:rPr>
      </w:pPr>
    </w:p>
    <w:p w14:paraId="2FACAA78">
      <w:pPr>
        <w:ind w:left="-220" w:leftChars="-100" w:right="-220" w:rightChars="-100" w:firstLine="1264"/>
        <w:jc w:val="center"/>
        <w:rPr>
          <w:rFonts w:ascii="Times New Roman" w:hAnsi="Times New Roman" w:eastAsia="方正仿宋_GBK"/>
          <w:sz w:val="32"/>
          <w:szCs w:val="32"/>
        </w:rPr>
      </w:pPr>
    </w:p>
    <w:p w14:paraId="6B2F0356">
      <w:pPr>
        <w:ind w:left="-220" w:leftChars="-100" w:right="-220" w:rightChars="-100" w:firstLine="1264"/>
        <w:jc w:val="center"/>
        <w:rPr>
          <w:rFonts w:ascii="Times New Roman" w:hAnsi="Times New Roman"/>
          <w:sz w:val="36"/>
          <w:szCs w:val="36"/>
        </w:rPr>
      </w:pPr>
      <w:r>
        <w:rPr>
          <w:rFonts w:ascii="Times New Roman" w:hAnsi="Times New Roman" w:eastAsia="方正仿宋_GBK"/>
          <w:sz w:val="32"/>
          <w:szCs w:val="32"/>
        </w:rPr>
        <w:t xml:space="preserve">  20</w:t>
      </w:r>
      <w:r>
        <w:rPr>
          <w:rFonts w:hint="eastAsia" w:ascii="Times New Roman" w:hAnsi="Times New Roman" w:eastAsia="方正仿宋_GBK"/>
          <w:sz w:val="32"/>
          <w:szCs w:val="32"/>
          <w:lang w:val="en-US" w:eastAsia="zh-CN"/>
        </w:rPr>
        <w:t>22</w:t>
      </w:r>
      <w:r>
        <w:rPr>
          <w:rFonts w:hint="eastAsia" w:ascii="Times New Roman" w:hAnsi="方正仿宋_GBK" w:eastAsia="方正仿宋_GBK"/>
          <w:sz w:val="32"/>
          <w:szCs w:val="32"/>
        </w:rPr>
        <w:t>年</w:t>
      </w:r>
      <w:r>
        <w:rPr>
          <w:rFonts w:hint="eastAsia" w:ascii="Times New Roman" w:hAnsi="方正仿宋_GBK" w:eastAsia="方正仿宋_GBK"/>
          <w:sz w:val="32"/>
          <w:szCs w:val="32"/>
          <w:lang w:val="en-US" w:eastAsia="zh-CN"/>
        </w:rPr>
        <w:t>11</w:t>
      </w:r>
      <w:r>
        <w:rPr>
          <w:rFonts w:hint="eastAsia" w:ascii="Times New Roman" w:hAnsi="方正仿宋_GBK" w:eastAsia="方正仿宋_GBK"/>
          <w:sz w:val="32"/>
          <w:szCs w:val="32"/>
        </w:rPr>
        <w:t>月</w:t>
      </w:r>
      <w:r>
        <w:rPr>
          <w:rFonts w:hint="eastAsia" w:ascii="Times New Roman" w:hAnsi="方正仿宋_GBK" w:eastAsia="方正仿宋_GBK"/>
          <w:sz w:val="32"/>
          <w:szCs w:val="32"/>
          <w:lang w:val="en-US" w:eastAsia="zh-CN"/>
        </w:rPr>
        <w:t>5</w:t>
      </w:r>
      <w:r>
        <w:rPr>
          <w:rFonts w:hint="eastAsia" w:ascii="Times New Roman" w:hAnsi="方正仿宋_GBK" w:eastAsia="方正仿宋_GBK"/>
          <w:sz w:val="32"/>
          <w:szCs w:val="32"/>
        </w:rPr>
        <w:t>日</w:t>
      </w:r>
    </w:p>
    <w:p w14:paraId="093AE064">
      <w:pPr>
        <w:ind w:left="-220" w:leftChars="-100" w:right="-220" w:rightChars="-100" w:firstLine="1264"/>
        <w:jc w:val="center"/>
        <w:rPr>
          <w:rFonts w:ascii="Times New Roman" w:hAnsi="Times New Roman"/>
          <w:sz w:val="36"/>
          <w:szCs w:val="36"/>
        </w:rPr>
      </w:pPr>
    </w:p>
    <w:p w14:paraId="0831470D">
      <w:pPr>
        <w:ind w:left="-741" w:leftChars="-337" w:right="-794" w:rightChars="-361" w:firstLine="1264"/>
        <w:rPr>
          <w:rFonts w:ascii="Times New Roman" w:hAnsi="Times New Roman"/>
          <w:sz w:val="36"/>
          <w:szCs w:val="36"/>
        </w:rPr>
      </w:pPr>
    </w:p>
    <w:p w14:paraId="2850F935">
      <w:pPr>
        <w:ind w:left="-741" w:leftChars="-337" w:right="-794" w:rightChars="-361" w:firstLine="1264"/>
        <w:rPr>
          <w:rFonts w:ascii="Times New Roman" w:hAnsi="Times New Roman"/>
          <w:sz w:val="36"/>
          <w:szCs w:val="36"/>
        </w:rPr>
      </w:pPr>
    </w:p>
    <w:p w14:paraId="3FC73896">
      <w:pPr>
        <w:ind w:left="-741" w:leftChars="-337" w:right="-794" w:rightChars="-361" w:firstLine="1264"/>
        <w:rPr>
          <w:rFonts w:ascii="Times New Roman" w:hAnsi="Times New Roman"/>
          <w:sz w:val="36"/>
          <w:szCs w:val="36"/>
        </w:rPr>
      </w:pPr>
    </w:p>
    <w:p w14:paraId="1CB541E7">
      <w:pPr>
        <w:rPr>
          <w:rFonts w:ascii="Times New Roman" w:eastAsia="黑体"/>
          <w:sz w:val="28"/>
          <w:szCs w:val="28"/>
        </w:rPr>
      </w:pPr>
    </w:p>
    <w:p w14:paraId="12D3F314">
      <w:pPr>
        <w:rPr>
          <w:rFonts w:ascii="Times New Roman" w:hAnsi="Times New Roman" w:eastAsia="黑体"/>
          <w:sz w:val="28"/>
          <w:szCs w:val="28"/>
        </w:rPr>
      </w:pPr>
      <w:r>
        <w:rPr>
          <w:rFonts w:hint="eastAsia" w:ascii="Times New Roman" w:eastAsia="黑体"/>
          <w:sz w:val="28"/>
          <w:szCs w:val="28"/>
        </w:rPr>
        <w:t>第一部分：拟转移废物基本情况</w:t>
      </w:r>
    </w:p>
    <w:tbl>
      <w:tblPr>
        <w:tblStyle w:val="6"/>
        <w:tblW w:w="9905" w:type="dxa"/>
        <w:tblInd w:w="-41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45"/>
        <w:gridCol w:w="2224"/>
        <w:gridCol w:w="1465"/>
        <w:gridCol w:w="2611"/>
        <w:gridCol w:w="1960"/>
      </w:tblGrid>
      <w:tr w14:paraId="63A77A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9" w:hRule="atLeast"/>
        </w:trPr>
        <w:tc>
          <w:tcPr>
            <w:tcW w:w="9905" w:type="dxa"/>
            <w:gridSpan w:val="5"/>
            <w:vAlign w:val="center"/>
          </w:tcPr>
          <w:p w14:paraId="5CB08A3C">
            <w:pPr>
              <w:jc w:val="center"/>
              <w:rPr>
                <w:rFonts w:ascii="Times New Roman" w:hAnsi="Times New Roman" w:eastAsia="黑体"/>
                <w:sz w:val="24"/>
                <w:szCs w:val="24"/>
              </w:rPr>
            </w:pPr>
            <w:r>
              <w:rPr>
                <w:rFonts w:hint="eastAsia" w:ascii="Times New Roman" w:eastAsia="黑体"/>
                <w:sz w:val="24"/>
                <w:szCs w:val="24"/>
              </w:rPr>
              <w:t>表</w:t>
            </w:r>
            <w:r>
              <w:rPr>
                <w:rFonts w:ascii="Times New Roman" w:hAnsi="Times New Roman" w:eastAsia="黑体"/>
                <w:sz w:val="24"/>
                <w:szCs w:val="24"/>
              </w:rPr>
              <w:t xml:space="preserve">1 </w:t>
            </w:r>
            <w:r>
              <w:rPr>
                <w:rFonts w:hint="eastAsia" w:ascii="Times New Roman" w:eastAsia="黑体"/>
                <w:sz w:val="24"/>
                <w:szCs w:val="24"/>
              </w:rPr>
              <w:t>废物产生情况</w:t>
            </w:r>
          </w:p>
        </w:tc>
      </w:tr>
      <w:tr w14:paraId="682ACC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46" w:hRule="atLeast"/>
        </w:trPr>
        <w:tc>
          <w:tcPr>
            <w:tcW w:w="9905" w:type="dxa"/>
            <w:gridSpan w:val="5"/>
          </w:tcPr>
          <w:p w14:paraId="070EC30B">
            <w:pPr>
              <w:spacing w:line="300" w:lineRule="exact"/>
              <w:jc w:val="center"/>
              <w:rPr>
                <w:rFonts w:ascii="Times New Roman"/>
                <w:szCs w:val="21"/>
              </w:rPr>
            </w:pPr>
            <w:r>
              <w:rPr>
                <w:rFonts w:hint="eastAsia" w:ascii="Times New Roman"/>
                <w:szCs w:val="21"/>
              </w:rPr>
              <w:t>废物产生企业概况（企业投产时间、主要经营范围及规模）</w:t>
            </w:r>
          </w:p>
          <w:p w14:paraId="1B023F8C">
            <w:pPr>
              <w:spacing w:line="300" w:lineRule="exact"/>
              <w:rPr>
                <w:rFonts w:hint="eastAsia" w:ascii="Times New Roman" w:hAnsi="Times New Roman" w:eastAsia="宋体"/>
                <w:szCs w:val="21"/>
                <w:lang w:eastAsia="zh-CN"/>
              </w:rPr>
            </w:pPr>
            <w:r>
              <w:rPr>
                <w:rFonts w:hint="eastAsia" w:ascii="宋体" w:hAnsi="宋体" w:eastAsia="宋体" w:cs="宋体"/>
                <w:i w:val="0"/>
                <w:iCs w:val="0"/>
                <w:caps w:val="0"/>
                <w:color w:val="666666"/>
                <w:spacing w:val="0"/>
                <w:sz w:val="24"/>
                <w:szCs w:val="24"/>
                <w:shd w:val="clear" w:fill="FFFFFF"/>
              </w:rPr>
              <w:t>江苏九洲包装科技有限公司成立于</w:t>
            </w:r>
            <w:r>
              <w:rPr>
                <w:rFonts w:hint="default" w:ascii="Times New Roman" w:hAnsi="Times New Roman" w:eastAsia="宋体" w:cs="Times New Roman"/>
                <w:i w:val="0"/>
                <w:iCs w:val="0"/>
                <w:caps w:val="0"/>
                <w:color w:val="666666"/>
                <w:spacing w:val="0"/>
                <w:sz w:val="24"/>
                <w:szCs w:val="24"/>
                <w:shd w:val="clear" w:fill="FFFFFF"/>
              </w:rPr>
              <w:t>2005</w:t>
            </w:r>
            <w:r>
              <w:rPr>
                <w:rFonts w:hint="eastAsia" w:ascii="宋体" w:hAnsi="宋体" w:eastAsia="宋体" w:cs="宋体"/>
                <w:i w:val="0"/>
                <w:iCs w:val="0"/>
                <w:caps w:val="0"/>
                <w:color w:val="666666"/>
                <w:spacing w:val="0"/>
                <w:sz w:val="24"/>
                <w:szCs w:val="24"/>
                <w:shd w:val="clear" w:fill="FFFFFF"/>
              </w:rPr>
              <w:t>年</w:t>
            </w:r>
            <w:r>
              <w:rPr>
                <w:rFonts w:hint="default" w:ascii="Times New Roman" w:hAnsi="Times New Roman" w:eastAsia="宋体" w:cs="Times New Roman"/>
                <w:i w:val="0"/>
                <w:iCs w:val="0"/>
                <w:caps w:val="0"/>
                <w:color w:val="666666"/>
                <w:spacing w:val="0"/>
                <w:sz w:val="24"/>
                <w:szCs w:val="24"/>
                <w:shd w:val="clear" w:fill="FFFFFF"/>
              </w:rPr>
              <w:t>1</w:t>
            </w:r>
            <w:r>
              <w:rPr>
                <w:rFonts w:hint="eastAsia" w:ascii="宋体" w:hAnsi="宋体" w:eastAsia="宋体" w:cs="宋体"/>
                <w:i w:val="0"/>
                <w:iCs w:val="0"/>
                <w:caps w:val="0"/>
                <w:color w:val="666666"/>
                <w:spacing w:val="0"/>
                <w:sz w:val="24"/>
                <w:szCs w:val="24"/>
                <w:shd w:val="clear" w:fill="FFFFFF"/>
              </w:rPr>
              <w:t>月，</w:t>
            </w:r>
            <w:r>
              <w:rPr>
                <w:rFonts w:hint="eastAsia" w:ascii="宋体" w:hAnsi="宋体" w:eastAsia="宋体" w:cs="宋体"/>
                <w:i w:val="0"/>
                <w:iCs w:val="0"/>
                <w:caps w:val="0"/>
                <w:color w:val="666666"/>
                <w:spacing w:val="0"/>
                <w:sz w:val="24"/>
                <w:szCs w:val="24"/>
                <w:shd w:val="clear" w:fill="FFFFFF"/>
                <w:lang w:eastAsia="zh-CN"/>
              </w:rPr>
              <w:t>具备</w:t>
            </w:r>
            <w:r>
              <w:rPr>
                <w:rFonts w:hint="default" w:ascii="Times New Roman" w:hAnsi="Times New Roman" w:eastAsia="宋体" w:cs="Times New Roman"/>
                <w:i w:val="0"/>
                <w:iCs w:val="0"/>
                <w:caps w:val="0"/>
                <w:color w:val="666666"/>
                <w:spacing w:val="0"/>
                <w:sz w:val="24"/>
                <w:szCs w:val="24"/>
                <w:shd w:val="clear" w:fill="FFFFFF"/>
              </w:rPr>
              <w:t>“</w:t>
            </w:r>
            <w:r>
              <w:rPr>
                <w:rFonts w:hint="eastAsia" w:ascii="宋体" w:hAnsi="宋体" w:eastAsia="宋体" w:cs="宋体"/>
                <w:i w:val="0"/>
                <w:iCs w:val="0"/>
                <w:caps w:val="0"/>
                <w:color w:val="666666"/>
                <w:spacing w:val="0"/>
                <w:sz w:val="24"/>
                <w:szCs w:val="24"/>
                <w:shd w:val="clear" w:fill="FFFFFF"/>
              </w:rPr>
              <w:t>年产涂层薄板、特种带钢深加工</w:t>
            </w:r>
            <w:r>
              <w:rPr>
                <w:rFonts w:hint="default" w:ascii="Times New Roman" w:hAnsi="Times New Roman" w:eastAsia="宋体" w:cs="Times New Roman"/>
                <w:i w:val="0"/>
                <w:iCs w:val="0"/>
                <w:caps w:val="0"/>
                <w:color w:val="666666"/>
                <w:spacing w:val="0"/>
                <w:sz w:val="24"/>
                <w:szCs w:val="24"/>
                <w:shd w:val="clear" w:fill="FFFFFF"/>
              </w:rPr>
              <w:t>5</w:t>
            </w:r>
            <w:r>
              <w:rPr>
                <w:rFonts w:hint="eastAsia" w:ascii="宋体" w:hAnsi="宋体" w:eastAsia="宋体" w:cs="宋体"/>
                <w:i w:val="0"/>
                <w:iCs w:val="0"/>
                <w:caps w:val="0"/>
                <w:color w:val="666666"/>
                <w:spacing w:val="0"/>
                <w:sz w:val="24"/>
                <w:szCs w:val="24"/>
                <w:shd w:val="clear" w:fill="FFFFFF"/>
              </w:rPr>
              <w:t>万吨</w:t>
            </w:r>
            <w:r>
              <w:rPr>
                <w:rFonts w:hint="default" w:ascii="Times New Roman" w:hAnsi="Times New Roman" w:eastAsia="宋体" w:cs="Times New Roman"/>
                <w:i w:val="0"/>
                <w:iCs w:val="0"/>
                <w:caps w:val="0"/>
                <w:color w:val="666666"/>
                <w:spacing w:val="0"/>
                <w:sz w:val="24"/>
                <w:szCs w:val="24"/>
                <w:shd w:val="clear" w:fill="FFFFFF"/>
              </w:rPr>
              <w:t>”</w:t>
            </w:r>
            <w:r>
              <w:rPr>
                <w:rFonts w:hint="eastAsia" w:ascii="宋体" w:hAnsi="宋体" w:eastAsia="宋体" w:cs="宋体"/>
                <w:i w:val="0"/>
                <w:iCs w:val="0"/>
                <w:caps w:val="0"/>
                <w:color w:val="666666"/>
                <w:spacing w:val="0"/>
                <w:sz w:val="24"/>
                <w:szCs w:val="24"/>
                <w:shd w:val="clear" w:fill="FFFFFF"/>
              </w:rPr>
              <w:t>项目，形成年产包装桶</w:t>
            </w:r>
            <w:r>
              <w:rPr>
                <w:rFonts w:hint="default" w:ascii="Times New Roman" w:hAnsi="Times New Roman" w:eastAsia="宋体" w:cs="Times New Roman"/>
                <w:i w:val="0"/>
                <w:iCs w:val="0"/>
                <w:caps w:val="0"/>
                <w:color w:val="666666"/>
                <w:spacing w:val="0"/>
                <w:sz w:val="24"/>
                <w:szCs w:val="24"/>
                <w:shd w:val="clear" w:fill="FFFFFF"/>
              </w:rPr>
              <w:t>800</w:t>
            </w:r>
            <w:r>
              <w:rPr>
                <w:rFonts w:hint="eastAsia" w:ascii="宋体" w:hAnsi="宋体" w:eastAsia="宋体" w:cs="宋体"/>
                <w:i w:val="0"/>
                <w:iCs w:val="0"/>
                <w:caps w:val="0"/>
                <w:color w:val="666666"/>
                <w:spacing w:val="0"/>
                <w:sz w:val="24"/>
                <w:szCs w:val="24"/>
                <w:shd w:val="clear" w:fill="FFFFFF"/>
              </w:rPr>
              <w:t>万只的生产能力</w:t>
            </w:r>
            <w:r>
              <w:rPr>
                <w:rFonts w:hint="eastAsia" w:ascii="宋体" w:hAnsi="宋体" w:eastAsia="宋体" w:cs="宋体"/>
                <w:i w:val="0"/>
                <w:iCs w:val="0"/>
                <w:caps w:val="0"/>
                <w:color w:val="666666"/>
                <w:spacing w:val="0"/>
                <w:sz w:val="24"/>
                <w:szCs w:val="24"/>
                <w:shd w:val="clear" w:fill="FFFFFF"/>
                <w:lang w:eastAsia="zh-CN"/>
              </w:rPr>
              <w:t>。</w:t>
            </w:r>
          </w:p>
        </w:tc>
      </w:tr>
      <w:tr w14:paraId="6D5440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1" w:hRule="atLeast"/>
        </w:trPr>
        <w:tc>
          <w:tcPr>
            <w:tcW w:w="9905" w:type="dxa"/>
            <w:gridSpan w:val="5"/>
            <w:vAlign w:val="center"/>
          </w:tcPr>
          <w:p w14:paraId="3130FE86">
            <w:pPr>
              <w:spacing w:line="300" w:lineRule="exact"/>
              <w:jc w:val="center"/>
              <w:rPr>
                <w:rFonts w:ascii="Times New Roman" w:hAnsi="Times New Roman"/>
                <w:szCs w:val="21"/>
              </w:rPr>
            </w:pPr>
            <w:r>
              <w:rPr>
                <w:rFonts w:hint="eastAsia" w:ascii="Times New Roman"/>
                <w:szCs w:val="21"/>
              </w:rPr>
              <w:t>产品及产废情况</w:t>
            </w:r>
          </w:p>
        </w:tc>
      </w:tr>
      <w:tr w14:paraId="1DE6F0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1" w:hRule="atLeast"/>
        </w:trPr>
        <w:tc>
          <w:tcPr>
            <w:tcW w:w="5334" w:type="dxa"/>
            <w:gridSpan w:val="3"/>
            <w:vAlign w:val="center"/>
          </w:tcPr>
          <w:p w14:paraId="692D1F5F">
            <w:pPr>
              <w:spacing w:line="300" w:lineRule="exact"/>
              <w:jc w:val="center"/>
              <w:rPr>
                <w:rFonts w:ascii="Times New Roman" w:hAnsi="Times New Roman"/>
                <w:szCs w:val="21"/>
              </w:rPr>
            </w:pPr>
            <w:r>
              <w:rPr>
                <w:rFonts w:hint="eastAsia" w:ascii="Times New Roman"/>
                <w:szCs w:val="21"/>
              </w:rPr>
              <w:t>产品情况</w:t>
            </w:r>
          </w:p>
        </w:tc>
        <w:tc>
          <w:tcPr>
            <w:tcW w:w="4571" w:type="dxa"/>
            <w:gridSpan w:val="2"/>
            <w:vAlign w:val="center"/>
          </w:tcPr>
          <w:p w14:paraId="311C5F6A">
            <w:pPr>
              <w:spacing w:line="300" w:lineRule="exact"/>
              <w:jc w:val="center"/>
              <w:rPr>
                <w:rFonts w:ascii="Times New Roman" w:hAnsi="Times New Roman"/>
                <w:szCs w:val="21"/>
              </w:rPr>
            </w:pPr>
            <w:r>
              <w:rPr>
                <w:rFonts w:hint="eastAsia" w:ascii="Times New Roman"/>
                <w:szCs w:val="21"/>
              </w:rPr>
              <w:t>产生危险废物情况</w:t>
            </w:r>
          </w:p>
        </w:tc>
      </w:tr>
      <w:tr w14:paraId="6343B5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1645" w:type="dxa"/>
            <w:vAlign w:val="center"/>
          </w:tcPr>
          <w:p w14:paraId="0C07931B">
            <w:pPr>
              <w:spacing w:line="300" w:lineRule="exact"/>
              <w:jc w:val="center"/>
              <w:rPr>
                <w:rFonts w:ascii="Times New Roman" w:hAnsi="Times New Roman"/>
                <w:szCs w:val="21"/>
              </w:rPr>
            </w:pPr>
            <w:r>
              <w:rPr>
                <w:rFonts w:hint="eastAsia" w:ascii="Times New Roman"/>
                <w:szCs w:val="21"/>
              </w:rPr>
              <w:t>产品名称</w:t>
            </w:r>
          </w:p>
        </w:tc>
        <w:tc>
          <w:tcPr>
            <w:tcW w:w="2224" w:type="dxa"/>
            <w:vAlign w:val="center"/>
          </w:tcPr>
          <w:p w14:paraId="6727119B">
            <w:pPr>
              <w:spacing w:line="300" w:lineRule="exact"/>
              <w:jc w:val="center"/>
              <w:rPr>
                <w:rFonts w:ascii="Times New Roman" w:hAnsi="Times New Roman"/>
                <w:szCs w:val="21"/>
              </w:rPr>
            </w:pPr>
            <w:r>
              <w:rPr>
                <w:rFonts w:hint="eastAsia" w:ascii="Times New Roman"/>
                <w:szCs w:val="21"/>
              </w:rPr>
              <w:t>主要成分化学名</w:t>
            </w:r>
          </w:p>
        </w:tc>
        <w:tc>
          <w:tcPr>
            <w:tcW w:w="1465" w:type="dxa"/>
            <w:vAlign w:val="center"/>
          </w:tcPr>
          <w:p w14:paraId="4B141914">
            <w:pPr>
              <w:spacing w:line="300" w:lineRule="exact"/>
              <w:jc w:val="center"/>
              <w:rPr>
                <w:rFonts w:ascii="Times New Roman" w:hAnsi="Times New Roman"/>
                <w:szCs w:val="21"/>
              </w:rPr>
            </w:pPr>
            <w:r>
              <w:rPr>
                <w:rFonts w:hint="eastAsia" w:ascii="Times New Roman"/>
                <w:szCs w:val="21"/>
              </w:rPr>
              <w:t>年产量</w:t>
            </w:r>
          </w:p>
        </w:tc>
        <w:tc>
          <w:tcPr>
            <w:tcW w:w="2611" w:type="dxa"/>
            <w:vAlign w:val="center"/>
          </w:tcPr>
          <w:p w14:paraId="79BC4264">
            <w:pPr>
              <w:spacing w:line="300" w:lineRule="exact"/>
              <w:jc w:val="center"/>
              <w:rPr>
                <w:rFonts w:ascii="Times New Roman" w:hAnsi="Times New Roman"/>
                <w:szCs w:val="21"/>
              </w:rPr>
            </w:pPr>
            <w:r>
              <w:rPr>
                <w:rFonts w:hint="eastAsia" w:ascii="Times New Roman"/>
                <w:szCs w:val="21"/>
              </w:rPr>
              <w:t>废物名称</w:t>
            </w:r>
          </w:p>
        </w:tc>
        <w:tc>
          <w:tcPr>
            <w:tcW w:w="1960" w:type="dxa"/>
            <w:vAlign w:val="center"/>
          </w:tcPr>
          <w:p w14:paraId="6FCF7F91">
            <w:pPr>
              <w:spacing w:line="300" w:lineRule="exact"/>
              <w:jc w:val="center"/>
              <w:rPr>
                <w:rFonts w:ascii="Times New Roman" w:hAnsi="Times New Roman"/>
                <w:szCs w:val="21"/>
              </w:rPr>
            </w:pPr>
            <w:r>
              <w:rPr>
                <w:rFonts w:hint="eastAsia" w:ascii="Times New Roman"/>
                <w:szCs w:val="21"/>
              </w:rPr>
              <w:t>年产生量</w:t>
            </w:r>
          </w:p>
        </w:tc>
      </w:tr>
      <w:tr w14:paraId="0EDF7B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59" w:hRule="atLeast"/>
        </w:trPr>
        <w:tc>
          <w:tcPr>
            <w:tcW w:w="1645" w:type="dxa"/>
            <w:vMerge w:val="restart"/>
          </w:tcPr>
          <w:p w14:paraId="1B7C2590">
            <w:pPr>
              <w:spacing w:line="300" w:lineRule="exact"/>
              <w:jc w:val="both"/>
              <w:rPr>
                <w:rFonts w:hint="default" w:ascii="Times New Roman" w:hAnsi="Times New Roman" w:eastAsia="微软雅黑"/>
                <w:szCs w:val="24"/>
                <w:lang w:val="en-US" w:eastAsia="zh-CN"/>
              </w:rPr>
            </w:pPr>
            <w:r>
              <w:rPr>
                <w:rFonts w:hint="eastAsia" w:ascii="Times New Roman" w:hAnsi="Times New Roman"/>
                <w:szCs w:val="24"/>
                <w:lang w:val="en-US" w:eastAsia="zh-CN"/>
              </w:rPr>
              <w:t>马口铁</w:t>
            </w:r>
          </w:p>
        </w:tc>
        <w:tc>
          <w:tcPr>
            <w:tcW w:w="2224" w:type="dxa"/>
            <w:vMerge w:val="restart"/>
          </w:tcPr>
          <w:p w14:paraId="2BE217D0">
            <w:pPr>
              <w:spacing w:line="300" w:lineRule="exact"/>
              <w:jc w:val="both"/>
              <w:rPr>
                <w:rFonts w:hint="eastAsia" w:ascii="Times New Roman" w:hAnsi="Times New Roman" w:eastAsia="微软雅黑"/>
                <w:szCs w:val="24"/>
                <w:lang w:eastAsia="zh-CN"/>
              </w:rPr>
            </w:pPr>
            <w:r>
              <w:rPr>
                <w:rFonts w:hint="eastAsia" w:ascii="Times New Roman" w:hAnsi="Times New Roman"/>
                <w:szCs w:val="24"/>
                <w:lang w:val="en-US" w:eastAsia="zh-CN"/>
              </w:rPr>
              <w:t>铁</w:t>
            </w:r>
          </w:p>
        </w:tc>
        <w:tc>
          <w:tcPr>
            <w:tcW w:w="1465" w:type="dxa"/>
            <w:vMerge w:val="restart"/>
          </w:tcPr>
          <w:p w14:paraId="50A537CB">
            <w:pPr>
              <w:spacing w:line="300" w:lineRule="exact"/>
              <w:jc w:val="both"/>
              <w:rPr>
                <w:rFonts w:ascii="Times New Roman" w:hAnsi="Times New Roman"/>
                <w:szCs w:val="24"/>
              </w:rPr>
            </w:pPr>
            <w:r>
              <w:rPr>
                <w:rFonts w:hint="eastAsia" w:ascii="Times New Roman" w:hAnsi="Times New Roman"/>
                <w:szCs w:val="24"/>
                <w:lang w:val="en-US" w:eastAsia="zh-CN"/>
              </w:rPr>
              <w:t>5万</w:t>
            </w:r>
            <w:r>
              <w:rPr>
                <w:rFonts w:hint="eastAsia" w:ascii="Times New Roman" w:hAnsi="Times New Roman"/>
                <w:szCs w:val="24"/>
              </w:rPr>
              <w:t>吨</w:t>
            </w:r>
          </w:p>
        </w:tc>
        <w:tc>
          <w:tcPr>
            <w:tcW w:w="2611" w:type="dxa"/>
            <w:vAlign w:val="center"/>
          </w:tcPr>
          <w:p w14:paraId="2D87C55A">
            <w:pPr>
              <w:spacing w:line="240" w:lineRule="atLeast"/>
              <w:jc w:val="center"/>
              <w:rPr>
                <w:rFonts w:hint="eastAsia" w:ascii="宋体" w:eastAsia="微软雅黑"/>
                <w:sz w:val="18"/>
                <w:szCs w:val="18"/>
                <w:lang w:eastAsia="zh-CN"/>
              </w:rPr>
            </w:pPr>
            <w:r>
              <w:rPr>
                <w:rFonts w:hint="eastAsia" w:ascii="宋体"/>
                <w:sz w:val="18"/>
                <w:szCs w:val="18"/>
                <w:lang w:eastAsia="zh-CN"/>
              </w:rPr>
              <w:t>一般废水污泥</w:t>
            </w:r>
          </w:p>
        </w:tc>
        <w:tc>
          <w:tcPr>
            <w:tcW w:w="1960" w:type="dxa"/>
            <w:vAlign w:val="center"/>
          </w:tcPr>
          <w:p w14:paraId="71AA0F2E">
            <w:pPr>
              <w:spacing w:line="240" w:lineRule="atLeast"/>
              <w:jc w:val="center"/>
              <w:rPr>
                <w:sz w:val="18"/>
                <w:szCs w:val="18"/>
              </w:rPr>
            </w:pPr>
            <w:r>
              <w:rPr>
                <w:rFonts w:hint="eastAsia"/>
                <w:sz w:val="18"/>
                <w:szCs w:val="18"/>
                <w:lang w:val="en-US" w:eastAsia="zh-CN"/>
              </w:rPr>
              <w:t>300</w:t>
            </w:r>
            <w:r>
              <w:rPr>
                <w:rFonts w:hint="eastAsia"/>
                <w:sz w:val="18"/>
                <w:szCs w:val="18"/>
              </w:rPr>
              <w:t>吨</w:t>
            </w:r>
          </w:p>
        </w:tc>
      </w:tr>
      <w:tr w14:paraId="243F33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59" w:hRule="atLeast"/>
        </w:trPr>
        <w:tc>
          <w:tcPr>
            <w:tcW w:w="1645" w:type="dxa"/>
            <w:vMerge w:val="continue"/>
            <w:vAlign w:val="center"/>
          </w:tcPr>
          <w:p w14:paraId="107ACDAC">
            <w:pPr>
              <w:spacing w:line="300" w:lineRule="exact"/>
              <w:jc w:val="center"/>
              <w:rPr>
                <w:rFonts w:ascii="Times New Roman" w:hAnsi="Times New Roman"/>
                <w:szCs w:val="24"/>
              </w:rPr>
            </w:pPr>
          </w:p>
        </w:tc>
        <w:tc>
          <w:tcPr>
            <w:tcW w:w="2224" w:type="dxa"/>
            <w:vMerge w:val="continue"/>
            <w:vAlign w:val="center"/>
          </w:tcPr>
          <w:p w14:paraId="43AD0E11">
            <w:pPr>
              <w:spacing w:line="300" w:lineRule="exact"/>
              <w:jc w:val="center"/>
              <w:rPr>
                <w:rFonts w:ascii="Times New Roman" w:hAnsi="Times New Roman"/>
                <w:szCs w:val="24"/>
              </w:rPr>
            </w:pPr>
          </w:p>
        </w:tc>
        <w:tc>
          <w:tcPr>
            <w:tcW w:w="1465" w:type="dxa"/>
            <w:vMerge w:val="continue"/>
            <w:vAlign w:val="center"/>
          </w:tcPr>
          <w:p w14:paraId="098F2FC1">
            <w:pPr>
              <w:spacing w:line="300" w:lineRule="exact"/>
              <w:jc w:val="center"/>
              <w:rPr>
                <w:rFonts w:ascii="Times New Roman" w:hAnsi="Times New Roman"/>
                <w:szCs w:val="24"/>
              </w:rPr>
            </w:pPr>
          </w:p>
        </w:tc>
        <w:tc>
          <w:tcPr>
            <w:tcW w:w="2611" w:type="dxa"/>
            <w:vAlign w:val="center"/>
          </w:tcPr>
          <w:p w14:paraId="7B5693FF">
            <w:pPr>
              <w:spacing w:line="240" w:lineRule="atLeast"/>
              <w:jc w:val="center"/>
              <w:rPr>
                <w:rFonts w:ascii="宋体"/>
                <w:sz w:val="18"/>
                <w:szCs w:val="18"/>
              </w:rPr>
            </w:pPr>
          </w:p>
        </w:tc>
        <w:tc>
          <w:tcPr>
            <w:tcW w:w="1960" w:type="dxa"/>
            <w:vAlign w:val="center"/>
          </w:tcPr>
          <w:p w14:paraId="50A6272C">
            <w:pPr>
              <w:spacing w:line="240" w:lineRule="atLeast"/>
              <w:jc w:val="center"/>
              <w:rPr>
                <w:sz w:val="18"/>
                <w:szCs w:val="18"/>
              </w:rPr>
            </w:pPr>
          </w:p>
        </w:tc>
      </w:tr>
      <w:tr w14:paraId="3E09D1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59" w:hRule="atLeast"/>
        </w:trPr>
        <w:tc>
          <w:tcPr>
            <w:tcW w:w="1645" w:type="dxa"/>
            <w:vMerge w:val="continue"/>
            <w:vAlign w:val="center"/>
          </w:tcPr>
          <w:p w14:paraId="7638CCED">
            <w:pPr>
              <w:spacing w:line="300" w:lineRule="exact"/>
              <w:jc w:val="center"/>
              <w:rPr>
                <w:rFonts w:ascii="Times New Roman" w:hAnsi="Times New Roman"/>
                <w:szCs w:val="24"/>
              </w:rPr>
            </w:pPr>
          </w:p>
        </w:tc>
        <w:tc>
          <w:tcPr>
            <w:tcW w:w="2224" w:type="dxa"/>
            <w:vMerge w:val="continue"/>
            <w:vAlign w:val="center"/>
          </w:tcPr>
          <w:p w14:paraId="28804C0D">
            <w:pPr>
              <w:spacing w:line="300" w:lineRule="exact"/>
              <w:jc w:val="center"/>
              <w:rPr>
                <w:rFonts w:ascii="Times New Roman" w:hAnsi="Times New Roman"/>
                <w:szCs w:val="24"/>
              </w:rPr>
            </w:pPr>
          </w:p>
        </w:tc>
        <w:tc>
          <w:tcPr>
            <w:tcW w:w="1465" w:type="dxa"/>
            <w:vMerge w:val="continue"/>
            <w:vAlign w:val="center"/>
          </w:tcPr>
          <w:p w14:paraId="4E424BD7">
            <w:pPr>
              <w:spacing w:line="300" w:lineRule="exact"/>
              <w:jc w:val="center"/>
              <w:rPr>
                <w:rFonts w:ascii="Times New Roman" w:hAnsi="Times New Roman"/>
                <w:szCs w:val="24"/>
              </w:rPr>
            </w:pPr>
          </w:p>
        </w:tc>
        <w:tc>
          <w:tcPr>
            <w:tcW w:w="2611" w:type="dxa"/>
            <w:vAlign w:val="center"/>
          </w:tcPr>
          <w:p w14:paraId="37D64596">
            <w:pPr>
              <w:spacing w:line="240" w:lineRule="atLeast"/>
              <w:jc w:val="center"/>
              <w:rPr>
                <w:rFonts w:ascii="宋体"/>
                <w:sz w:val="18"/>
                <w:szCs w:val="18"/>
              </w:rPr>
            </w:pPr>
          </w:p>
        </w:tc>
        <w:tc>
          <w:tcPr>
            <w:tcW w:w="1960" w:type="dxa"/>
            <w:vAlign w:val="center"/>
          </w:tcPr>
          <w:p w14:paraId="10A72F01">
            <w:pPr>
              <w:spacing w:line="240" w:lineRule="atLeast"/>
              <w:jc w:val="center"/>
              <w:rPr>
                <w:sz w:val="18"/>
                <w:szCs w:val="18"/>
              </w:rPr>
            </w:pPr>
          </w:p>
        </w:tc>
      </w:tr>
      <w:tr w14:paraId="4F7EF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59" w:hRule="atLeast"/>
        </w:trPr>
        <w:tc>
          <w:tcPr>
            <w:tcW w:w="1645" w:type="dxa"/>
            <w:vMerge w:val="continue"/>
            <w:vAlign w:val="center"/>
          </w:tcPr>
          <w:p w14:paraId="711377CE">
            <w:pPr>
              <w:spacing w:line="300" w:lineRule="exact"/>
              <w:jc w:val="center"/>
              <w:rPr>
                <w:rFonts w:ascii="Times New Roman" w:hAnsi="Times New Roman"/>
                <w:szCs w:val="24"/>
              </w:rPr>
            </w:pPr>
          </w:p>
        </w:tc>
        <w:tc>
          <w:tcPr>
            <w:tcW w:w="2224" w:type="dxa"/>
            <w:vMerge w:val="continue"/>
            <w:vAlign w:val="center"/>
          </w:tcPr>
          <w:p w14:paraId="55C6760B">
            <w:pPr>
              <w:spacing w:line="300" w:lineRule="exact"/>
              <w:jc w:val="center"/>
              <w:rPr>
                <w:rFonts w:ascii="Times New Roman" w:hAnsi="Times New Roman"/>
                <w:szCs w:val="24"/>
              </w:rPr>
            </w:pPr>
          </w:p>
        </w:tc>
        <w:tc>
          <w:tcPr>
            <w:tcW w:w="1465" w:type="dxa"/>
            <w:vMerge w:val="continue"/>
            <w:vAlign w:val="center"/>
          </w:tcPr>
          <w:p w14:paraId="4FA8A0BA">
            <w:pPr>
              <w:spacing w:line="300" w:lineRule="exact"/>
              <w:jc w:val="center"/>
              <w:rPr>
                <w:rFonts w:ascii="Times New Roman" w:hAnsi="Times New Roman"/>
                <w:szCs w:val="24"/>
              </w:rPr>
            </w:pPr>
          </w:p>
        </w:tc>
        <w:tc>
          <w:tcPr>
            <w:tcW w:w="2611" w:type="dxa"/>
            <w:vAlign w:val="center"/>
          </w:tcPr>
          <w:p w14:paraId="6817373E">
            <w:pPr>
              <w:spacing w:line="240" w:lineRule="atLeast"/>
              <w:jc w:val="center"/>
              <w:rPr>
                <w:rFonts w:ascii="宋体"/>
                <w:sz w:val="18"/>
                <w:szCs w:val="18"/>
              </w:rPr>
            </w:pPr>
          </w:p>
        </w:tc>
        <w:tc>
          <w:tcPr>
            <w:tcW w:w="1960" w:type="dxa"/>
            <w:vAlign w:val="center"/>
          </w:tcPr>
          <w:p w14:paraId="0D575E12">
            <w:pPr>
              <w:spacing w:line="240" w:lineRule="atLeast"/>
              <w:jc w:val="center"/>
              <w:rPr>
                <w:sz w:val="18"/>
                <w:szCs w:val="18"/>
              </w:rPr>
            </w:pPr>
          </w:p>
        </w:tc>
      </w:tr>
      <w:tr w14:paraId="2A01C2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59" w:hRule="atLeast"/>
        </w:trPr>
        <w:tc>
          <w:tcPr>
            <w:tcW w:w="1645" w:type="dxa"/>
            <w:vMerge w:val="continue"/>
            <w:vAlign w:val="center"/>
          </w:tcPr>
          <w:p w14:paraId="1D2E4460">
            <w:pPr>
              <w:spacing w:line="300" w:lineRule="exact"/>
              <w:jc w:val="center"/>
              <w:rPr>
                <w:rFonts w:ascii="Times New Roman" w:hAnsi="Times New Roman"/>
                <w:szCs w:val="24"/>
              </w:rPr>
            </w:pPr>
          </w:p>
        </w:tc>
        <w:tc>
          <w:tcPr>
            <w:tcW w:w="2224" w:type="dxa"/>
            <w:vMerge w:val="continue"/>
            <w:vAlign w:val="center"/>
          </w:tcPr>
          <w:p w14:paraId="2F2CFFFE">
            <w:pPr>
              <w:spacing w:line="300" w:lineRule="exact"/>
              <w:jc w:val="center"/>
              <w:rPr>
                <w:rFonts w:ascii="Times New Roman" w:hAnsi="Times New Roman"/>
                <w:szCs w:val="24"/>
              </w:rPr>
            </w:pPr>
          </w:p>
        </w:tc>
        <w:tc>
          <w:tcPr>
            <w:tcW w:w="1465" w:type="dxa"/>
            <w:vMerge w:val="continue"/>
            <w:vAlign w:val="center"/>
          </w:tcPr>
          <w:p w14:paraId="60429EBC">
            <w:pPr>
              <w:spacing w:line="300" w:lineRule="exact"/>
              <w:jc w:val="center"/>
              <w:rPr>
                <w:rFonts w:ascii="Times New Roman" w:hAnsi="Times New Roman"/>
                <w:szCs w:val="24"/>
              </w:rPr>
            </w:pPr>
          </w:p>
        </w:tc>
        <w:tc>
          <w:tcPr>
            <w:tcW w:w="2611" w:type="dxa"/>
            <w:vAlign w:val="center"/>
          </w:tcPr>
          <w:p w14:paraId="3EF31485">
            <w:pPr>
              <w:spacing w:line="300" w:lineRule="exact"/>
              <w:jc w:val="center"/>
              <w:rPr>
                <w:rFonts w:ascii="Times New Roman" w:hAnsi="Times New Roman"/>
                <w:szCs w:val="24"/>
              </w:rPr>
            </w:pPr>
          </w:p>
        </w:tc>
        <w:tc>
          <w:tcPr>
            <w:tcW w:w="1960" w:type="dxa"/>
            <w:vAlign w:val="center"/>
          </w:tcPr>
          <w:p w14:paraId="68EF7D11">
            <w:pPr>
              <w:spacing w:line="240" w:lineRule="atLeast"/>
              <w:jc w:val="center"/>
              <w:rPr>
                <w:sz w:val="18"/>
                <w:szCs w:val="18"/>
              </w:rPr>
            </w:pPr>
          </w:p>
        </w:tc>
      </w:tr>
      <w:tr w14:paraId="2F3ACD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59" w:hRule="atLeast"/>
        </w:trPr>
        <w:tc>
          <w:tcPr>
            <w:tcW w:w="1645" w:type="dxa"/>
            <w:vMerge w:val="continue"/>
            <w:vAlign w:val="center"/>
          </w:tcPr>
          <w:p w14:paraId="4B0785FE">
            <w:pPr>
              <w:spacing w:line="300" w:lineRule="exact"/>
              <w:jc w:val="center"/>
              <w:rPr>
                <w:rFonts w:ascii="Times New Roman" w:hAnsi="Times New Roman"/>
                <w:szCs w:val="24"/>
              </w:rPr>
            </w:pPr>
          </w:p>
        </w:tc>
        <w:tc>
          <w:tcPr>
            <w:tcW w:w="2224" w:type="dxa"/>
            <w:vMerge w:val="continue"/>
            <w:vAlign w:val="center"/>
          </w:tcPr>
          <w:p w14:paraId="29A74744">
            <w:pPr>
              <w:spacing w:line="300" w:lineRule="exact"/>
              <w:jc w:val="center"/>
              <w:rPr>
                <w:rFonts w:ascii="Times New Roman" w:hAnsi="Times New Roman"/>
                <w:szCs w:val="24"/>
              </w:rPr>
            </w:pPr>
          </w:p>
        </w:tc>
        <w:tc>
          <w:tcPr>
            <w:tcW w:w="1465" w:type="dxa"/>
            <w:vMerge w:val="continue"/>
            <w:vAlign w:val="center"/>
          </w:tcPr>
          <w:p w14:paraId="0A9DA94C">
            <w:pPr>
              <w:spacing w:line="300" w:lineRule="exact"/>
              <w:jc w:val="center"/>
              <w:rPr>
                <w:rFonts w:ascii="Times New Roman" w:hAnsi="Times New Roman"/>
                <w:szCs w:val="24"/>
              </w:rPr>
            </w:pPr>
          </w:p>
        </w:tc>
        <w:tc>
          <w:tcPr>
            <w:tcW w:w="2611" w:type="dxa"/>
            <w:vAlign w:val="center"/>
          </w:tcPr>
          <w:p w14:paraId="79B093F2">
            <w:pPr>
              <w:spacing w:line="240" w:lineRule="atLeast"/>
              <w:jc w:val="center"/>
              <w:rPr>
                <w:rFonts w:ascii="宋体"/>
                <w:sz w:val="18"/>
                <w:szCs w:val="18"/>
              </w:rPr>
            </w:pPr>
          </w:p>
        </w:tc>
        <w:tc>
          <w:tcPr>
            <w:tcW w:w="1960" w:type="dxa"/>
            <w:vAlign w:val="center"/>
          </w:tcPr>
          <w:p w14:paraId="6D755DAE">
            <w:pPr>
              <w:spacing w:line="240" w:lineRule="atLeast"/>
              <w:jc w:val="center"/>
              <w:rPr>
                <w:sz w:val="18"/>
                <w:szCs w:val="18"/>
              </w:rPr>
            </w:pPr>
          </w:p>
        </w:tc>
      </w:tr>
      <w:tr w14:paraId="1F0791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3" w:hRule="atLeast"/>
        </w:trPr>
        <w:tc>
          <w:tcPr>
            <w:tcW w:w="1645" w:type="dxa"/>
            <w:vMerge w:val="restart"/>
            <w:vAlign w:val="center"/>
          </w:tcPr>
          <w:p w14:paraId="1486766D">
            <w:pPr>
              <w:spacing w:line="300" w:lineRule="exact"/>
              <w:jc w:val="center"/>
              <w:rPr>
                <w:rFonts w:ascii="Times New Roman" w:hAnsi="Times New Roman"/>
                <w:szCs w:val="24"/>
              </w:rPr>
            </w:pPr>
          </w:p>
        </w:tc>
        <w:tc>
          <w:tcPr>
            <w:tcW w:w="2224" w:type="dxa"/>
            <w:vMerge w:val="restart"/>
            <w:vAlign w:val="center"/>
          </w:tcPr>
          <w:p w14:paraId="48ECEEE3">
            <w:pPr>
              <w:spacing w:line="300" w:lineRule="exact"/>
              <w:jc w:val="center"/>
              <w:rPr>
                <w:rFonts w:ascii="Times New Roman" w:hAnsi="Times New Roman"/>
                <w:szCs w:val="24"/>
              </w:rPr>
            </w:pPr>
          </w:p>
        </w:tc>
        <w:tc>
          <w:tcPr>
            <w:tcW w:w="1465" w:type="dxa"/>
            <w:vMerge w:val="restart"/>
            <w:vAlign w:val="center"/>
          </w:tcPr>
          <w:p w14:paraId="5A063988">
            <w:pPr>
              <w:spacing w:line="300" w:lineRule="exact"/>
              <w:jc w:val="center"/>
              <w:rPr>
                <w:rFonts w:ascii="Times New Roman" w:hAnsi="Times New Roman"/>
                <w:szCs w:val="24"/>
              </w:rPr>
            </w:pPr>
          </w:p>
        </w:tc>
        <w:tc>
          <w:tcPr>
            <w:tcW w:w="2611" w:type="dxa"/>
            <w:vAlign w:val="center"/>
          </w:tcPr>
          <w:p w14:paraId="2B912C31">
            <w:pPr>
              <w:spacing w:line="240" w:lineRule="atLeast"/>
              <w:jc w:val="center"/>
              <w:rPr>
                <w:rFonts w:ascii="宋体"/>
                <w:sz w:val="18"/>
                <w:szCs w:val="18"/>
              </w:rPr>
            </w:pPr>
          </w:p>
        </w:tc>
        <w:tc>
          <w:tcPr>
            <w:tcW w:w="1960" w:type="dxa"/>
            <w:vAlign w:val="center"/>
          </w:tcPr>
          <w:p w14:paraId="15C551A1">
            <w:pPr>
              <w:spacing w:line="240" w:lineRule="atLeast"/>
              <w:jc w:val="center"/>
              <w:rPr>
                <w:sz w:val="18"/>
                <w:szCs w:val="18"/>
              </w:rPr>
            </w:pPr>
          </w:p>
        </w:tc>
      </w:tr>
      <w:tr w14:paraId="1652EC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3" w:hRule="atLeast"/>
        </w:trPr>
        <w:tc>
          <w:tcPr>
            <w:tcW w:w="1645" w:type="dxa"/>
            <w:vMerge w:val="continue"/>
            <w:vAlign w:val="center"/>
          </w:tcPr>
          <w:p w14:paraId="3A0A7985">
            <w:pPr>
              <w:spacing w:line="300" w:lineRule="exact"/>
              <w:jc w:val="center"/>
              <w:rPr>
                <w:rFonts w:ascii="Times New Roman" w:hAnsi="Times New Roman"/>
                <w:szCs w:val="24"/>
              </w:rPr>
            </w:pPr>
          </w:p>
        </w:tc>
        <w:tc>
          <w:tcPr>
            <w:tcW w:w="2224" w:type="dxa"/>
            <w:vMerge w:val="continue"/>
            <w:vAlign w:val="center"/>
          </w:tcPr>
          <w:p w14:paraId="6E261C1C">
            <w:pPr>
              <w:spacing w:line="300" w:lineRule="exact"/>
              <w:jc w:val="center"/>
              <w:rPr>
                <w:rFonts w:ascii="Times New Roman" w:hAnsi="Times New Roman"/>
                <w:szCs w:val="24"/>
              </w:rPr>
            </w:pPr>
          </w:p>
        </w:tc>
        <w:tc>
          <w:tcPr>
            <w:tcW w:w="1465" w:type="dxa"/>
            <w:vMerge w:val="continue"/>
            <w:vAlign w:val="center"/>
          </w:tcPr>
          <w:p w14:paraId="536232C7">
            <w:pPr>
              <w:spacing w:line="300" w:lineRule="exact"/>
              <w:jc w:val="center"/>
              <w:rPr>
                <w:rFonts w:ascii="Times New Roman" w:hAnsi="Times New Roman"/>
                <w:szCs w:val="24"/>
              </w:rPr>
            </w:pPr>
          </w:p>
        </w:tc>
        <w:tc>
          <w:tcPr>
            <w:tcW w:w="2611" w:type="dxa"/>
            <w:vAlign w:val="center"/>
          </w:tcPr>
          <w:p w14:paraId="73ED562A">
            <w:pPr>
              <w:spacing w:line="300" w:lineRule="exact"/>
              <w:jc w:val="center"/>
              <w:rPr>
                <w:rFonts w:ascii="Times New Roman" w:hAnsi="Times New Roman"/>
                <w:szCs w:val="24"/>
              </w:rPr>
            </w:pPr>
          </w:p>
        </w:tc>
        <w:tc>
          <w:tcPr>
            <w:tcW w:w="1960" w:type="dxa"/>
          </w:tcPr>
          <w:p w14:paraId="465FCD3D">
            <w:pPr>
              <w:spacing w:line="300" w:lineRule="exact"/>
              <w:jc w:val="center"/>
              <w:rPr>
                <w:rFonts w:ascii="Times New Roman" w:hAnsi="Times New Roman"/>
                <w:szCs w:val="24"/>
              </w:rPr>
            </w:pPr>
          </w:p>
        </w:tc>
      </w:tr>
      <w:tr w14:paraId="45B715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3" w:hRule="atLeast"/>
        </w:trPr>
        <w:tc>
          <w:tcPr>
            <w:tcW w:w="1645" w:type="dxa"/>
            <w:vMerge w:val="continue"/>
            <w:vAlign w:val="center"/>
          </w:tcPr>
          <w:p w14:paraId="7F9EEC36">
            <w:pPr>
              <w:spacing w:line="300" w:lineRule="exact"/>
              <w:jc w:val="center"/>
              <w:rPr>
                <w:rFonts w:ascii="Times New Roman" w:hAnsi="Times New Roman"/>
                <w:szCs w:val="24"/>
              </w:rPr>
            </w:pPr>
          </w:p>
        </w:tc>
        <w:tc>
          <w:tcPr>
            <w:tcW w:w="2224" w:type="dxa"/>
            <w:vMerge w:val="continue"/>
            <w:vAlign w:val="center"/>
          </w:tcPr>
          <w:p w14:paraId="61DA77D2">
            <w:pPr>
              <w:spacing w:line="300" w:lineRule="exact"/>
              <w:jc w:val="center"/>
              <w:rPr>
                <w:rFonts w:ascii="Times New Roman" w:hAnsi="Times New Roman"/>
                <w:szCs w:val="24"/>
              </w:rPr>
            </w:pPr>
          </w:p>
        </w:tc>
        <w:tc>
          <w:tcPr>
            <w:tcW w:w="1465" w:type="dxa"/>
            <w:vMerge w:val="continue"/>
            <w:vAlign w:val="center"/>
          </w:tcPr>
          <w:p w14:paraId="13120CBE">
            <w:pPr>
              <w:spacing w:line="300" w:lineRule="exact"/>
              <w:jc w:val="center"/>
              <w:rPr>
                <w:rFonts w:ascii="Times New Roman" w:hAnsi="Times New Roman"/>
                <w:szCs w:val="24"/>
              </w:rPr>
            </w:pPr>
          </w:p>
        </w:tc>
        <w:tc>
          <w:tcPr>
            <w:tcW w:w="2611" w:type="dxa"/>
            <w:vAlign w:val="center"/>
          </w:tcPr>
          <w:p w14:paraId="491FC411">
            <w:pPr>
              <w:spacing w:line="300" w:lineRule="exact"/>
              <w:jc w:val="center"/>
              <w:rPr>
                <w:rFonts w:ascii="Times New Roman" w:hAnsi="Times New Roman"/>
                <w:szCs w:val="24"/>
              </w:rPr>
            </w:pPr>
          </w:p>
        </w:tc>
        <w:tc>
          <w:tcPr>
            <w:tcW w:w="1960" w:type="dxa"/>
          </w:tcPr>
          <w:p w14:paraId="6C9AB17A">
            <w:pPr>
              <w:spacing w:line="300" w:lineRule="exact"/>
              <w:jc w:val="center"/>
              <w:rPr>
                <w:rFonts w:ascii="Times New Roman" w:hAnsi="Times New Roman"/>
                <w:szCs w:val="24"/>
              </w:rPr>
            </w:pPr>
          </w:p>
        </w:tc>
      </w:tr>
      <w:tr w14:paraId="64F013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3" w:hRule="atLeast"/>
        </w:trPr>
        <w:tc>
          <w:tcPr>
            <w:tcW w:w="1645" w:type="dxa"/>
            <w:vMerge w:val="continue"/>
            <w:vAlign w:val="center"/>
          </w:tcPr>
          <w:p w14:paraId="6616971E">
            <w:pPr>
              <w:spacing w:line="300" w:lineRule="exact"/>
              <w:jc w:val="center"/>
              <w:rPr>
                <w:rFonts w:ascii="Times New Roman" w:hAnsi="Times New Roman"/>
                <w:szCs w:val="24"/>
              </w:rPr>
            </w:pPr>
          </w:p>
        </w:tc>
        <w:tc>
          <w:tcPr>
            <w:tcW w:w="2224" w:type="dxa"/>
            <w:vMerge w:val="continue"/>
            <w:vAlign w:val="center"/>
          </w:tcPr>
          <w:p w14:paraId="0A3651F5">
            <w:pPr>
              <w:spacing w:line="300" w:lineRule="exact"/>
              <w:jc w:val="center"/>
              <w:rPr>
                <w:rFonts w:ascii="Times New Roman" w:hAnsi="Times New Roman"/>
                <w:szCs w:val="24"/>
              </w:rPr>
            </w:pPr>
          </w:p>
        </w:tc>
        <w:tc>
          <w:tcPr>
            <w:tcW w:w="1465" w:type="dxa"/>
            <w:vMerge w:val="continue"/>
            <w:vAlign w:val="center"/>
          </w:tcPr>
          <w:p w14:paraId="550585FD">
            <w:pPr>
              <w:spacing w:line="300" w:lineRule="exact"/>
              <w:jc w:val="center"/>
              <w:rPr>
                <w:rFonts w:ascii="Times New Roman" w:hAnsi="Times New Roman"/>
                <w:szCs w:val="24"/>
              </w:rPr>
            </w:pPr>
          </w:p>
        </w:tc>
        <w:tc>
          <w:tcPr>
            <w:tcW w:w="2611" w:type="dxa"/>
            <w:vAlign w:val="center"/>
          </w:tcPr>
          <w:p w14:paraId="09372DA7">
            <w:pPr>
              <w:spacing w:line="300" w:lineRule="exact"/>
              <w:jc w:val="center"/>
              <w:rPr>
                <w:rFonts w:ascii="Times New Roman" w:hAnsi="Times New Roman"/>
                <w:szCs w:val="24"/>
              </w:rPr>
            </w:pPr>
          </w:p>
        </w:tc>
        <w:tc>
          <w:tcPr>
            <w:tcW w:w="1960" w:type="dxa"/>
          </w:tcPr>
          <w:p w14:paraId="16BEE6C5">
            <w:pPr>
              <w:spacing w:line="300" w:lineRule="exact"/>
              <w:jc w:val="center"/>
              <w:rPr>
                <w:rFonts w:ascii="Times New Roman" w:hAnsi="Times New Roman"/>
                <w:szCs w:val="24"/>
              </w:rPr>
            </w:pPr>
          </w:p>
        </w:tc>
      </w:tr>
      <w:tr w14:paraId="139E9A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2" w:hRule="atLeast"/>
        </w:trPr>
        <w:tc>
          <w:tcPr>
            <w:tcW w:w="1645" w:type="dxa"/>
            <w:vMerge w:val="continue"/>
            <w:vAlign w:val="center"/>
          </w:tcPr>
          <w:p w14:paraId="2F008B26">
            <w:pPr>
              <w:spacing w:line="300" w:lineRule="exact"/>
              <w:jc w:val="center"/>
              <w:rPr>
                <w:rFonts w:ascii="Times New Roman" w:hAnsi="Times New Roman"/>
                <w:szCs w:val="24"/>
              </w:rPr>
            </w:pPr>
          </w:p>
        </w:tc>
        <w:tc>
          <w:tcPr>
            <w:tcW w:w="2224" w:type="dxa"/>
            <w:vMerge w:val="continue"/>
            <w:vAlign w:val="center"/>
          </w:tcPr>
          <w:p w14:paraId="242D1D7F">
            <w:pPr>
              <w:spacing w:line="300" w:lineRule="exact"/>
              <w:jc w:val="center"/>
              <w:rPr>
                <w:rFonts w:ascii="Times New Roman" w:hAnsi="Times New Roman"/>
                <w:szCs w:val="24"/>
              </w:rPr>
            </w:pPr>
          </w:p>
        </w:tc>
        <w:tc>
          <w:tcPr>
            <w:tcW w:w="1465" w:type="dxa"/>
            <w:vMerge w:val="continue"/>
            <w:vAlign w:val="center"/>
          </w:tcPr>
          <w:p w14:paraId="54D18B4B">
            <w:pPr>
              <w:spacing w:line="300" w:lineRule="exact"/>
              <w:jc w:val="center"/>
              <w:rPr>
                <w:rFonts w:ascii="Times New Roman" w:hAnsi="Times New Roman"/>
                <w:szCs w:val="24"/>
              </w:rPr>
            </w:pPr>
          </w:p>
        </w:tc>
        <w:tc>
          <w:tcPr>
            <w:tcW w:w="2611" w:type="dxa"/>
            <w:vAlign w:val="center"/>
          </w:tcPr>
          <w:p w14:paraId="028952CF">
            <w:pPr>
              <w:spacing w:line="300" w:lineRule="exact"/>
              <w:jc w:val="center"/>
              <w:rPr>
                <w:rFonts w:ascii="Times New Roman" w:hAnsi="Times New Roman"/>
                <w:szCs w:val="24"/>
              </w:rPr>
            </w:pPr>
          </w:p>
        </w:tc>
        <w:tc>
          <w:tcPr>
            <w:tcW w:w="1960" w:type="dxa"/>
          </w:tcPr>
          <w:p w14:paraId="533741F8">
            <w:pPr>
              <w:spacing w:line="300" w:lineRule="exact"/>
              <w:jc w:val="center"/>
              <w:rPr>
                <w:rFonts w:ascii="Times New Roman" w:hAnsi="Times New Roman"/>
                <w:szCs w:val="24"/>
              </w:rPr>
            </w:pPr>
          </w:p>
        </w:tc>
      </w:tr>
      <w:tr w14:paraId="48697D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3" w:hRule="atLeast"/>
        </w:trPr>
        <w:tc>
          <w:tcPr>
            <w:tcW w:w="1645" w:type="dxa"/>
            <w:vMerge w:val="restart"/>
            <w:vAlign w:val="center"/>
          </w:tcPr>
          <w:p w14:paraId="6E4E1660">
            <w:pPr>
              <w:spacing w:line="300" w:lineRule="exact"/>
              <w:jc w:val="center"/>
              <w:rPr>
                <w:rFonts w:ascii="Times New Roman" w:hAnsi="Times New Roman"/>
                <w:szCs w:val="24"/>
              </w:rPr>
            </w:pPr>
          </w:p>
        </w:tc>
        <w:tc>
          <w:tcPr>
            <w:tcW w:w="2224" w:type="dxa"/>
            <w:vMerge w:val="restart"/>
            <w:vAlign w:val="center"/>
          </w:tcPr>
          <w:p w14:paraId="30EDCE17">
            <w:pPr>
              <w:spacing w:line="300" w:lineRule="exact"/>
              <w:jc w:val="center"/>
              <w:rPr>
                <w:rFonts w:ascii="Times New Roman" w:hAnsi="Times New Roman"/>
                <w:szCs w:val="24"/>
              </w:rPr>
            </w:pPr>
          </w:p>
        </w:tc>
        <w:tc>
          <w:tcPr>
            <w:tcW w:w="1465" w:type="dxa"/>
            <w:vMerge w:val="restart"/>
            <w:vAlign w:val="center"/>
          </w:tcPr>
          <w:p w14:paraId="2C05736F">
            <w:pPr>
              <w:spacing w:line="300" w:lineRule="exact"/>
              <w:jc w:val="center"/>
              <w:rPr>
                <w:rFonts w:ascii="Times New Roman" w:hAnsi="Times New Roman"/>
                <w:szCs w:val="24"/>
              </w:rPr>
            </w:pPr>
          </w:p>
        </w:tc>
        <w:tc>
          <w:tcPr>
            <w:tcW w:w="2611" w:type="dxa"/>
            <w:vAlign w:val="center"/>
          </w:tcPr>
          <w:p w14:paraId="0BA96BAB">
            <w:pPr>
              <w:spacing w:line="300" w:lineRule="exact"/>
              <w:jc w:val="center"/>
              <w:rPr>
                <w:rFonts w:ascii="Times New Roman" w:hAnsi="Times New Roman"/>
                <w:szCs w:val="24"/>
              </w:rPr>
            </w:pPr>
          </w:p>
        </w:tc>
        <w:tc>
          <w:tcPr>
            <w:tcW w:w="1960" w:type="dxa"/>
          </w:tcPr>
          <w:p w14:paraId="78F8F123">
            <w:pPr>
              <w:spacing w:line="300" w:lineRule="exact"/>
              <w:jc w:val="center"/>
              <w:rPr>
                <w:rFonts w:ascii="Times New Roman" w:hAnsi="Times New Roman"/>
                <w:szCs w:val="24"/>
              </w:rPr>
            </w:pPr>
          </w:p>
        </w:tc>
      </w:tr>
      <w:tr w14:paraId="78275F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3" w:hRule="atLeast"/>
        </w:trPr>
        <w:tc>
          <w:tcPr>
            <w:tcW w:w="1645" w:type="dxa"/>
            <w:vMerge w:val="continue"/>
            <w:vAlign w:val="center"/>
          </w:tcPr>
          <w:p w14:paraId="6BFA03FF">
            <w:pPr>
              <w:spacing w:line="300" w:lineRule="exact"/>
              <w:jc w:val="center"/>
              <w:rPr>
                <w:rFonts w:ascii="Times New Roman" w:hAnsi="Times New Roman"/>
                <w:szCs w:val="24"/>
              </w:rPr>
            </w:pPr>
          </w:p>
        </w:tc>
        <w:tc>
          <w:tcPr>
            <w:tcW w:w="2224" w:type="dxa"/>
            <w:vMerge w:val="continue"/>
            <w:vAlign w:val="center"/>
          </w:tcPr>
          <w:p w14:paraId="66847B66">
            <w:pPr>
              <w:spacing w:line="300" w:lineRule="exact"/>
              <w:jc w:val="center"/>
              <w:rPr>
                <w:rFonts w:ascii="Times New Roman" w:hAnsi="Times New Roman"/>
                <w:szCs w:val="24"/>
              </w:rPr>
            </w:pPr>
          </w:p>
        </w:tc>
        <w:tc>
          <w:tcPr>
            <w:tcW w:w="1465" w:type="dxa"/>
            <w:vMerge w:val="continue"/>
            <w:vAlign w:val="center"/>
          </w:tcPr>
          <w:p w14:paraId="4B9F4671">
            <w:pPr>
              <w:spacing w:line="300" w:lineRule="exact"/>
              <w:jc w:val="center"/>
              <w:rPr>
                <w:rFonts w:ascii="Times New Roman" w:hAnsi="Times New Roman"/>
                <w:szCs w:val="24"/>
              </w:rPr>
            </w:pPr>
          </w:p>
        </w:tc>
        <w:tc>
          <w:tcPr>
            <w:tcW w:w="2611" w:type="dxa"/>
            <w:vAlign w:val="center"/>
          </w:tcPr>
          <w:p w14:paraId="5078AC2A">
            <w:pPr>
              <w:spacing w:line="300" w:lineRule="exact"/>
              <w:jc w:val="center"/>
              <w:rPr>
                <w:rFonts w:ascii="Times New Roman" w:hAnsi="Times New Roman"/>
                <w:szCs w:val="24"/>
              </w:rPr>
            </w:pPr>
          </w:p>
        </w:tc>
        <w:tc>
          <w:tcPr>
            <w:tcW w:w="1960" w:type="dxa"/>
          </w:tcPr>
          <w:p w14:paraId="3239BEFA">
            <w:pPr>
              <w:spacing w:line="300" w:lineRule="exact"/>
              <w:jc w:val="center"/>
              <w:rPr>
                <w:rFonts w:ascii="Times New Roman" w:hAnsi="Times New Roman"/>
                <w:szCs w:val="24"/>
              </w:rPr>
            </w:pPr>
          </w:p>
        </w:tc>
      </w:tr>
      <w:tr w14:paraId="2C8132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3" w:hRule="atLeast"/>
        </w:trPr>
        <w:tc>
          <w:tcPr>
            <w:tcW w:w="1645" w:type="dxa"/>
            <w:vMerge w:val="continue"/>
            <w:vAlign w:val="center"/>
          </w:tcPr>
          <w:p w14:paraId="218B3AEE">
            <w:pPr>
              <w:spacing w:line="300" w:lineRule="exact"/>
              <w:jc w:val="center"/>
              <w:rPr>
                <w:rFonts w:ascii="Times New Roman" w:hAnsi="Times New Roman"/>
                <w:szCs w:val="24"/>
              </w:rPr>
            </w:pPr>
          </w:p>
        </w:tc>
        <w:tc>
          <w:tcPr>
            <w:tcW w:w="2224" w:type="dxa"/>
            <w:vMerge w:val="continue"/>
            <w:vAlign w:val="center"/>
          </w:tcPr>
          <w:p w14:paraId="011C768C">
            <w:pPr>
              <w:spacing w:line="300" w:lineRule="exact"/>
              <w:jc w:val="center"/>
              <w:rPr>
                <w:rFonts w:ascii="Times New Roman" w:hAnsi="Times New Roman"/>
                <w:szCs w:val="24"/>
              </w:rPr>
            </w:pPr>
          </w:p>
        </w:tc>
        <w:tc>
          <w:tcPr>
            <w:tcW w:w="1465" w:type="dxa"/>
            <w:vMerge w:val="continue"/>
            <w:vAlign w:val="center"/>
          </w:tcPr>
          <w:p w14:paraId="6EC2FDD4">
            <w:pPr>
              <w:spacing w:line="300" w:lineRule="exact"/>
              <w:jc w:val="center"/>
              <w:rPr>
                <w:rFonts w:ascii="Times New Roman" w:hAnsi="Times New Roman"/>
                <w:szCs w:val="24"/>
              </w:rPr>
            </w:pPr>
          </w:p>
        </w:tc>
        <w:tc>
          <w:tcPr>
            <w:tcW w:w="2611" w:type="dxa"/>
            <w:vAlign w:val="center"/>
          </w:tcPr>
          <w:p w14:paraId="4A44FD8C">
            <w:pPr>
              <w:spacing w:line="300" w:lineRule="exact"/>
              <w:jc w:val="center"/>
              <w:rPr>
                <w:rFonts w:ascii="Times New Roman" w:hAnsi="Times New Roman"/>
                <w:szCs w:val="24"/>
              </w:rPr>
            </w:pPr>
          </w:p>
        </w:tc>
        <w:tc>
          <w:tcPr>
            <w:tcW w:w="1960" w:type="dxa"/>
          </w:tcPr>
          <w:p w14:paraId="2E284665">
            <w:pPr>
              <w:spacing w:line="300" w:lineRule="exact"/>
              <w:jc w:val="center"/>
              <w:rPr>
                <w:rFonts w:ascii="Times New Roman" w:hAnsi="Times New Roman"/>
                <w:szCs w:val="24"/>
              </w:rPr>
            </w:pPr>
          </w:p>
        </w:tc>
      </w:tr>
      <w:tr w14:paraId="1926FD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3" w:hRule="atLeast"/>
        </w:trPr>
        <w:tc>
          <w:tcPr>
            <w:tcW w:w="1645" w:type="dxa"/>
            <w:vMerge w:val="continue"/>
            <w:vAlign w:val="center"/>
          </w:tcPr>
          <w:p w14:paraId="49CB0C72">
            <w:pPr>
              <w:spacing w:line="300" w:lineRule="exact"/>
              <w:jc w:val="center"/>
              <w:rPr>
                <w:rFonts w:ascii="Times New Roman" w:hAnsi="Times New Roman"/>
                <w:szCs w:val="24"/>
              </w:rPr>
            </w:pPr>
          </w:p>
        </w:tc>
        <w:tc>
          <w:tcPr>
            <w:tcW w:w="2224" w:type="dxa"/>
            <w:vMerge w:val="continue"/>
            <w:vAlign w:val="center"/>
          </w:tcPr>
          <w:p w14:paraId="509E3553">
            <w:pPr>
              <w:spacing w:line="300" w:lineRule="exact"/>
              <w:jc w:val="center"/>
              <w:rPr>
                <w:rFonts w:ascii="Times New Roman" w:hAnsi="Times New Roman"/>
                <w:szCs w:val="24"/>
              </w:rPr>
            </w:pPr>
          </w:p>
        </w:tc>
        <w:tc>
          <w:tcPr>
            <w:tcW w:w="1465" w:type="dxa"/>
            <w:vMerge w:val="continue"/>
            <w:vAlign w:val="center"/>
          </w:tcPr>
          <w:p w14:paraId="0E39FDC1">
            <w:pPr>
              <w:spacing w:line="300" w:lineRule="exact"/>
              <w:jc w:val="center"/>
              <w:rPr>
                <w:rFonts w:ascii="Times New Roman" w:hAnsi="Times New Roman"/>
                <w:szCs w:val="24"/>
              </w:rPr>
            </w:pPr>
          </w:p>
        </w:tc>
        <w:tc>
          <w:tcPr>
            <w:tcW w:w="2611" w:type="dxa"/>
            <w:vAlign w:val="center"/>
          </w:tcPr>
          <w:p w14:paraId="25760B9A">
            <w:pPr>
              <w:spacing w:line="300" w:lineRule="exact"/>
              <w:jc w:val="center"/>
              <w:rPr>
                <w:rFonts w:ascii="Times New Roman" w:hAnsi="Times New Roman"/>
                <w:szCs w:val="24"/>
              </w:rPr>
            </w:pPr>
          </w:p>
        </w:tc>
        <w:tc>
          <w:tcPr>
            <w:tcW w:w="1960" w:type="dxa"/>
          </w:tcPr>
          <w:p w14:paraId="64EB79A2">
            <w:pPr>
              <w:spacing w:line="300" w:lineRule="exact"/>
              <w:jc w:val="center"/>
              <w:rPr>
                <w:rFonts w:ascii="Times New Roman" w:hAnsi="Times New Roman"/>
                <w:szCs w:val="24"/>
              </w:rPr>
            </w:pPr>
          </w:p>
        </w:tc>
      </w:tr>
      <w:tr w14:paraId="6C6158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3" w:hRule="atLeast"/>
        </w:trPr>
        <w:tc>
          <w:tcPr>
            <w:tcW w:w="1645" w:type="dxa"/>
            <w:vMerge w:val="continue"/>
            <w:vAlign w:val="center"/>
          </w:tcPr>
          <w:p w14:paraId="6FDFAC7C">
            <w:pPr>
              <w:spacing w:line="300" w:lineRule="exact"/>
              <w:jc w:val="center"/>
              <w:rPr>
                <w:rFonts w:ascii="Times New Roman" w:hAnsi="Times New Roman"/>
                <w:szCs w:val="24"/>
              </w:rPr>
            </w:pPr>
          </w:p>
        </w:tc>
        <w:tc>
          <w:tcPr>
            <w:tcW w:w="2224" w:type="dxa"/>
            <w:vMerge w:val="continue"/>
            <w:vAlign w:val="center"/>
          </w:tcPr>
          <w:p w14:paraId="02411384">
            <w:pPr>
              <w:spacing w:line="300" w:lineRule="exact"/>
              <w:jc w:val="center"/>
              <w:rPr>
                <w:rFonts w:ascii="Times New Roman" w:hAnsi="Times New Roman"/>
                <w:szCs w:val="24"/>
              </w:rPr>
            </w:pPr>
          </w:p>
        </w:tc>
        <w:tc>
          <w:tcPr>
            <w:tcW w:w="1465" w:type="dxa"/>
            <w:vMerge w:val="continue"/>
            <w:vAlign w:val="center"/>
          </w:tcPr>
          <w:p w14:paraId="68A5A635">
            <w:pPr>
              <w:spacing w:line="300" w:lineRule="exact"/>
              <w:jc w:val="center"/>
              <w:rPr>
                <w:rFonts w:ascii="Times New Roman" w:hAnsi="Times New Roman"/>
                <w:szCs w:val="24"/>
              </w:rPr>
            </w:pPr>
          </w:p>
        </w:tc>
        <w:tc>
          <w:tcPr>
            <w:tcW w:w="2611" w:type="dxa"/>
            <w:vAlign w:val="center"/>
          </w:tcPr>
          <w:p w14:paraId="15F3B69F">
            <w:pPr>
              <w:spacing w:line="300" w:lineRule="exact"/>
              <w:jc w:val="center"/>
              <w:rPr>
                <w:rFonts w:ascii="Times New Roman" w:hAnsi="Times New Roman"/>
                <w:szCs w:val="24"/>
              </w:rPr>
            </w:pPr>
          </w:p>
        </w:tc>
        <w:tc>
          <w:tcPr>
            <w:tcW w:w="1960" w:type="dxa"/>
          </w:tcPr>
          <w:p w14:paraId="581AC2B3">
            <w:pPr>
              <w:spacing w:line="300" w:lineRule="exact"/>
              <w:jc w:val="center"/>
              <w:rPr>
                <w:rFonts w:ascii="Times New Roman" w:hAnsi="Times New Roman"/>
                <w:szCs w:val="24"/>
              </w:rPr>
            </w:pPr>
          </w:p>
        </w:tc>
      </w:tr>
    </w:tbl>
    <w:p w14:paraId="4D38A1F7">
      <w:pPr>
        <w:rPr>
          <w:rFonts w:ascii="Times New Roman" w:hAnsi="Times New Roman" w:eastAsia="仿宋_GB2312"/>
          <w:sz w:val="28"/>
        </w:rPr>
      </w:pPr>
    </w:p>
    <w:p w14:paraId="5E2DB62E">
      <w:pPr>
        <w:rPr>
          <w:rFonts w:ascii="Times New Roman" w:hAnsi="Times New Roman" w:eastAsia="仿宋_GB2312"/>
          <w:sz w:val="28"/>
        </w:rPr>
      </w:pPr>
    </w:p>
    <w:p w14:paraId="1A3ED308">
      <w:pPr>
        <w:rPr>
          <w:rFonts w:ascii="Times New Roman" w:hAnsi="Times New Roman" w:eastAsia="仿宋_GB2312"/>
          <w:sz w:val="28"/>
        </w:rPr>
      </w:pPr>
    </w:p>
    <w:tbl>
      <w:tblPr>
        <w:tblStyle w:val="6"/>
        <w:tblW w:w="10092" w:type="dxa"/>
        <w:tblInd w:w="-43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51"/>
        <w:gridCol w:w="1803"/>
        <w:gridCol w:w="1809"/>
        <w:gridCol w:w="2151"/>
        <w:gridCol w:w="2478"/>
      </w:tblGrid>
      <w:tr w14:paraId="1F4D1A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60" w:hRule="atLeast"/>
        </w:trPr>
        <w:tc>
          <w:tcPr>
            <w:tcW w:w="10092" w:type="dxa"/>
            <w:gridSpan w:val="5"/>
          </w:tcPr>
          <w:p w14:paraId="4667888A">
            <w:pPr>
              <w:ind w:left="540"/>
              <w:rPr>
                <w:rFonts w:hint="eastAsia" w:ascii="Times New Roman" w:hAnsi="Times New Roman" w:eastAsia="仿宋_GB2312"/>
                <w:sz w:val="28"/>
              </w:rPr>
            </w:pPr>
          </w:p>
          <w:p w14:paraId="578473ED">
            <w:pPr>
              <w:ind w:left="540"/>
              <w:rPr>
                <w:rFonts w:ascii="Times New Roman" w:hAnsi="Times New Roman" w:eastAsia="仿宋_GB2312"/>
                <w:sz w:val="28"/>
              </w:rPr>
            </w:pPr>
            <w:r>
              <w:rPr>
                <w:rFonts w:hint="eastAsia" w:ascii="Times New Roman" w:hAnsi="Times New Roman" w:eastAsia="仿宋_GB2312"/>
                <w:sz w:val="28"/>
              </w:rPr>
              <w:t>表</w:t>
            </w:r>
            <w:r>
              <w:rPr>
                <w:rFonts w:ascii="Times New Roman" w:hAnsi="Times New Roman" w:eastAsia="仿宋_GB2312"/>
                <w:sz w:val="28"/>
              </w:rPr>
              <w:t>2</w:t>
            </w:r>
            <w:r>
              <w:rPr>
                <w:rFonts w:hint="eastAsia" w:ascii="Times New Roman" w:hAnsi="Times New Roman" w:eastAsia="仿宋_GB2312"/>
                <w:sz w:val="28"/>
              </w:rPr>
              <w:t>与申请转移废物相关的生产工艺</w:t>
            </w:r>
          </w:p>
          <w:p w14:paraId="1C41BDDF">
            <w:pPr>
              <w:ind w:left="540"/>
              <w:rPr>
                <w:rFonts w:hint="eastAsia" w:ascii="Times New Roman" w:hAnsi="Times New Roman" w:eastAsia="仿宋_GB2312"/>
                <w:sz w:val="24"/>
                <w:szCs w:val="24"/>
              </w:rPr>
            </w:pPr>
          </w:p>
          <w:p w14:paraId="3C3EF46A">
            <w:pPr>
              <w:ind w:left="540"/>
              <w:rPr>
                <w:rFonts w:hint="eastAsia" w:ascii="Times New Roman" w:hAnsi="Times New Roman" w:eastAsia="仿宋_GB2312"/>
                <w:sz w:val="24"/>
                <w:szCs w:val="24"/>
              </w:rPr>
            </w:pPr>
            <w:r>
              <w:rPr>
                <w:rFonts w:hint="eastAsia" w:ascii="Times New Roman" w:hAnsi="Times New Roman" w:eastAsia="仿宋_GB2312"/>
                <w:sz w:val="24"/>
                <w:szCs w:val="24"/>
              </w:rPr>
              <w:t>文字描述及工艺流程图：</w:t>
            </w:r>
          </w:p>
          <w:p w14:paraId="45084D44">
            <w:pPr>
              <w:ind w:left="540"/>
              <w:rPr>
                <w:rFonts w:hint="eastAsia" w:ascii="Times New Roman" w:hAnsi="Times New Roman" w:eastAsia="仿宋_GB2312"/>
                <w:sz w:val="24"/>
                <w:szCs w:val="24"/>
                <w:lang w:eastAsia="zh-CN"/>
              </w:rPr>
            </w:pPr>
            <w:r>
              <w:rPr>
                <w:rFonts w:hint="eastAsia" w:ascii="Times New Roman" w:hAnsi="Times New Roman" w:eastAsia="仿宋_GB2312"/>
                <w:sz w:val="24"/>
                <w:szCs w:val="24"/>
                <w:lang w:eastAsia="zh-CN"/>
              </w:rPr>
              <w:t>生产工艺文字描述：</w:t>
            </w:r>
          </w:p>
          <w:p w14:paraId="28EB73D8">
            <w:pPr>
              <w:ind w:left="540"/>
              <w:rPr>
                <w:rFonts w:hint="eastAsia" w:ascii="Times New Roman" w:hAnsi="Times New Roman" w:eastAsia="仿宋_GB2312"/>
                <w:sz w:val="24"/>
                <w:szCs w:val="24"/>
              </w:rPr>
            </w:pPr>
            <w:r>
              <w:rPr>
                <w:rFonts w:hint="eastAsia" w:ascii="Times New Roman" w:hAnsi="Times New Roman" w:eastAsia="仿宋_GB2312"/>
                <w:sz w:val="24"/>
                <w:szCs w:val="24"/>
              </w:rPr>
              <w:t>将铜线进行</w:t>
            </w:r>
            <w:r>
              <w:rPr>
                <w:rFonts w:hint="eastAsia" w:ascii="Times New Roman" w:hAnsi="Times New Roman" w:eastAsia="仿宋_GB2312"/>
                <w:sz w:val="24"/>
                <w:szCs w:val="24"/>
                <w:lang w:eastAsia="zh-CN"/>
              </w:rPr>
              <w:t>碱洗、酸洗、水洗、镀镍、水洗、镀铜、水洗、拉丝、碱洗、水洗、镀镍、水洗、镀锡、水洗、中和、水洗、抛光、成品。</w:t>
            </w:r>
          </w:p>
          <w:p w14:paraId="0D270D29">
            <w:pPr>
              <w:ind w:left="540"/>
              <w:rPr>
                <w:rFonts w:hint="eastAsia" w:ascii="Times New Roman" w:hAnsi="Times New Roman" w:eastAsia="仿宋_GB2312"/>
                <w:sz w:val="24"/>
                <w:szCs w:val="24"/>
                <w:lang w:eastAsia="zh-CN"/>
              </w:rPr>
            </w:pPr>
          </w:p>
          <w:p w14:paraId="7BEB43B1">
            <w:pPr>
              <w:ind w:left="540"/>
              <w:rPr>
                <w:rFonts w:hint="eastAsia" w:ascii="Times New Roman" w:hAnsi="Times New Roman" w:eastAsia="仿宋_GB2312"/>
                <w:sz w:val="24"/>
                <w:szCs w:val="24"/>
                <w:lang w:eastAsia="zh-CN"/>
              </w:rPr>
            </w:pPr>
          </w:p>
          <w:p w14:paraId="7DB7662F">
            <w:pPr>
              <w:ind w:left="540"/>
              <w:rPr>
                <w:rFonts w:hint="eastAsia" w:ascii="Times New Roman" w:hAnsi="Times New Roman" w:eastAsia="仿宋_GB2312"/>
                <w:sz w:val="24"/>
                <w:szCs w:val="24"/>
                <w:lang w:eastAsia="zh-CN"/>
              </w:rPr>
            </w:pPr>
          </w:p>
          <w:p w14:paraId="0A08B5D7">
            <w:pPr>
              <w:ind w:left="540"/>
              <w:rPr>
                <w:rFonts w:hint="eastAsia" w:ascii="Times New Roman" w:hAnsi="Times New Roman" w:eastAsia="仿宋_GB2312"/>
                <w:sz w:val="24"/>
                <w:szCs w:val="24"/>
                <w:lang w:eastAsia="zh-CN"/>
              </w:rPr>
            </w:pPr>
            <w:r>
              <w:rPr>
                <w:rFonts w:hint="eastAsia" w:ascii="Times New Roman" w:hAnsi="Times New Roman" w:eastAsia="仿宋_GB2312"/>
                <w:sz w:val="24"/>
                <w:szCs w:val="24"/>
                <w:lang w:eastAsia="zh-CN"/>
              </w:rPr>
              <w:t>生产</w:t>
            </w:r>
            <w:r>
              <w:rPr>
                <w:rFonts w:hint="eastAsia" w:ascii="Times New Roman" w:hAnsi="Times New Roman" w:eastAsia="仿宋_GB2312"/>
                <w:sz w:val="24"/>
                <w:szCs w:val="24"/>
              </w:rPr>
              <w:t>工艺</w:t>
            </w:r>
            <w:r>
              <w:rPr>
                <w:rFonts w:hint="eastAsia" w:ascii="Times New Roman" w:hAnsi="Times New Roman" w:eastAsia="仿宋_GB2312"/>
                <w:sz w:val="24"/>
                <w:szCs w:val="24"/>
                <w:lang w:eastAsia="zh-CN"/>
              </w:rPr>
              <w:t>流</w:t>
            </w:r>
            <w:r>
              <w:rPr>
                <w:sz w:val="21"/>
              </w:rPr>
              <mc:AlternateContent>
                <mc:Choice Requires="wps">
                  <w:drawing>
                    <wp:anchor distT="0" distB="0" distL="114300" distR="114300" simplePos="0" relativeHeight="251660288" behindDoc="0" locked="0" layoutInCell="1" allowOverlap="1">
                      <wp:simplePos x="0" y="0"/>
                      <wp:positionH relativeFrom="column">
                        <wp:posOffset>313690</wp:posOffset>
                      </wp:positionH>
                      <wp:positionV relativeFrom="paragraph">
                        <wp:posOffset>-3810</wp:posOffset>
                      </wp:positionV>
                      <wp:extent cx="4109720" cy="3992880"/>
                      <wp:effectExtent l="4445" t="4445" r="19685" b="22225"/>
                      <wp:wrapNone/>
                      <wp:docPr id="5" name="矩形 5"/>
                      <wp:cNvGraphicFramePr/>
                      <a:graphic xmlns:a="http://schemas.openxmlformats.org/drawingml/2006/main">
                        <a:graphicData uri="http://schemas.microsoft.com/office/word/2010/wordprocessingShape">
                          <wps:wsp>
                            <wps:cNvSpPr/>
                            <wps:spPr>
                              <a:xfrm>
                                <a:off x="0" y="0"/>
                                <a:ext cx="4109720" cy="3992880"/>
                              </a:xfrm>
                              <a:prstGeom prst="rect">
                                <a:avLst/>
                              </a:prstGeom>
                              <a:noFill/>
                              <a:ln w="6350" cap="flat" cmpd="sng">
                                <a:solidFill>
                                  <a:srgbClr val="000000"/>
                                </a:solidFill>
                                <a:prstDash val="dash"/>
                                <a:miter/>
                                <a:headEnd type="none" w="med" len="med"/>
                                <a:tailEnd type="none" w="med" len="med"/>
                              </a:ln>
                            </wps:spPr>
                            <wps:txbx>
                              <w:txbxContent>
                                <w:p w14:paraId="3D03C9DF">
                                  <w:pPr>
                                    <w:jc w:val="center"/>
                                  </w:pPr>
                                </w:p>
                              </w:txbxContent>
                            </wps:txbx>
                            <wps:bodyPr upright="1"/>
                          </wps:wsp>
                        </a:graphicData>
                      </a:graphic>
                    </wp:anchor>
                  </w:drawing>
                </mc:Choice>
                <mc:Fallback>
                  <w:pict>
                    <v:rect id="_x0000_s1026" o:spid="_x0000_s1026" o:spt="1" style="position:absolute;left:0pt;margin-left:24.7pt;margin-top:-0.3pt;height:314.4pt;width:323.6pt;z-index:251660288;mso-width-relative:page;mso-height-relative:page;" filled="f" stroked="t" coordsize="21600,21600" o:gfxdata="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QkgxP9QAAAAIAQAADwAAAAAAAAABACAAAAAiAAAAZHJzL2Rvd25yZXYu&#10;eG1sUEsBAhQAFAAAAAgAh07iQEqkLdP/AQAAAAQAAA4AAAAAAAAAAQAgAAAAIwEAAGRycy9lMm9E&#10;b2MueG1sUEsFBgAAAAAGAAYAWQEAAJQFAAAAAA==&#10;">
                      <v:fill on="f" focussize="0,0"/>
                      <v:stroke weight="0.5pt" color="#000000" joinstyle="miter" dashstyle="dash"/>
                      <v:imagedata o:title=""/>
                      <o:lock v:ext="edit" aspectratio="f"/>
                      <v:textbox>
                        <w:txbxContent>
                          <w:p w14:paraId="3D03C9DF">
                            <w:pPr>
                              <w:jc w:val="center"/>
                            </w:pPr>
                          </w:p>
                        </w:txbxContent>
                      </v:textbox>
                    </v:rect>
                  </w:pict>
                </mc:Fallback>
              </mc:AlternateContent>
            </w:r>
            <w:r>
              <w:rPr>
                <w:sz w:val="21"/>
              </w:rPr>
              <mc:AlternateContent>
                <mc:Choice Requires="wps">
                  <w:drawing>
                    <wp:anchor distT="0" distB="0" distL="114300" distR="114300" simplePos="0" relativeHeight="251662336" behindDoc="0" locked="0" layoutInCell="1" allowOverlap="1">
                      <wp:simplePos x="0" y="0"/>
                      <wp:positionH relativeFrom="column">
                        <wp:posOffset>105410</wp:posOffset>
                      </wp:positionH>
                      <wp:positionV relativeFrom="paragraph">
                        <wp:posOffset>4021455</wp:posOffset>
                      </wp:positionV>
                      <wp:extent cx="5148580" cy="4449445"/>
                      <wp:effectExtent l="5080" t="5080" r="0" b="22225"/>
                      <wp:wrapNone/>
                      <wp:docPr id="13" name="矩形 13"/>
                      <wp:cNvGraphicFramePr/>
                      <a:graphic xmlns:a="http://schemas.openxmlformats.org/drawingml/2006/main">
                        <a:graphicData uri="http://schemas.microsoft.com/office/word/2010/wordprocessingShape">
                          <wps:wsp>
                            <wps:cNvSpPr/>
                            <wps:spPr>
                              <a:xfrm>
                                <a:off x="0" y="0"/>
                                <a:ext cx="5148580" cy="4449445"/>
                              </a:xfrm>
                              <a:prstGeom prst="rect">
                                <a:avLst/>
                              </a:prstGeom>
                              <a:noFill/>
                              <a:ln w="6350" cap="flat" cmpd="sng">
                                <a:solidFill>
                                  <a:srgbClr val="000000"/>
                                </a:solidFill>
                                <a:prstDash val="dash"/>
                                <a:miter/>
                                <a:headEnd type="none" w="med" len="med"/>
                                <a:tailEnd type="none" w="med" len="med"/>
                              </a:ln>
                            </wps:spPr>
                            <wps:txbx>
                              <w:txbxContent>
                                <w:p w14:paraId="2321A281">
                                  <w:pPr>
                                    <w:jc w:val="center"/>
                                  </w:pPr>
                                </w:p>
                              </w:txbxContent>
                            </wps:txbx>
                            <wps:bodyPr upright="1"/>
                          </wps:wsp>
                        </a:graphicData>
                      </a:graphic>
                    </wp:anchor>
                  </w:drawing>
                </mc:Choice>
                <mc:Fallback>
                  <w:pict>
                    <v:rect id="_x0000_s1026" o:spid="_x0000_s1026" o:spt="1" style="position:absolute;left:0pt;margin-left:8.3pt;margin-top:316.65pt;height:350.35pt;width:405.4pt;z-index:251662336;mso-width-relative:page;mso-height-relative:page;" filled="f" stroked="t" coordsize="21600,21600" o:gfxdata="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t9rpfNcAAAALAQAADwAAAAAAAAABACAAAAAiAAAAZHJzL2Rvd25y&#10;ZXYueG1sUEsBAhQAFAAAAAgAh07iQAN0FyH/AQAAAgQAAA4AAAAAAAAAAQAgAAAAJgEAAGRycy9l&#10;Mm9Eb2MueG1sUEsFBgAAAAAGAAYAWQEAAJcFAAAAAA==&#10;">
                      <v:fill on="f" focussize="0,0"/>
                      <v:stroke weight="0.5pt" color="#000000" joinstyle="miter" dashstyle="dash"/>
                      <v:imagedata o:title=""/>
                      <o:lock v:ext="edit" aspectratio="f"/>
                      <v:textbox>
                        <w:txbxContent>
                          <w:p w14:paraId="2321A281">
                            <w:pPr>
                              <w:jc w:val="center"/>
                            </w:pPr>
                          </w:p>
                        </w:txbxContent>
                      </v:textbox>
                    </v:rect>
                  </w:pict>
                </mc:Fallback>
              </mc:AlternateContent>
            </w:r>
            <w:r>
              <w:rPr>
                <w:sz w:val="21"/>
              </w:rPr>
              <mc:AlternateContent>
                <mc:Choice Requires="wps">
                  <w:drawing>
                    <wp:anchor distT="0" distB="0" distL="114300" distR="114300" simplePos="0" relativeHeight="251661312" behindDoc="0" locked="0" layoutInCell="1" allowOverlap="1">
                      <wp:simplePos x="0" y="0"/>
                      <wp:positionH relativeFrom="column">
                        <wp:posOffset>4535170</wp:posOffset>
                      </wp:positionH>
                      <wp:positionV relativeFrom="paragraph">
                        <wp:posOffset>1455420</wp:posOffset>
                      </wp:positionV>
                      <wp:extent cx="718820" cy="337185"/>
                      <wp:effectExtent l="0" t="0" r="0" b="0"/>
                      <wp:wrapNone/>
                      <wp:docPr id="4" name="矩形 4"/>
                      <wp:cNvGraphicFramePr/>
                      <a:graphic xmlns:a="http://schemas.openxmlformats.org/drawingml/2006/main">
                        <a:graphicData uri="http://schemas.microsoft.com/office/word/2010/wordprocessingShape">
                          <wps:wsp>
                            <wps:cNvSpPr/>
                            <wps:spPr>
                              <a:xfrm>
                                <a:off x="0" y="0"/>
                                <a:ext cx="718820" cy="337185"/>
                              </a:xfrm>
                              <a:prstGeom prst="rect">
                                <a:avLst/>
                              </a:prstGeom>
                              <a:noFill/>
                              <a:ln w="6350">
                                <a:noFill/>
                              </a:ln>
                            </wps:spPr>
                            <wps:txbx>
                              <w:txbxContent>
                                <w:p w14:paraId="1FC2E922">
                                  <w:pPr>
                                    <w:rPr>
                                      <w:rFonts w:hint="eastAsia" w:ascii="宋体" w:hAnsi="宋体" w:eastAsia="宋体" w:cs="宋体"/>
                                      <w:sz w:val="21"/>
                                      <w:szCs w:val="21"/>
                                    </w:rPr>
                                  </w:pPr>
                                  <w:r>
                                    <w:rPr>
                                      <w:rFonts w:hint="eastAsia" w:ascii="宋体" w:hAnsi="宋体" w:eastAsia="宋体" w:cs="宋体"/>
                                      <w:sz w:val="21"/>
                                      <w:szCs w:val="21"/>
                                    </w:rPr>
                                    <w:t>镀铜工艺</w:t>
                                  </w:r>
                                </w:p>
                              </w:txbxContent>
                            </wps:txbx>
                            <wps:bodyPr upright="1"/>
                          </wps:wsp>
                        </a:graphicData>
                      </a:graphic>
                    </wp:anchor>
                  </w:drawing>
                </mc:Choice>
                <mc:Fallback>
                  <w:pict>
                    <v:rect id="_x0000_s1026" o:spid="_x0000_s1026" o:spt="1" style="position:absolute;left:0pt;margin-left:357.1pt;margin-top:114.6pt;height:26.55pt;width:56.6pt;z-index:251661312;mso-width-relative:page;mso-height-relative:page;" filled="f" stroked="f" coordsize="21600,21600" o:gfxdata="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PgOva3c&#10;AAAACwEAAA8AAAAAAAAAAQAgAAAAIgAAAGRycy9kb3ducmV2LnhtbFBLAQIUABQAAAAIAIdO4kDf&#10;MQ3tqgEAAEkDAAAOAAAAAAAAAAEAIAAAACsBAABkcnMvZTJvRG9jLnhtbFBLBQYAAAAABgAGAFkB&#10;AABHBQAAAAA=&#10;">
                      <v:fill on="f" focussize="0,0"/>
                      <v:stroke on="f" weight="0.5pt"/>
                      <v:imagedata o:title=""/>
                      <o:lock v:ext="edit" aspectratio="f"/>
                      <v:textbox>
                        <w:txbxContent>
                          <w:p w14:paraId="1FC2E922">
                            <w:pPr>
                              <w:rPr>
                                <w:rFonts w:hint="eastAsia" w:ascii="宋体" w:hAnsi="宋体" w:eastAsia="宋体" w:cs="宋体"/>
                                <w:sz w:val="21"/>
                                <w:szCs w:val="21"/>
                              </w:rPr>
                            </w:pPr>
                            <w:r>
                              <w:rPr>
                                <w:rFonts w:hint="eastAsia" w:ascii="宋体" w:hAnsi="宋体" w:eastAsia="宋体" w:cs="宋体"/>
                                <w:sz w:val="21"/>
                                <w:szCs w:val="21"/>
                              </w:rPr>
                              <w:t>镀铜工艺</w:t>
                            </w:r>
                          </w:p>
                        </w:txbxContent>
                      </v:textbox>
                    </v:rect>
                  </w:pict>
                </mc:Fallback>
              </mc:AlternateContent>
            </w:r>
            <w:r>
              <w:rPr>
                <w:sz w:val="21"/>
              </w:rPr>
              <mc:AlternateContent>
                <mc:Choice Requires="wps">
                  <w:drawing>
                    <wp:anchor distT="0" distB="0" distL="114300" distR="114300" simplePos="0" relativeHeight="251663360" behindDoc="0" locked="0" layoutInCell="1" allowOverlap="1">
                      <wp:simplePos x="0" y="0"/>
                      <wp:positionH relativeFrom="column">
                        <wp:posOffset>5192395</wp:posOffset>
                      </wp:positionH>
                      <wp:positionV relativeFrom="paragraph">
                        <wp:posOffset>5960745</wp:posOffset>
                      </wp:positionV>
                      <wp:extent cx="718820" cy="337185"/>
                      <wp:effectExtent l="0" t="0" r="0" b="0"/>
                      <wp:wrapNone/>
                      <wp:docPr id="14" name="矩形 14"/>
                      <wp:cNvGraphicFramePr/>
                      <a:graphic xmlns:a="http://schemas.openxmlformats.org/drawingml/2006/main">
                        <a:graphicData uri="http://schemas.microsoft.com/office/word/2010/wordprocessingShape">
                          <wps:wsp>
                            <wps:cNvSpPr/>
                            <wps:spPr>
                              <a:xfrm>
                                <a:off x="0" y="0"/>
                                <a:ext cx="718820" cy="337185"/>
                              </a:xfrm>
                              <a:prstGeom prst="rect">
                                <a:avLst/>
                              </a:prstGeom>
                              <a:noFill/>
                              <a:ln w="6350">
                                <a:noFill/>
                              </a:ln>
                            </wps:spPr>
                            <wps:txbx>
                              <w:txbxContent>
                                <w:p w14:paraId="27DCDB67">
                                  <w:pPr>
                                    <w:rPr>
                                      <w:rFonts w:hint="eastAsia" w:ascii="宋体" w:hAnsi="宋体" w:eastAsia="宋体" w:cs="宋体"/>
                                      <w:sz w:val="21"/>
                                      <w:szCs w:val="21"/>
                                    </w:rPr>
                                  </w:pPr>
                                  <w:r>
                                    <w:rPr>
                                      <w:rFonts w:hint="eastAsia" w:ascii="宋体" w:hAnsi="宋体" w:eastAsia="宋体" w:cs="宋体"/>
                                      <w:sz w:val="21"/>
                                      <w:szCs w:val="21"/>
                                    </w:rPr>
                                    <w:t>镀锡工艺</w:t>
                                  </w:r>
                                </w:p>
                              </w:txbxContent>
                            </wps:txbx>
                            <wps:bodyPr upright="1"/>
                          </wps:wsp>
                        </a:graphicData>
                      </a:graphic>
                    </wp:anchor>
                  </w:drawing>
                </mc:Choice>
                <mc:Fallback>
                  <w:pict>
                    <v:rect id="_x0000_s1026" o:spid="_x0000_s1026" o:spt="1" style="position:absolute;left:0pt;margin-left:408.85pt;margin-top:469.35pt;height:26.55pt;width:56.6pt;z-index:251663360;mso-width-relative:page;mso-height-relative:page;" filled="f" stroked="f" coordsize="21600,21600" o:gfxdata="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G3321vc&#10;AAAACwEAAA8AAAAAAAAAAQAgAAAAIgAAAGRycy9kb3ducmV2LnhtbFBLAQIUABQAAAAIAIdO4kAt&#10;T49BqgEAAEsDAAAOAAAAAAAAAAEAIAAAACsBAABkcnMvZTJvRG9jLnhtbFBLBQYAAAAABgAGAFkB&#10;AABHBQAAAAA=&#10;">
                      <v:fill on="f" focussize="0,0"/>
                      <v:stroke on="f" weight="0.5pt"/>
                      <v:imagedata o:title=""/>
                      <o:lock v:ext="edit" aspectratio="f"/>
                      <v:textbox>
                        <w:txbxContent>
                          <w:p w14:paraId="27DCDB67">
                            <w:pPr>
                              <w:rPr>
                                <w:rFonts w:hint="eastAsia" w:ascii="宋体" w:hAnsi="宋体" w:eastAsia="宋体" w:cs="宋体"/>
                                <w:sz w:val="21"/>
                                <w:szCs w:val="21"/>
                              </w:rPr>
                            </w:pPr>
                            <w:r>
                              <w:rPr>
                                <w:rFonts w:hint="eastAsia" w:ascii="宋体" w:hAnsi="宋体" w:eastAsia="宋体" w:cs="宋体"/>
                                <w:sz w:val="21"/>
                                <w:szCs w:val="21"/>
                              </w:rPr>
                              <w:t>镀锡工艺</w:t>
                            </w:r>
                          </w:p>
                        </w:txbxContent>
                      </v:textbox>
                    </v:rect>
                  </w:pict>
                </mc:Fallback>
              </mc:AlternateContent>
            </w:r>
            <w:r>
              <w:rPr>
                <w:rFonts w:ascii="Times New Roman" w:eastAsia="仿宋"/>
                <w:sz w:val="21"/>
              </w:rPr>
              <mc:AlternateContent>
                <mc:Choice Requires="wps">
                  <w:drawing>
                    <wp:anchor distT="0" distB="0" distL="114300" distR="114300" simplePos="0" relativeHeight="251659264" behindDoc="0" locked="0" layoutInCell="1" allowOverlap="1">
                      <wp:simplePos x="0" y="0"/>
                      <wp:positionH relativeFrom="column">
                        <wp:posOffset>168910</wp:posOffset>
                      </wp:positionH>
                      <wp:positionV relativeFrom="paragraph">
                        <wp:posOffset>8772525</wp:posOffset>
                      </wp:positionV>
                      <wp:extent cx="4460875" cy="317500"/>
                      <wp:effectExtent l="0" t="0" r="0" b="0"/>
                      <wp:wrapNone/>
                      <wp:docPr id="6" name="流程图: 过程 6"/>
                      <wp:cNvGraphicFramePr/>
                      <a:graphic xmlns:a="http://schemas.openxmlformats.org/drawingml/2006/main">
                        <a:graphicData uri="http://schemas.microsoft.com/office/word/2010/wordprocessingShape">
                          <wps:wsp>
                            <wps:cNvSpPr/>
                            <wps:spPr>
                              <a:xfrm>
                                <a:off x="0" y="0"/>
                                <a:ext cx="4460875" cy="317500"/>
                              </a:xfrm>
                              <a:prstGeom prst="flowChartProcess">
                                <a:avLst/>
                              </a:prstGeom>
                              <a:noFill/>
                              <a:ln>
                                <a:noFill/>
                              </a:ln>
                            </wps:spPr>
                            <wps:txbx>
                              <w:txbxContent>
                                <w:p w14:paraId="48E226BD">
                                  <w:pPr>
                                    <w:adjustRightInd w:val="0"/>
                                    <w:snapToGrid w:val="0"/>
                                    <w:spacing w:line="360" w:lineRule="auto"/>
                                    <w:jc w:val="center"/>
                                    <w:rPr>
                                      <w:rFonts w:hint="eastAsia" w:ascii="Times New Roman" w:eastAsia="仿宋"/>
                                      <w:b/>
                                      <w:bCs/>
                                      <w:sz w:val="24"/>
                                      <w:szCs w:val="24"/>
                                    </w:rPr>
                                  </w:pPr>
                                </w:p>
                              </w:txbxContent>
                            </wps:txbx>
                            <wps:bodyPr upright="1"/>
                          </wps:wsp>
                        </a:graphicData>
                      </a:graphic>
                    </wp:anchor>
                  </w:drawing>
                </mc:Choice>
                <mc:Fallback>
                  <w:pict>
                    <v:shape id="_x0000_s1026" o:spid="_x0000_s1026" o:spt="109" type="#_x0000_t109" style="position:absolute;left:0pt;margin-left:13.3pt;margin-top:690.75pt;height:25pt;width:351.25pt;z-index:251659264;mso-width-relative:page;mso-height-relative:page;" filled="f" stroked="f" coordsize="21600,21600" o:gfxdata="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oSxqftgAAAAMAQAADwAAAAAAAAABACAAAAAiAAAAZHJzL2Rvd25yZXYueG1sUEsBAhQA&#10;FAAAAAgAh07iQFmQVfK5AQAAWAMAAA4AAAAAAAAAAQAgAAAAJwEAAGRycy9lMm9Eb2MueG1sUEsF&#10;BgAAAAAGAAYAWQEAAFIFAAAAAA==&#10;">
                      <v:fill on="f" focussize="0,0"/>
                      <v:stroke on="f"/>
                      <v:imagedata o:title=""/>
                      <o:lock v:ext="edit" aspectratio="f"/>
                      <v:textbox>
                        <w:txbxContent>
                          <w:p w14:paraId="48E226BD">
                            <w:pPr>
                              <w:adjustRightInd w:val="0"/>
                              <w:snapToGrid w:val="0"/>
                              <w:spacing w:line="360" w:lineRule="auto"/>
                              <w:jc w:val="center"/>
                              <w:rPr>
                                <w:rFonts w:hint="eastAsia" w:ascii="Times New Roman" w:eastAsia="仿宋"/>
                                <w:b/>
                                <w:bCs/>
                                <w:sz w:val="24"/>
                                <w:szCs w:val="24"/>
                              </w:rPr>
                            </w:pPr>
                          </w:p>
                        </w:txbxContent>
                      </v:textbox>
                    </v:shape>
                  </w:pict>
                </mc:Fallback>
              </mc:AlternateContent>
            </w:r>
            <w:r>
              <w:drawing>
                <wp:inline distT="0" distB="0" distL="114300" distR="114300">
                  <wp:extent cx="5271770" cy="842835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
                          <a:stretch>
                            <a:fillRect/>
                          </a:stretch>
                        </pic:blipFill>
                        <pic:spPr>
                          <a:xfrm>
                            <a:off x="0" y="0"/>
                            <a:ext cx="5271770" cy="8428355"/>
                          </a:xfrm>
                          <a:prstGeom prst="rect">
                            <a:avLst/>
                          </a:prstGeom>
                          <a:noFill/>
                          <a:ln>
                            <a:noFill/>
                          </a:ln>
                        </pic:spPr>
                      </pic:pic>
                    </a:graphicData>
                  </a:graphic>
                </wp:inline>
              </w:drawing>
            </w:r>
          </w:p>
          <w:p w14:paraId="777BCA02">
            <w:pPr>
              <w:ind w:left="540"/>
              <w:rPr>
                <w:rFonts w:ascii="Times New Roman" w:hAnsi="Times New Roman" w:eastAsia="仿宋_GB2312"/>
                <w:sz w:val="21"/>
                <w:szCs w:val="21"/>
              </w:rPr>
            </w:pPr>
          </w:p>
          <w:p w14:paraId="5204AF65">
            <w:pPr>
              <w:rPr>
                <w:rFonts w:eastAsiaTheme="minorEastAsia"/>
              </w:rPr>
            </w:pPr>
          </w:p>
        </w:tc>
      </w:tr>
      <w:tr w14:paraId="3D0AB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092" w:type="dxa"/>
            <w:gridSpan w:val="5"/>
            <w:vAlign w:val="center"/>
          </w:tcPr>
          <w:p w14:paraId="50906A0F">
            <w:pPr>
              <w:rPr>
                <w:rFonts w:ascii="Times New Roman" w:hAnsi="Times New Roman"/>
                <w:sz w:val="24"/>
                <w:szCs w:val="24"/>
              </w:rPr>
            </w:pPr>
            <w:r>
              <w:rPr>
                <w:rFonts w:hint="eastAsia" w:ascii="Times New Roman" w:eastAsia="黑体"/>
                <w:sz w:val="24"/>
                <w:szCs w:val="24"/>
              </w:rPr>
              <w:t>表</w:t>
            </w:r>
            <w:r>
              <w:rPr>
                <w:rFonts w:ascii="Times New Roman" w:hAnsi="Times New Roman" w:eastAsia="黑体"/>
                <w:sz w:val="24"/>
                <w:szCs w:val="24"/>
              </w:rPr>
              <w:t xml:space="preserve">3   </w:t>
            </w:r>
            <w:r>
              <w:rPr>
                <w:rFonts w:hint="eastAsia" w:ascii="Times New Roman" w:eastAsia="黑体"/>
                <w:sz w:val="24"/>
                <w:szCs w:val="24"/>
              </w:rPr>
              <w:t>废物组分、特性（详见附件）</w:t>
            </w:r>
          </w:p>
        </w:tc>
      </w:tr>
      <w:tr w14:paraId="5CD2F9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851" w:type="dxa"/>
            <w:vAlign w:val="center"/>
          </w:tcPr>
          <w:p w14:paraId="0C703DAA">
            <w:pPr>
              <w:rPr>
                <w:rFonts w:ascii="Times New Roman" w:hAnsi="Times New Roman"/>
                <w:szCs w:val="21"/>
              </w:rPr>
            </w:pPr>
            <w:r>
              <w:rPr>
                <w:rFonts w:hint="eastAsia" w:ascii="Times New Roman" w:hAnsi="宋体"/>
                <w:szCs w:val="21"/>
              </w:rPr>
              <w:t>废物名称</w:t>
            </w:r>
          </w:p>
        </w:tc>
        <w:tc>
          <w:tcPr>
            <w:tcW w:w="1803" w:type="dxa"/>
            <w:vAlign w:val="center"/>
          </w:tcPr>
          <w:p w14:paraId="5AE23092">
            <w:pPr>
              <w:rPr>
                <w:rFonts w:ascii="Times New Roman" w:hAnsi="Times New Roman"/>
                <w:szCs w:val="21"/>
              </w:rPr>
            </w:pPr>
            <w:r>
              <w:rPr>
                <w:rFonts w:hint="eastAsia" w:ascii="Times New Roman" w:hAnsi="宋体"/>
                <w:szCs w:val="21"/>
              </w:rPr>
              <w:t>主要组分</w:t>
            </w:r>
          </w:p>
        </w:tc>
        <w:tc>
          <w:tcPr>
            <w:tcW w:w="1809" w:type="dxa"/>
            <w:vAlign w:val="center"/>
          </w:tcPr>
          <w:p w14:paraId="6E50EE15">
            <w:pPr>
              <w:rPr>
                <w:rFonts w:ascii="Times New Roman" w:hAnsi="Times New Roman"/>
                <w:szCs w:val="21"/>
              </w:rPr>
            </w:pPr>
            <w:r>
              <w:rPr>
                <w:rFonts w:hint="eastAsia" w:ascii="Times New Roman" w:hAnsi="宋体"/>
                <w:szCs w:val="21"/>
              </w:rPr>
              <w:t>相应比例（</w:t>
            </w:r>
            <w:r>
              <w:rPr>
                <w:rFonts w:ascii="Times New Roman" w:hAnsi="Times New Roman"/>
                <w:szCs w:val="21"/>
              </w:rPr>
              <w:t>%</w:t>
            </w:r>
            <w:r>
              <w:rPr>
                <w:rFonts w:hint="eastAsia" w:ascii="Times New Roman" w:hAnsi="宋体"/>
                <w:szCs w:val="21"/>
              </w:rPr>
              <w:t>）</w:t>
            </w:r>
          </w:p>
        </w:tc>
        <w:tc>
          <w:tcPr>
            <w:tcW w:w="2151" w:type="dxa"/>
            <w:vAlign w:val="center"/>
          </w:tcPr>
          <w:p w14:paraId="330EFCF4">
            <w:pPr>
              <w:rPr>
                <w:rFonts w:ascii="Times New Roman" w:hAnsi="Times New Roman"/>
                <w:szCs w:val="21"/>
              </w:rPr>
            </w:pPr>
            <w:r>
              <w:rPr>
                <w:rFonts w:hint="eastAsia" w:ascii="Times New Roman" w:hAnsi="宋体"/>
                <w:szCs w:val="21"/>
              </w:rPr>
              <w:t>危害特性</w:t>
            </w:r>
          </w:p>
        </w:tc>
        <w:tc>
          <w:tcPr>
            <w:tcW w:w="2478" w:type="dxa"/>
            <w:vAlign w:val="center"/>
          </w:tcPr>
          <w:p w14:paraId="4EEFD510">
            <w:pPr>
              <w:rPr>
                <w:rFonts w:ascii="Times New Roman" w:hAnsi="Times New Roman"/>
                <w:szCs w:val="21"/>
              </w:rPr>
            </w:pPr>
            <w:r>
              <w:rPr>
                <w:rFonts w:hint="eastAsia" w:ascii="Times New Roman" w:hAnsi="宋体"/>
                <w:szCs w:val="21"/>
              </w:rPr>
              <w:t>形态</w:t>
            </w:r>
          </w:p>
        </w:tc>
      </w:tr>
      <w:tr w14:paraId="199C4E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5" w:hRule="atLeast"/>
        </w:trPr>
        <w:tc>
          <w:tcPr>
            <w:tcW w:w="1851" w:type="dxa"/>
            <w:vMerge w:val="restart"/>
          </w:tcPr>
          <w:p w14:paraId="49FCEED4">
            <w:pPr>
              <w:rPr>
                <w:rFonts w:ascii="Times New Roman" w:hAnsi="Times New Roman"/>
                <w:szCs w:val="21"/>
              </w:rPr>
            </w:pPr>
            <w:r>
              <w:rPr>
                <w:rFonts w:hint="eastAsia" w:ascii="Times New Roman" w:hAnsi="Times New Roman"/>
                <w:szCs w:val="21"/>
                <w:lang w:eastAsia="zh-CN"/>
              </w:rPr>
              <w:t>一般废水</w:t>
            </w:r>
            <w:r>
              <w:rPr>
                <w:rFonts w:hint="eastAsia" w:ascii="Times New Roman" w:hAnsi="Times New Roman"/>
                <w:szCs w:val="21"/>
              </w:rPr>
              <w:t>污泥</w:t>
            </w:r>
          </w:p>
        </w:tc>
        <w:tc>
          <w:tcPr>
            <w:tcW w:w="1803" w:type="dxa"/>
          </w:tcPr>
          <w:p w14:paraId="557A5B4A">
            <w:pPr>
              <w:rPr>
                <w:rFonts w:ascii="Times New Roman" w:hAnsi="Times New Roman"/>
                <w:szCs w:val="21"/>
              </w:rPr>
            </w:pPr>
            <w:r>
              <w:rPr>
                <w:rFonts w:hint="eastAsia" w:ascii="Times New Roman" w:hAnsi="Times New Roman"/>
                <w:sz w:val="24"/>
                <w:szCs w:val="24"/>
              </w:rPr>
              <w:t>H2O%</w:t>
            </w:r>
          </w:p>
        </w:tc>
        <w:tc>
          <w:tcPr>
            <w:tcW w:w="1809" w:type="dxa"/>
          </w:tcPr>
          <w:p w14:paraId="0C9BCB11">
            <w:pPr>
              <w:rPr>
                <w:rFonts w:ascii="Times New Roman" w:hAnsi="Times New Roman"/>
                <w:szCs w:val="21"/>
              </w:rPr>
            </w:pPr>
            <w:r>
              <w:rPr>
                <w:rFonts w:hint="eastAsia" w:ascii="Times New Roman" w:hAnsi="Times New Roman"/>
                <w:szCs w:val="21"/>
                <w:lang w:val="en-US" w:eastAsia="zh-CN"/>
              </w:rPr>
              <w:t>50</w:t>
            </w:r>
            <w:r>
              <w:rPr>
                <w:rFonts w:hint="eastAsia" w:ascii="Times New Roman" w:hAnsi="Times New Roman"/>
                <w:szCs w:val="21"/>
              </w:rPr>
              <w:t>%</w:t>
            </w:r>
          </w:p>
        </w:tc>
        <w:tc>
          <w:tcPr>
            <w:tcW w:w="2151" w:type="dxa"/>
            <w:vMerge w:val="restart"/>
            <w:vAlign w:val="center"/>
          </w:tcPr>
          <w:p w14:paraId="41381AB5">
            <w:pPr>
              <w:spacing w:line="240" w:lineRule="exact"/>
              <w:rPr>
                <w:rFonts w:ascii="Times New Roman" w:hAnsi="Times New Roman"/>
                <w:szCs w:val="21"/>
              </w:rPr>
            </w:pPr>
            <w:r>
              <w:rPr>
                <w:rFonts w:hint="eastAsia" w:ascii="Times New Roman" w:hAnsi="宋体"/>
                <w:szCs w:val="21"/>
              </w:rPr>
              <w:t>腐蚀性□</w:t>
            </w:r>
          </w:p>
          <w:p w14:paraId="1F07D4FB">
            <w:pPr>
              <w:spacing w:line="240" w:lineRule="exact"/>
              <w:rPr>
                <w:rFonts w:ascii="Times New Roman" w:hAnsi="Times New Roman"/>
                <w:szCs w:val="21"/>
              </w:rPr>
            </w:pPr>
            <w:r>
              <w:rPr>
                <w:rFonts w:hint="eastAsia" w:ascii="Times New Roman" w:hAnsi="宋体"/>
                <w:szCs w:val="21"/>
              </w:rPr>
              <w:t>毒性</w:t>
            </w:r>
            <w:r>
              <w:rPr>
                <w:rFonts w:hint="eastAsia" w:ascii="微软雅黑" w:hAnsi="微软雅黑"/>
                <w:szCs w:val="21"/>
              </w:rPr>
              <w:t>√</w:t>
            </w:r>
          </w:p>
          <w:p w14:paraId="2CDB7548">
            <w:pPr>
              <w:spacing w:line="240" w:lineRule="exact"/>
              <w:rPr>
                <w:rFonts w:ascii="Times New Roman" w:hAnsi="Times New Roman"/>
                <w:szCs w:val="21"/>
              </w:rPr>
            </w:pPr>
            <w:r>
              <w:rPr>
                <w:rFonts w:hint="eastAsia" w:ascii="Times New Roman" w:hAnsi="宋体"/>
                <w:szCs w:val="21"/>
              </w:rPr>
              <w:t>易燃性□</w:t>
            </w:r>
          </w:p>
          <w:p w14:paraId="4524AA68">
            <w:pPr>
              <w:spacing w:line="240" w:lineRule="exact"/>
              <w:rPr>
                <w:rFonts w:ascii="Times New Roman" w:hAnsi="Times New Roman"/>
                <w:szCs w:val="21"/>
              </w:rPr>
            </w:pPr>
            <w:r>
              <w:rPr>
                <w:rFonts w:hint="eastAsia" w:ascii="Times New Roman" w:hAnsi="宋体"/>
                <w:szCs w:val="21"/>
              </w:rPr>
              <w:t>反应性□</w:t>
            </w:r>
          </w:p>
          <w:p w14:paraId="57DF242B">
            <w:pPr>
              <w:spacing w:line="240" w:lineRule="exact"/>
              <w:rPr>
                <w:rFonts w:ascii="Times New Roman" w:hAnsi="Times New Roman"/>
                <w:szCs w:val="21"/>
              </w:rPr>
            </w:pPr>
            <w:r>
              <w:rPr>
                <w:rFonts w:hint="eastAsia" w:ascii="Times New Roman" w:hAnsi="宋体"/>
                <w:szCs w:val="21"/>
              </w:rPr>
              <w:t>感染性□</w:t>
            </w:r>
          </w:p>
        </w:tc>
        <w:tc>
          <w:tcPr>
            <w:tcW w:w="2478" w:type="dxa"/>
            <w:vMerge w:val="restart"/>
            <w:vAlign w:val="center"/>
          </w:tcPr>
          <w:p w14:paraId="37953B73">
            <w:pPr>
              <w:spacing w:line="240" w:lineRule="exact"/>
              <w:rPr>
                <w:rFonts w:ascii="Times New Roman" w:hAnsi="Times New Roman"/>
                <w:szCs w:val="21"/>
              </w:rPr>
            </w:pPr>
            <w:r>
              <w:rPr>
                <w:rFonts w:hint="eastAsia" w:ascii="Times New Roman" w:hAnsi="宋体"/>
                <w:szCs w:val="21"/>
              </w:rPr>
              <w:t>固态</w:t>
            </w:r>
            <w:r>
              <w:rPr>
                <w:rFonts w:hint="eastAsia" w:ascii="微软雅黑" w:hAnsi="微软雅黑"/>
                <w:szCs w:val="21"/>
              </w:rPr>
              <w:t xml:space="preserve"> √</w:t>
            </w:r>
          </w:p>
          <w:p w14:paraId="7F7C0A4D">
            <w:pPr>
              <w:spacing w:line="240" w:lineRule="exact"/>
              <w:rPr>
                <w:rFonts w:ascii="Times New Roman" w:hAnsi="宋体"/>
                <w:szCs w:val="21"/>
              </w:rPr>
            </w:pPr>
            <w:r>
              <w:rPr>
                <w:rFonts w:hint="eastAsia" w:ascii="Times New Roman" w:hAnsi="宋体"/>
                <w:szCs w:val="21"/>
              </w:rPr>
              <w:t>半固态□</w:t>
            </w:r>
          </w:p>
          <w:p w14:paraId="113BE706">
            <w:pPr>
              <w:spacing w:line="240" w:lineRule="exact"/>
              <w:rPr>
                <w:rFonts w:ascii="Times New Roman" w:hAnsi="宋体"/>
                <w:szCs w:val="21"/>
              </w:rPr>
            </w:pPr>
            <w:r>
              <w:rPr>
                <w:rFonts w:hint="eastAsia" w:ascii="Times New Roman" w:hAnsi="宋体"/>
                <w:szCs w:val="21"/>
              </w:rPr>
              <w:t>粉末态□</w:t>
            </w:r>
          </w:p>
          <w:p w14:paraId="48561624">
            <w:pPr>
              <w:spacing w:line="240" w:lineRule="exact"/>
              <w:rPr>
                <w:rFonts w:ascii="Times New Roman" w:hAnsi="Times New Roman"/>
                <w:szCs w:val="21"/>
              </w:rPr>
            </w:pPr>
            <w:r>
              <w:rPr>
                <w:rFonts w:hint="eastAsia" w:ascii="Times New Roman" w:hAnsi="宋体"/>
                <w:szCs w:val="21"/>
              </w:rPr>
              <w:t>颗粒态□</w:t>
            </w:r>
          </w:p>
          <w:p w14:paraId="14862A26">
            <w:pPr>
              <w:spacing w:line="240" w:lineRule="exact"/>
              <w:rPr>
                <w:rFonts w:ascii="Times New Roman" w:hAnsi="Times New Roman"/>
                <w:szCs w:val="21"/>
              </w:rPr>
            </w:pPr>
            <w:r>
              <w:rPr>
                <w:rFonts w:hint="eastAsia" w:ascii="Times New Roman" w:hAnsi="宋体"/>
                <w:szCs w:val="21"/>
              </w:rPr>
              <w:t>液态□</w:t>
            </w:r>
          </w:p>
        </w:tc>
      </w:tr>
      <w:tr w14:paraId="64237A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1851" w:type="dxa"/>
            <w:vMerge w:val="continue"/>
          </w:tcPr>
          <w:p w14:paraId="57DBAC83">
            <w:pPr>
              <w:rPr>
                <w:rFonts w:ascii="Times New Roman" w:hAnsi="Times New Roman"/>
                <w:szCs w:val="21"/>
              </w:rPr>
            </w:pPr>
          </w:p>
        </w:tc>
        <w:tc>
          <w:tcPr>
            <w:tcW w:w="1803" w:type="dxa"/>
          </w:tcPr>
          <w:p w14:paraId="315E093A">
            <w:pPr>
              <w:rPr>
                <w:rFonts w:ascii="Times New Roman" w:hAnsi="Times New Roman"/>
                <w:szCs w:val="21"/>
              </w:rPr>
            </w:pPr>
          </w:p>
        </w:tc>
        <w:tc>
          <w:tcPr>
            <w:tcW w:w="1809" w:type="dxa"/>
          </w:tcPr>
          <w:p w14:paraId="76A5B02C">
            <w:pPr>
              <w:rPr>
                <w:rFonts w:ascii="Times New Roman" w:hAnsi="Times New Roman"/>
                <w:szCs w:val="21"/>
              </w:rPr>
            </w:pPr>
          </w:p>
        </w:tc>
        <w:tc>
          <w:tcPr>
            <w:tcW w:w="2151" w:type="dxa"/>
            <w:vMerge w:val="continue"/>
            <w:vAlign w:val="center"/>
          </w:tcPr>
          <w:p w14:paraId="5D1C226C">
            <w:pPr>
              <w:spacing w:line="240" w:lineRule="exact"/>
              <w:rPr>
                <w:rFonts w:ascii="Times New Roman" w:hAnsi="Times New Roman"/>
                <w:szCs w:val="21"/>
              </w:rPr>
            </w:pPr>
          </w:p>
        </w:tc>
        <w:tc>
          <w:tcPr>
            <w:tcW w:w="2478" w:type="dxa"/>
            <w:vMerge w:val="continue"/>
            <w:vAlign w:val="center"/>
          </w:tcPr>
          <w:p w14:paraId="48FE8CCD">
            <w:pPr>
              <w:spacing w:line="240" w:lineRule="exact"/>
              <w:rPr>
                <w:rFonts w:ascii="Times New Roman" w:hAnsi="Times New Roman"/>
                <w:szCs w:val="21"/>
              </w:rPr>
            </w:pPr>
          </w:p>
        </w:tc>
      </w:tr>
      <w:tr w14:paraId="3F1276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5" w:hRule="atLeast"/>
        </w:trPr>
        <w:tc>
          <w:tcPr>
            <w:tcW w:w="1851" w:type="dxa"/>
            <w:vMerge w:val="continue"/>
          </w:tcPr>
          <w:p w14:paraId="1CFC74CA">
            <w:pPr>
              <w:rPr>
                <w:rFonts w:ascii="Times New Roman" w:hAnsi="Times New Roman"/>
                <w:szCs w:val="21"/>
              </w:rPr>
            </w:pPr>
          </w:p>
        </w:tc>
        <w:tc>
          <w:tcPr>
            <w:tcW w:w="1803" w:type="dxa"/>
          </w:tcPr>
          <w:p w14:paraId="0BCE1627">
            <w:pPr>
              <w:rPr>
                <w:rFonts w:hint="default" w:ascii="Times New Roman" w:hAnsi="Times New Roman" w:eastAsia="微软雅黑"/>
                <w:szCs w:val="21"/>
                <w:lang w:val="en-US" w:eastAsia="zh-CN"/>
              </w:rPr>
            </w:pPr>
          </w:p>
        </w:tc>
        <w:tc>
          <w:tcPr>
            <w:tcW w:w="1809" w:type="dxa"/>
          </w:tcPr>
          <w:p w14:paraId="32A6EF79">
            <w:pPr>
              <w:rPr>
                <w:rFonts w:hint="default" w:ascii="Times New Roman" w:hAnsi="Times New Roman" w:eastAsia="微软雅黑"/>
                <w:szCs w:val="21"/>
                <w:lang w:val="en-US" w:eastAsia="zh-CN"/>
              </w:rPr>
            </w:pPr>
          </w:p>
        </w:tc>
        <w:tc>
          <w:tcPr>
            <w:tcW w:w="2151" w:type="dxa"/>
            <w:vMerge w:val="continue"/>
            <w:vAlign w:val="center"/>
          </w:tcPr>
          <w:p w14:paraId="5387A879">
            <w:pPr>
              <w:spacing w:line="240" w:lineRule="exact"/>
              <w:rPr>
                <w:rFonts w:ascii="Times New Roman" w:hAnsi="Times New Roman"/>
                <w:szCs w:val="21"/>
              </w:rPr>
            </w:pPr>
          </w:p>
        </w:tc>
        <w:tc>
          <w:tcPr>
            <w:tcW w:w="2478" w:type="dxa"/>
            <w:vMerge w:val="continue"/>
            <w:vAlign w:val="center"/>
          </w:tcPr>
          <w:p w14:paraId="7E1231F2">
            <w:pPr>
              <w:spacing w:line="240" w:lineRule="exact"/>
              <w:rPr>
                <w:rFonts w:ascii="Times New Roman" w:hAnsi="Times New Roman"/>
                <w:szCs w:val="21"/>
              </w:rPr>
            </w:pPr>
          </w:p>
        </w:tc>
      </w:tr>
      <w:tr w14:paraId="0D70E8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5" w:hRule="atLeast"/>
        </w:trPr>
        <w:tc>
          <w:tcPr>
            <w:tcW w:w="1851" w:type="dxa"/>
            <w:vMerge w:val="continue"/>
          </w:tcPr>
          <w:p w14:paraId="053A627C">
            <w:pPr>
              <w:rPr>
                <w:rFonts w:ascii="Times New Roman" w:hAnsi="Times New Roman"/>
                <w:szCs w:val="21"/>
              </w:rPr>
            </w:pPr>
          </w:p>
        </w:tc>
        <w:tc>
          <w:tcPr>
            <w:tcW w:w="1803" w:type="dxa"/>
          </w:tcPr>
          <w:p w14:paraId="2D5A55FF">
            <w:pPr>
              <w:rPr>
                <w:rFonts w:ascii="Times New Roman" w:hAnsi="Times New Roman"/>
                <w:szCs w:val="21"/>
              </w:rPr>
            </w:pPr>
          </w:p>
        </w:tc>
        <w:tc>
          <w:tcPr>
            <w:tcW w:w="1809" w:type="dxa"/>
          </w:tcPr>
          <w:p w14:paraId="003A9C64">
            <w:pPr>
              <w:rPr>
                <w:rFonts w:ascii="Times New Roman" w:hAnsi="Times New Roman"/>
                <w:szCs w:val="21"/>
              </w:rPr>
            </w:pPr>
          </w:p>
        </w:tc>
        <w:tc>
          <w:tcPr>
            <w:tcW w:w="2151" w:type="dxa"/>
            <w:vMerge w:val="continue"/>
            <w:vAlign w:val="center"/>
          </w:tcPr>
          <w:p w14:paraId="174728EB">
            <w:pPr>
              <w:spacing w:line="240" w:lineRule="exact"/>
              <w:rPr>
                <w:rFonts w:ascii="Times New Roman" w:hAnsi="Times New Roman"/>
                <w:szCs w:val="21"/>
              </w:rPr>
            </w:pPr>
          </w:p>
        </w:tc>
        <w:tc>
          <w:tcPr>
            <w:tcW w:w="2478" w:type="dxa"/>
            <w:vMerge w:val="continue"/>
            <w:vAlign w:val="center"/>
          </w:tcPr>
          <w:p w14:paraId="7A2B2766">
            <w:pPr>
              <w:spacing w:line="240" w:lineRule="exact"/>
              <w:rPr>
                <w:rFonts w:ascii="Times New Roman" w:hAnsi="Times New Roman"/>
                <w:szCs w:val="21"/>
              </w:rPr>
            </w:pPr>
          </w:p>
        </w:tc>
      </w:tr>
      <w:tr w14:paraId="4E2C91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1" w:hRule="atLeast"/>
        </w:trPr>
        <w:tc>
          <w:tcPr>
            <w:tcW w:w="1851" w:type="dxa"/>
            <w:vMerge w:val="continue"/>
          </w:tcPr>
          <w:p w14:paraId="366D0012">
            <w:pPr>
              <w:rPr>
                <w:rFonts w:ascii="Times New Roman" w:hAnsi="Times New Roman"/>
                <w:szCs w:val="21"/>
              </w:rPr>
            </w:pPr>
          </w:p>
        </w:tc>
        <w:tc>
          <w:tcPr>
            <w:tcW w:w="1803" w:type="dxa"/>
          </w:tcPr>
          <w:p w14:paraId="69127010">
            <w:pPr>
              <w:rPr>
                <w:rFonts w:ascii="Times New Roman" w:hAnsi="Times New Roman"/>
                <w:szCs w:val="21"/>
              </w:rPr>
            </w:pPr>
          </w:p>
        </w:tc>
        <w:tc>
          <w:tcPr>
            <w:tcW w:w="1809" w:type="dxa"/>
          </w:tcPr>
          <w:p w14:paraId="611688AB">
            <w:pPr>
              <w:rPr>
                <w:rFonts w:ascii="Times New Roman" w:hAnsi="Times New Roman"/>
                <w:szCs w:val="21"/>
              </w:rPr>
            </w:pPr>
          </w:p>
        </w:tc>
        <w:tc>
          <w:tcPr>
            <w:tcW w:w="2151" w:type="dxa"/>
            <w:vMerge w:val="continue"/>
            <w:vAlign w:val="center"/>
          </w:tcPr>
          <w:p w14:paraId="221F42EB">
            <w:pPr>
              <w:spacing w:line="240" w:lineRule="exact"/>
              <w:rPr>
                <w:rFonts w:ascii="Times New Roman" w:hAnsi="Times New Roman"/>
                <w:szCs w:val="21"/>
              </w:rPr>
            </w:pPr>
          </w:p>
        </w:tc>
        <w:tc>
          <w:tcPr>
            <w:tcW w:w="2478" w:type="dxa"/>
            <w:vMerge w:val="continue"/>
            <w:vAlign w:val="center"/>
          </w:tcPr>
          <w:p w14:paraId="67F8A2D7">
            <w:pPr>
              <w:spacing w:line="240" w:lineRule="exact"/>
              <w:rPr>
                <w:rFonts w:ascii="Times New Roman" w:hAnsi="Times New Roman"/>
                <w:szCs w:val="21"/>
              </w:rPr>
            </w:pPr>
          </w:p>
        </w:tc>
      </w:tr>
      <w:tr w14:paraId="232E57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3" w:hRule="atLeast"/>
        </w:trPr>
        <w:tc>
          <w:tcPr>
            <w:tcW w:w="1851" w:type="dxa"/>
            <w:vMerge w:val="restart"/>
          </w:tcPr>
          <w:p w14:paraId="33C9838E">
            <w:pPr>
              <w:rPr>
                <w:rFonts w:ascii="Times New Roman" w:hAnsi="Times New Roman"/>
                <w:szCs w:val="21"/>
              </w:rPr>
            </w:pPr>
          </w:p>
          <w:p w14:paraId="3B696097">
            <w:pPr>
              <w:rPr>
                <w:rFonts w:ascii="Times New Roman" w:hAnsi="Times New Roman"/>
                <w:szCs w:val="21"/>
              </w:rPr>
            </w:pPr>
          </w:p>
          <w:p w14:paraId="5C23BBF3">
            <w:pPr>
              <w:rPr>
                <w:rFonts w:ascii="Times New Roman" w:hAnsi="Times New Roman"/>
                <w:szCs w:val="21"/>
              </w:rPr>
            </w:pPr>
          </w:p>
          <w:p w14:paraId="79964D04">
            <w:pPr>
              <w:rPr>
                <w:rFonts w:ascii="Times New Roman" w:hAnsi="Times New Roman"/>
                <w:szCs w:val="21"/>
              </w:rPr>
            </w:pPr>
          </w:p>
          <w:p w14:paraId="5704218B">
            <w:pPr>
              <w:rPr>
                <w:rFonts w:ascii="Times New Roman" w:hAnsi="Times New Roman"/>
                <w:szCs w:val="21"/>
              </w:rPr>
            </w:pPr>
          </w:p>
        </w:tc>
        <w:tc>
          <w:tcPr>
            <w:tcW w:w="1803" w:type="dxa"/>
          </w:tcPr>
          <w:p w14:paraId="5CC50E50">
            <w:pPr>
              <w:rPr>
                <w:rFonts w:ascii="Times New Roman" w:hAnsi="Times New Roman"/>
                <w:szCs w:val="21"/>
              </w:rPr>
            </w:pPr>
          </w:p>
        </w:tc>
        <w:tc>
          <w:tcPr>
            <w:tcW w:w="1809" w:type="dxa"/>
          </w:tcPr>
          <w:p w14:paraId="4A833C73">
            <w:pPr>
              <w:rPr>
                <w:rFonts w:ascii="Times New Roman" w:hAnsi="Times New Roman"/>
                <w:szCs w:val="21"/>
              </w:rPr>
            </w:pPr>
          </w:p>
        </w:tc>
        <w:tc>
          <w:tcPr>
            <w:tcW w:w="2151" w:type="dxa"/>
            <w:vMerge w:val="restart"/>
            <w:vAlign w:val="center"/>
          </w:tcPr>
          <w:p w14:paraId="4B192841">
            <w:pPr>
              <w:spacing w:line="240" w:lineRule="exact"/>
              <w:rPr>
                <w:rFonts w:ascii="Times New Roman" w:hAnsi="宋体"/>
                <w:szCs w:val="21"/>
              </w:rPr>
            </w:pPr>
            <w:r>
              <w:rPr>
                <w:rFonts w:hint="eastAsia" w:ascii="Times New Roman" w:hAnsi="宋体"/>
                <w:szCs w:val="21"/>
              </w:rPr>
              <w:t>腐蚀性□</w:t>
            </w:r>
          </w:p>
          <w:p w14:paraId="1D0E9DF0">
            <w:pPr>
              <w:spacing w:line="240" w:lineRule="exact"/>
              <w:rPr>
                <w:rFonts w:ascii="Times New Roman" w:hAnsi="宋体"/>
                <w:szCs w:val="21"/>
              </w:rPr>
            </w:pPr>
            <w:r>
              <w:rPr>
                <w:rFonts w:hint="eastAsia" w:ascii="Times New Roman" w:hAnsi="宋体"/>
                <w:szCs w:val="21"/>
              </w:rPr>
              <w:t>毒性□</w:t>
            </w:r>
          </w:p>
          <w:p w14:paraId="35B499DD">
            <w:pPr>
              <w:spacing w:line="240" w:lineRule="exact"/>
              <w:rPr>
                <w:rFonts w:ascii="Times New Roman" w:hAnsi="宋体"/>
                <w:szCs w:val="21"/>
              </w:rPr>
            </w:pPr>
            <w:r>
              <w:rPr>
                <w:rFonts w:hint="eastAsia" w:ascii="Times New Roman" w:hAnsi="宋体"/>
                <w:szCs w:val="21"/>
              </w:rPr>
              <w:t>易燃性□</w:t>
            </w:r>
          </w:p>
          <w:p w14:paraId="52997365">
            <w:pPr>
              <w:spacing w:line="240" w:lineRule="exact"/>
              <w:rPr>
                <w:rFonts w:ascii="Times New Roman" w:hAnsi="宋体"/>
                <w:szCs w:val="21"/>
              </w:rPr>
            </w:pPr>
            <w:r>
              <w:rPr>
                <w:rFonts w:hint="eastAsia" w:ascii="Times New Roman" w:hAnsi="宋体"/>
                <w:szCs w:val="21"/>
              </w:rPr>
              <w:t>反应性□</w:t>
            </w:r>
          </w:p>
          <w:p w14:paraId="494AED29">
            <w:pPr>
              <w:spacing w:line="240" w:lineRule="exact"/>
              <w:rPr>
                <w:rFonts w:ascii="Times New Roman" w:hAnsi="宋体"/>
                <w:szCs w:val="21"/>
              </w:rPr>
            </w:pPr>
            <w:r>
              <w:rPr>
                <w:rFonts w:hint="eastAsia" w:ascii="Times New Roman" w:hAnsi="宋体"/>
                <w:szCs w:val="21"/>
              </w:rPr>
              <w:t>感染性□</w:t>
            </w:r>
          </w:p>
        </w:tc>
        <w:tc>
          <w:tcPr>
            <w:tcW w:w="2478" w:type="dxa"/>
            <w:vMerge w:val="restart"/>
            <w:vAlign w:val="center"/>
          </w:tcPr>
          <w:p w14:paraId="7BE88865">
            <w:pPr>
              <w:spacing w:line="240" w:lineRule="exact"/>
              <w:rPr>
                <w:rFonts w:ascii="Times New Roman" w:hAnsi="宋体"/>
                <w:szCs w:val="21"/>
              </w:rPr>
            </w:pPr>
            <w:r>
              <w:rPr>
                <w:rFonts w:hint="eastAsia" w:ascii="Times New Roman" w:hAnsi="宋体"/>
                <w:szCs w:val="21"/>
              </w:rPr>
              <w:t>固态□</w:t>
            </w:r>
          </w:p>
          <w:p w14:paraId="1157634D">
            <w:pPr>
              <w:spacing w:line="240" w:lineRule="exact"/>
              <w:rPr>
                <w:rFonts w:ascii="Times New Roman" w:hAnsi="宋体"/>
                <w:szCs w:val="21"/>
              </w:rPr>
            </w:pPr>
            <w:r>
              <w:rPr>
                <w:rFonts w:hint="eastAsia" w:ascii="Times New Roman" w:hAnsi="宋体"/>
                <w:szCs w:val="21"/>
              </w:rPr>
              <w:t>半固态□</w:t>
            </w:r>
          </w:p>
          <w:p w14:paraId="5B64A75C">
            <w:pPr>
              <w:spacing w:line="240" w:lineRule="exact"/>
              <w:rPr>
                <w:rFonts w:ascii="Times New Roman" w:hAnsi="宋体"/>
                <w:szCs w:val="21"/>
              </w:rPr>
            </w:pPr>
            <w:r>
              <w:rPr>
                <w:rFonts w:hint="eastAsia" w:ascii="Times New Roman" w:hAnsi="宋体"/>
                <w:szCs w:val="21"/>
              </w:rPr>
              <w:t>粉末态□</w:t>
            </w:r>
          </w:p>
          <w:p w14:paraId="185DB6FD">
            <w:pPr>
              <w:spacing w:line="240" w:lineRule="exact"/>
              <w:rPr>
                <w:rFonts w:ascii="Times New Roman" w:hAnsi="宋体"/>
                <w:szCs w:val="21"/>
              </w:rPr>
            </w:pPr>
            <w:r>
              <w:rPr>
                <w:rFonts w:hint="eastAsia" w:ascii="Times New Roman" w:hAnsi="宋体"/>
                <w:szCs w:val="21"/>
              </w:rPr>
              <w:t>颗粒态□</w:t>
            </w:r>
          </w:p>
          <w:p w14:paraId="6706B0F9">
            <w:pPr>
              <w:spacing w:line="240" w:lineRule="exact"/>
              <w:rPr>
                <w:rFonts w:ascii="Times New Roman" w:hAnsi="宋体"/>
                <w:szCs w:val="21"/>
              </w:rPr>
            </w:pPr>
            <w:r>
              <w:rPr>
                <w:rFonts w:hint="eastAsia" w:ascii="Times New Roman" w:hAnsi="宋体"/>
                <w:szCs w:val="21"/>
              </w:rPr>
              <w:t>液态□</w:t>
            </w:r>
          </w:p>
        </w:tc>
      </w:tr>
      <w:tr w14:paraId="7DAD1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3" w:hRule="atLeast"/>
        </w:trPr>
        <w:tc>
          <w:tcPr>
            <w:tcW w:w="1851" w:type="dxa"/>
            <w:vMerge w:val="continue"/>
          </w:tcPr>
          <w:p w14:paraId="3EC68FEA">
            <w:pPr>
              <w:rPr>
                <w:rFonts w:ascii="Times New Roman" w:hAnsi="Times New Roman"/>
                <w:szCs w:val="21"/>
              </w:rPr>
            </w:pPr>
          </w:p>
        </w:tc>
        <w:tc>
          <w:tcPr>
            <w:tcW w:w="1803" w:type="dxa"/>
          </w:tcPr>
          <w:p w14:paraId="0F47AFF4">
            <w:pPr>
              <w:rPr>
                <w:rFonts w:ascii="Times New Roman" w:hAnsi="Times New Roman"/>
                <w:szCs w:val="21"/>
              </w:rPr>
            </w:pPr>
          </w:p>
        </w:tc>
        <w:tc>
          <w:tcPr>
            <w:tcW w:w="1809" w:type="dxa"/>
          </w:tcPr>
          <w:p w14:paraId="491962CF">
            <w:pPr>
              <w:rPr>
                <w:rFonts w:ascii="Times New Roman" w:hAnsi="Times New Roman"/>
                <w:szCs w:val="21"/>
              </w:rPr>
            </w:pPr>
          </w:p>
        </w:tc>
        <w:tc>
          <w:tcPr>
            <w:tcW w:w="2151" w:type="dxa"/>
            <w:vMerge w:val="continue"/>
            <w:vAlign w:val="center"/>
          </w:tcPr>
          <w:p w14:paraId="09984AF0">
            <w:pPr>
              <w:spacing w:line="240" w:lineRule="exact"/>
              <w:rPr>
                <w:rFonts w:ascii="Times New Roman" w:hAnsi="宋体"/>
                <w:szCs w:val="21"/>
              </w:rPr>
            </w:pPr>
          </w:p>
        </w:tc>
        <w:tc>
          <w:tcPr>
            <w:tcW w:w="2478" w:type="dxa"/>
            <w:vMerge w:val="continue"/>
            <w:vAlign w:val="center"/>
          </w:tcPr>
          <w:p w14:paraId="7B697252">
            <w:pPr>
              <w:spacing w:line="240" w:lineRule="exact"/>
              <w:rPr>
                <w:rFonts w:ascii="Times New Roman" w:hAnsi="宋体"/>
                <w:szCs w:val="21"/>
              </w:rPr>
            </w:pPr>
          </w:p>
        </w:tc>
      </w:tr>
      <w:tr w14:paraId="480D58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3" w:hRule="atLeast"/>
        </w:trPr>
        <w:tc>
          <w:tcPr>
            <w:tcW w:w="1851" w:type="dxa"/>
            <w:vMerge w:val="continue"/>
          </w:tcPr>
          <w:p w14:paraId="7B388437">
            <w:pPr>
              <w:rPr>
                <w:rFonts w:ascii="Times New Roman" w:hAnsi="Times New Roman"/>
                <w:szCs w:val="21"/>
              </w:rPr>
            </w:pPr>
          </w:p>
        </w:tc>
        <w:tc>
          <w:tcPr>
            <w:tcW w:w="1803" w:type="dxa"/>
          </w:tcPr>
          <w:p w14:paraId="12E45604">
            <w:pPr>
              <w:rPr>
                <w:rFonts w:ascii="Times New Roman" w:hAnsi="Times New Roman"/>
                <w:szCs w:val="21"/>
              </w:rPr>
            </w:pPr>
          </w:p>
        </w:tc>
        <w:tc>
          <w:tcPr>
            <w:tcW w:w="1809" w:type="dxa"/>
          </w:tcPr>
          <w:p w14:paraId="4E20B7E0">
            <w:pPr>
              <w:rPr>
                <w:rFonts w:ascii="Times New Roman" w:hAnsi="Times New Roman"/>
                <w:szCs w:val="21"/>
              </w:rPr>
            </w:pPr>
          </w:p>
        </w:tc>
        <w:tc>
          <w:tcPr>
            <w:tcW w:w="2151" w:type="dxa"/>
            <w:vMerge w:val="continue"/>
            <w:vAlign w:val="center"/>
          </w:tcPr>
          <w:p w14:paraId="429F506E">
            <w:pPr>
              <w:spacing w:line="240" w:lineRule="exact"/>
              <w:rPr>
                <w:rFonts w:ascii="Times New Roman" w:hAnsi="宋体"/>
                <w:szCs w:val="21"/>
              </w:rPr>
            </w:pPr>
          </w:p>
        </w:tc>
        <w:tc>
          <w:tcPr>
            <w:tcW w:w="2478" w:type="dxa"/>
            <w:vMerge w:val="continue"/>
            <w:vAlign w:val="center"/>
          </w:tcPr>
          <w:p w14:paraId="48BE14B6">
            <w:pPr>
              <w:spacing w:line="240" w:lineRule="exact"/>
              <w:rPr>
                <w:rFonts w:ascii="Times New Roman" w:hAnsi="宋体"/>
                <w:szCs w:val="21"/>
              </w:rPr>
            </w:pPr>
          </w:p>
        </w:tc>
      </w:tr>
      <w:tr w14:paraId="734AFD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3" w:hRule="atLeast"/>
        </w:trPr>
        <w:tc>
          <w:tcPr>
            <w:tcW w:w="1851" w:type="dxa"/>
            <w:vMerge w:val="continue"/>
          </w:tcPr>
          <w:p w14:paraId="40AF2BE6">
            <w:pPr>
              <w:rPr>
                <w:rFonts w:ascii="Times New Roman" w:hAnsi="Times New Roman"/>
                <w:szCs w:val="21"/>
              </w:rPr>
            </w:pPr>
          </w:p>
        </w:tc>
        <w:tc>
          <w:tcPr>
            <w:tcW w:w="1803" w:type="dxa"/>
          </w:tcPr>
          <w:p w14:paraId="43E8354C">
            <w:pPr>
              <w:rPr>
                <w:rFonts w:ascii="Times New Roman" w:hAnsi="Times New Roman"/>
                <w:szCs w:val="21"/>
              </w:rPr>
            </w:pPr>
          </w:p>
        </w:tc>
        <w:tc>
          <w:tcPr>
            <w:tcW w:w="1809" w:type="dxa"/>
          </w:tcPr>
          <w:p w14:paraId="13CBDEC8">
            <w:pPr>
              <w:rPr>
                <w:rFonts w:ascii="Times New Roman" w:hAnsi="Times New Roman"/>
                <w:szCs w:val="21"/>
              </w:rPr>
            </w:pPr>
          </w:p>
        </w:tc>
        <w:tc>
          <w:tcPr>
            <w:tcW w:w="2151" w:type="dxa"/>
            <w:vMerge w:val="continue"/>
            <w:vAlign w:val="center"/>
          </w:tcPr>
          <w:p w14:paraId="1914522C">
            <w:pPr>
              <w:spacing w:line="240" w:lineRule="exact"/>
              <w:rPr>
                <w:rFonts w:ascii="Times New Roman" w:hAnsi="宋体"/>
                <w:szCs w:val="21"/>
              </w:rPr>
            </w:pPr>
          </w:p>
        </w:tc>
        <w:tc>
          <w:tcPr>
            <w:tcW w:w="2478" w:type="dxa"/>
            <w:vMerge w:val="continue"/>
            <w:vAlign w:val="center"/>
          </w:tcPr>
          <w:p w14:paraId="0844474E">
            <w:pPr>
              <w:spacing w:line="240" w:lineRule="exact"/>
              <w:rPr>
                <w:rFonts w:ascii="Times New Roman" w:hAnsi="宋体"/>
                <w:szCs w:val="21"/>
              </w:rPr>
            </w:pPr>
          </w:p>
        </w:tc>
      </w:tr>
      <w:tr w14:paraId="46570A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3" w:hRule="atLeast"/>
        </w:trPr>
        <w:tc>
          <w:tcPr>
            <w:tcW w:w="1851" w:type="dxa"/>
            <w:vMerge w:val="continue"/>
          </w:tcPr>
          <w:p w14:paraId="738BEB0C">
            <w:pPr>
              <w:rPr>
                <w:rFonts w:ascii="Times New Roman" w:hAnsi="Times New Roman"/>
                <w:szCs w:val="21"/>
              </w:rPr>
            </w:pPr>
          </w:p>
        </w:tc>
        <w:tc>
          <w:tcPr>
            <w:tcW w:w="1803" w:type="dxa"/>
          </w:tcPr>
          <w:p w14:paraId="75A4F0A9">
            <w:pPr>
              <w:rPr>
                <w:rFonts w:ascii="Times New Roman" w:hAnsi="Times New Roman"/>
                <w:szCs w:val="21"/>
              </w:rPr>
            </w:pPr>
          </w:p>
        </w:tc>
        <w:tc>
          <w:tcPr>
            <w:tcW w:w="1809" w:type="dxa"/>
          </w:tcPr>
          <w:p w14:paraId="4D3A56FB">
            <w:pPr>
              <w:rPr>
                <w:rFonts w:ascii="Times New Roman" w:hAnsi="Times New Roman"/>
                <w:szCs w:val="21"/>
              </w:rPr>
            </w:pPr>
          </w:p>
        </w:tc>
        <w:tc>
          <w:tcPr>
            <w:tcW w:w="2151" w:type="dxa"/>
            <w:vMerge w:val="continue"/>
            <w:vAlign w:val="center"/>
          </w:tcPr>
          <w:p w14:paraId="786257EC">
            <w:pPr>
              <w:spacing w:line="240" w:lineRule="exact"/>
              <w:rPr>
                <w:rFonts w:ascii="Times New Roman" w:hAnsi="宋体"/>
                <w:szCs w:val="21"/>
              </w:rPr>
            </w:pPr>
          </w:p>
        </w:tc>
        <w:tc>
          <w:tcPr>
            <w:tcW w:w="2478" w:type="dxa"/>
            <w:vMerge w:val="continue"/>
            <w:vAlign w:val="center"/>
          </w:tcPr>
          <w:p w14:paraId="1E8B3A52">
            <w:pPr>
              <w:spacing w:line="240" w:lineRule="exact"/>
              <w:rPr>
                <w:rFonts w:ascii="Times New Roman" w:hAnsi="宋体"/>
                <w:szCs w:val="21"/>
              </w:rPr>
            </w:pPr>
          </w:p>
        </w:tc>
      </w:tr>
      <w:tr w14:paraId="0A6B1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6" w:hRule="atLeast"/>
        </w:trPr>
        <w:tc>
          <w:tcPr>
            <w:tcW w:w="1851" w:type="dxa"/>
            <w:vMerge w:val="restart"/>
          </w:tcPr>
          <w:p w14:paraId="6E2BAA09">
            <w:pPr>
              <w:rPr>
                <w:rFonts w:ascii="Times New Roman" w:hAnsi="Times New Roman"/>
                <w:szCs w:val="21"/>
              </w:rPr>
            </w:pPr>
          </w:p>
          <w:p w14:paraId="12AD3A85">
            <w:pPr>
              <w:rPr>
                <w:rFonts w:ascii="Times New Roman" w:hAnsi="Times New Roman"/>
                <w:szCs w:val="21"/>
              </w:rPr>
            </w:pPr>
          </w:p>
          <w:p w14:paraId="574055C4">
            <w:pPr>
              <w:rPr>
                <w:rFonts w:ascii="Times New Roman" w:hAnsi="Times New Roman"/>
                <w:szCs w:val="21"/>
              </w:rPr>
            </w:pPr>
          </w:p>
          <w:p w14:paraId="2B680BE5">
            <w:pPr>
              <w:rPr>
                <w:rFonts w:ascii="Times New Roman" w:hAnsi="Times New Roman"/>
                <w:szCs w:val="21"/>
              </w:rPr>
            </w:pPr>
          </w:p>
        </w:tc>
        <w:tc>
          <w:tcPr>
            <w:tcW w:w="1803" w:type="dxa"/>
          </w:tcPr>
          <w:p w14:paraId="54A85B9C">
            <w:pPr>
              <w:rPr>
                <w:rFonts w:ascii="Times New Roman" w:hAnsi="Times New Roman"/>
                <w:szCs w:val="21"/>
              </w:rPr>
            </w:pPr>
          </w:p>
        </w:tc>
        <w:tc>
          <w:tcPr>
            <w:tcW w:w="1809" w:type="dxa"/>
          </w:tcPr>
          <w:p w14:paraId="3F0FB4BA">
            <w:pPr>
              <w:rPr>
                <w:rFonts w:ascii="Times New Roman" w:hAnsi="Times New Roman"/>
                <w:szCs w:val="21"/>
              </w:rPr>
            </w:pPr>
          </w:p>
        </w:tc>
        <w:tc>
          <w:tcPr>
            <w:tcW w:w="2151" w:type="dxa"/>
            <w:vMerge w:val="restart"/>
            <w:vAlign w:val="center"/>
          </w:tcPr>
          <w:p w14:paraId="0E243DE2">
            <w:pPr>
              <w:spacing w:line="240" w:lineRule="exact"/>
              <w:rPr>
                <w:rFonts w:ascii="Times New Roman" w:hAnsi="宋体"/>
                <w:szCs w:val="21"/>
              </w:rPr>
            </w:pPr>
            <w:r>
              <w:rPr>
                <w:rFonts w:hint="eastAsia" w:ascii="Times New Roman" w:hAnsi="宋体"/>
                <w:szCs w:val="21"/>
              </w:rPr>
              <w:t>腐蚀性□</w:t>
            </w:r>
          </w:p>
          <w:p w14:paraId="13019F26">
            <w:pPr>
              <w:spacing w:line="240" w:lineRule="exact"/>
              <w:rPr>
                <w:rFonts w:ascii="Times New Roman" w:hAnsi="宋体"/>
                <w:szCs w:val="21"/>
              </w:rPr>
            </w:pPr>
            <w:r>
              <w:rPr>
                <w:rFonts w:hint="eastAsia" w:ascii="Times New Roman" w:hAnsi="宋体"/>
                <w:szCs w:val="21"/>
              </w:rPr>
              <w:t>毒性□</w:t>
            </w:r>
          </w:p>
          <w:p w14:paraId="49595D9D">
            <w:pPr>
              <w:spacing w:line="240" w:lineRule="exact"/>
              <w:rPr>
                <w:rFonts w:ascii="Times New Roman" w:hAnsi="宋体"/>
                <w:szCs w:val="21"/>
              </w:rPr>
            </w:pPr>
            <w:r>
              <w:rPr>
                <w:rFonts w:hint="eastAsia" w:ascii="Times New Roman" w:hAnsi="宋体"/>
                <w:szCs w:val="21"/>
              </w:rPr>
              <w:t>易燃性□</w:t>
            </w:r>
          </w:p>
          <w:p w14:paraId="276AF22B">
            <w:pPr>
              <w:spacing w:line="240" w:lineRule="exact"/>
              <w:rPr>
                <w:rFonts w:ascii="Times New Roman" w:hAnsi="宋体"/>
                <w:szCs w:val="21"/>
              </w:rPr>
            </w:pPr>
            <w:r>
              <w:rPr>
                <w:rFonts w:hint="eastAsia" w:ascii="Times New Roman" w:hAnsi="宋体"/>
                <w:szCs w:val="21"/>
              </w:rPr>
              <w:t>反应性□</w:t>
            </w:r>
          </w:p>
          <w:p w14:paraId="6A00403E">
            <w:pPr>
              <w:spacing w:line="240" w:lineRule="exact"/>
              <w:rPr>
                <w:rFonts w:ascii="Times New Roman" w:hAnsi="宋体"/>
                <w:szCs w:val="21"/>
              </w:rPr>
            </w:pPr>
            <w:r>
              <w:rPr>
                <w:rFonts w:hint="eastAsia" w:ascii="Times New Roman" w:hAnsi="宋体"/>
                <w:szCs w:val="21"/>
              </w:rPr>
              <w:t>感染性□</w:t>
            </w:r>
          </w:p>
        </w:tc>
        <w:tc>
          <w:tcPr>
            <w:tcW w:w="2478" w:type="dxa"/>
            <w:vMerge w:val="restart"/>
            <w:vAlign w:val="center"/>
          </w:tcPr>
          <w:p w14:paraId="503BF867">
            <w:pPr>
              <w:spacing w:line="240" w:lineRule="exact"/>
              <w:rPr>
                <w:rFonts w:ascii="Times New Roman" w:hAnsi="宋体"/>
                <w:szCs w:val="21"/>
              </w:rPr>
            </w:pPr>
            <w:r>
              <w:rPr>
                <w:rFonts w:hint="eastAsia" w:ascii="Times New Roman" w:hAnsi="宋体"/>
                <w:szCs w:val="21"/>
              </w:rPr>
              <w:t>固态□</w:t>
            </w:r>
          </w:p>
          <w:p w14:paraId="14DA2FCC">
            <w:pPr>
              <w:spacing w:line="240" w:lineRule="exact"/>
              <w:rPr>
                <w:rFonts w:ascii="Times New Roman" w:hAnsi="宋体"/>
                <w:szCs w:val="21"/>
              </w:rPr>
            </w:pPr>
            <w:r>
              <w:rPr>
                <w:rFonts w:hint="eastAsia" w:ascii="Times New Roman" w:hAnsi="宋体"/>
                <w:szCs w:val="21"/>
              </w:rPr>
              <w:t>半固态□</w:t>
            </w:r>
          </w:p>
          <w:p w14:paraId="5BA1C5D4">
            <w:pPr>
              <w:spacing w:line="240" w:lineRule="exact"/>
              <w:rPr>
                <w:rFonts w:ascii="Times New Roman" w:hAnsi="宋体"/>
                <w:szCs w:val="21"/>
              </w:rPr>
            </w:pPr>
            <w:r>
              <w:rPr>
                <w:rFonts w:hint="eastAsia" w:ascii="Times New Roman" w:hAnsi="宋体"/>
                <w:szCs w:val="21"/>
              </w:rPr>
              <w:t>粉末态□</w:t>
            </w:r>
          </w:p>
          <w:p w14:paraId="6896A4C5">
            <w:pPr>
              <w:spacing w:line="240" w:lineRule="exact"/>
              <w:rPr>
                <w:rFonts w:ascii="Times New Roman" w:hAnsi="宋体"/>
                <w:szCs w:val="21"/>
              </w:rPr>
            </w:pPr>
            <w:r>
              <w:rPr>
                <w:rFonts w:hint="eastAsia" w:ascii="Times New Roman" w:hAnsi="宋体"/>
                <w:szCs w:val="21"/>
              </w:rPr>
              <w:t>颗粒态□</w:t>
            </w:r>
          </w:p>
          <w:p w14:paraId="377BCDB7">
            <w:pPr>
              <w:spacing w:line="240" w:lineRule="exact"/>
              <w:rPr>
                <w:rFonts w:ascii="Times New Roman" w:hAnsi="宋体"/>
                <w:szCs w:val="21"/>
              </w:rPr>
            </w:pPr>
            <w:r>
              <w:rPr>
                <w:rFonts w:hint="eastAsia" w:ascii="Times New Roman" w:hAnsi="宋体"/>
                <w:szCs w:val="21"/>
              </w:rPr>
              <w:t>液态□</w:t>
            </w:r>
          </w:p>
        </w:tc>
      </w:tr>
      <w:tr w14:paraId="7A0A85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6" w:hRule="atLeast"/>
        </w:trPr>
        <w:tc>
          <w:tcPr>
            <w:tcW w:w="1851" w:type="dxa"/>
            <w:vMerge w:val="continue"/>
          </w:tcPr>
          <w:p w14:paraId="2E0EB4DD">
            <w:pPr>
              <w:rPr>
                <w:rFonts w:ascii="Times New Roman" w:hAnsi="Times New Roman"/>
                <w:szCs w:val="21"/>
              </w:rPr>
            </w:pPr>
          </w:p>
        </w:tc>
        <w:tc>
          <w:tcPr>
            <w:tcW w:w="1803" w:type="dxa"/>
          </w:tcPr>
          <w:p w14:paraId="19670813">
            <w:pPr>
              <w:rPr>
                <w:rFonts w:ascii="Times New Roman" w:hAnsi="Times New Roman"/>
                <w:szCs w:val="21"/>
              </w:rPr>
            </w:pPr>
          </w:p>
        </w:tc>
        <w:tc>
          <w:tcPr>
            <w:tcW w:w="1809" w:type="dxa"/>
          </w:tcPr>
          <w:p w14:paraId="17FB3B75">
            <w:pPr>
              <w:rPr>
                <w:rFonts w:ascii="Times New Roman" w:hAnsi="Times New Roman"/>
                <w:szCs w:val="21"/>
              </w:rPr>
            </w:pPr>
          </w:p>
        </w:tc>
        <w:tc>
          <w:tcPr>
            <w:tcW w:w="2151" w:type="dxa"/>
            <w:vMerge w:val="continue"/>
            <w:vAlign w:val="center"/>
          </w:tcPr>
          <w:p w14:paraId="06911F07">
            <w:pPr>
              <w:spacing w:line="240" w:lineRule="exact"/>
              <w:rPr>
                <w:rFonts w:ascii="Times New Roman" w:hAnsi="宋体"/>
                <w:szCs w:val="21"/>
              </w:rPr>
            </w:pPr>
          </w:p>
        </w:tc>
        <w:tc>
          <w:tcPr>
            <w:tcW w:w="2478" w:type="dxa"/>
            <w:vMerge w:val="continue"/>
            <w:vAlign w:val="center"/>
          </w:tcPr>
          <w:p w14:paraId="38CC82C5">
            <w:pPr>
              <w:spacing w:line="240" w:lineRule="exact"/>
              <w:rPr>
                <w:rFonts w:ascii="Times New Roman" w:hAnsi="宋体"/>
                <w:szCs w:val="21"/>
              </w:rPr>
            </w:pPr>
          </w:p>
        </w:tc>
      </w:tr>
      <w:tr w14:paraId="3CC931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6" w:hRule="atLeast"/>
        </w:trPr>
        <w:tc>
          <w:tcPr>
            <w:tcW w:w="1851" w:type="dxa"/>
            <w:vMerge w:val="continue"/>
          </w:tcPr>
          <w:p w14:paraId="382DC463">
            <w:pPr>
              <w:rPr>
                <w:rFonts w:ascii="Times New Roman" w:hAnsi="Times New Roman"/>
                <w:szCs w:val="21"/>
              </w:rPr>
            </w:pPr>
          </w:p>
        </w:tc>
        <w:tc>
          <w:tcPr>
            <w:tcW w:w="1803" w:type="dxa"/>
          </w:tcPr>
          <w:p w14:paraId="0AA33671">
            <w:pPr>
              <w:rPr>
                <w:rFonts w:ascii="Times New Roman" w:hAnsi="Times New Roman"/>
                <w:szCs w:val="21"/>
              </w:rPr>
            </w:pPr>
          </w:p>
        </w:tc>
        <w:tc>
          <w:tcPr>
            <w:tcW w:w="1809" w:type="dxa"/>
          </w:tcPr>
          <w:p w14:paraId="0C64B9D3">
            <w:pPr>
              <w:rPr>
                <w:rFonts w:ascii="Times New Roman" w:hAnsi="Times New Roman"/>
                <w:szCs w:val="21"/>
              </w:rPr>
            </w:pPr>
          </w:p>
        </w:tc>
        <w:tc>
          <w:tcPr>
            <w:tcW w:w="2151" w:type="dxa"/>
            <w:vMerge w:val="continue"/>
            <w:vAlign w:val="center"/>
          </w:tcPr>
          <w:p w14:paraId="59E40A2E">
            <w:pPr>
              <w:spacing w:line="240" w:lineRule="exact"/>
              <w:rPr>
                <w:rFonts w:ascii="Times New Roman" w:hAnsi="宋体"/>
                <w:szCs w:val="21"/>
              </w:rPr>
            </w:pPr>
          </w:p>
        </w:tc>
        <w:tc>
          <w:tcPr>
            <w:tcW w:w="2478" w:type="dxa"/>
            <w:vMerge w:val="continue"/>
            <w:vAlign w:val="center"/>
          </w:tcPr>
          <w:p w14:paraId="1BD9D27A">
            <w:pPr>
              <w:spacing w:line="240" w:lineRule="exact"/>
              <w:rPr>
                <w:rFonts w:ascii="Times New Roman" w:hAnsi="宋体"/>
                <w:szCs w:val="21"/>
              </w:rPr>
            </w:pPr>
          </w:p>
        </w:tc>
      </w:tr>
      <w:tr w14:paraId="49379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6" w:hRule="atLeast"/>
        </w:trPr>
        <w:tc>
          <w:tcPr>
            <w:tcW w:w="1851" w:type="dxa"/>
            <w:vMerge w:val="continue"/>
          </w:tcPr>
          <w:p w14:paraId="79494889">
            <w:pPr>
              <w:rPr>
                <w:rFonts w:ascii="Times New Roman" w:hAnsi="Times New Roman"/>
                <w:szCs w:val="21"/>
              </w:rPr>
            </w:pPr>
          </w:p>
        </w:tc>
        <w:tc>
          <w:tcPr>
            <w:tcW w:w="1803" w:type="dxa"/>
          </w:tcPr>
          <w:p w14:paraId="14D31D95">
            <w:pPr>
              <w:rPr>
                <w:rFonts w:ascii="Times New Roman" w:hAnsi="Times New Roman"/>
                <w:szCs w:val="21"/>
              </w:rPr>
            </w:pPr>
          </w:p>
        </w:tc>
        <w:tc>
          <w:tcPr>
            <w:tcW w:w="1809" w:type="dxa"/>
          </w:tcPr>
          <w:p w14:paraId="3270A272">
            <w:pPr>
              <w:rPr>
                <w:rFonts w:ascii="Times New Roman" w:hAnsi="Times New Roman"/>
                <w:szCs w:val="21"/>
              </w:rPr>
            </w:pPr>
          </w:p>
        </w:tc>
        <w:tc>
          <w:tcPr>
            <w:tcW w:w="2151" w:type="dxa"/>
            <w:vMerge w:val="continue"/>
            <w:vAlign w:val="center"/>
          </w:tcPr>
          <w:p w14:paraId="11ED3194">
            <w:pPr>
              <w:spacing w:line="240" w:lineRule="exact"/>
              <w:rPr>
                <w:rFonts w:ascii="Times New Roman" w:hAnsi="宋体"/>
                <w:szCs w:val="21"/>
              </w:rPr>
            </w:pPr>
          </w:p>
        </w:tc>
        <w:tc>
          <w:tcPr>
            <w:tcW w:w="2478" w:type="dxa"/>
            <w:vMerge w:val="continue"/>
            <w:vAlign w:val="center"/>
          </w:tcPr>
          <w:p w14:paraId="732B363F">
            <w:pPr>
              <w:spacing w:line="240" w:lineRule="exact"/>
              <w:rPr>
                <w:rFonts w:ascii="Times New Roman" w:hAnsi="宋体"/>
                <w:szCs w:val="21"/>
              </w:rPr>
            </w:pPr>
          </w:p>
        </w:tc>
      </w:tr>
      <w:tr w14:paraId="2CA54C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6" w:hRule="atLeast"/>
        </w:trPr>
        <w:tc>
          <w:tcPr>
            <w:tcW w:w="1851" w:type="dxa"/>
            <w:vMerge w:val="continue"/>
          </w:tcPr>
          <w:p w14:paraId="2D6211D0">
            <w:pPr>
              <w:rPr>
                <w:rFonts w:ascii="Times New Roman" w:hAnsi="Times New Roman"/>
                <w:szCs w:val="21"/>
              </w:rPr>
            </w:pPr>
          </w:p>
        </w:tc>
        <w:tc>
          <w:tcPr>
            <w:tcW w:w="1803" w:type="dxa"/>
          </w:tcPr>
          <w:p w14:paraId="4A8D0EE3">
            <w:pPr>
              <w:rPr>
                <w:rFonts w:ascii="Times New Roman" w:hAnsi="Times New Roman"/>
                <w:szCs w:val="21"/>
              </w:rPr>
            </w:pPr>
          </w:p>
        </w:tc>
        <w:tc>
          <w:tcPr>
            <w:tcW w:w="1809" w:type="dxa"/>
          </w:tcPr>
          <w:p w14:paraId="1C2FC7DA">
            <w:pPr>
              <w:rPr>
                <w:rFonts w:ascii="Times New Roman" w:hAnsi="Times New Roman"/>
                <w:szCs w:val="21"/>
              </w:rPr>
            </w:pPr>
          </w:p>
        </w:tc>
        <w:tc>
          <w:tcPr>
            <w:tcW w:w="2151" w:type="dxa"/>
            <w:vMerge w:val="continue"/>
            <w:vAlign w:val="center"/>
          </w:tcPr>
          <w:p w14:paraId="781A93D8">
            <w:pPr>
              <w:spacing w:line="240" w:lineRule="exact"/>
              <w:rPr>
                <w:rFonts w:ascii="Times New Roman" w:hAnsi="宋体"/>
                <w:szCs w:val="21"/>
              </w:rPr>
            </w:pPr>
          </w:p>
        </w:tc>
        <w:tc>
          <w:tcPr>
            <w:tcW w:w="2478" w:type="dxa"/>
            <w:vMerge w:val="continue"/>
            <w:vAlign w:val="center"/>
          </w:tcPr>
          <w:p w14:paraId="513A0469">
            <w:pPr>
              <w:spacing w:line="240" w:lineRule="exact"/>
              <w:rPr>
                <w:rFonts w:ascii="Times New Roman" w:hAnsi="宋体"/>
                <w:szCs w:val="21"/>
              </w:rPr>
            </w:pPr>
          </w:p>
        </w:tc>
      </w:tr>
    </w:tbl>
    <w:p w14:paraId="367CD085">
      <w:pPr>
        <w:rPr>
          <w:rFonts w:ascii="Times New Roman" w:eastAsia="黑体"/>
          <w:sz w:val="28"/>
          <w:szCs w:val="28"/>
        </w:rPr>
      </w:pPr>
    </w:p>
    <w:p w14:paraId="04F932D4">
      <w:pPr>
        <w:rPr>
          <w:rFonts w:ascii="Times New Roman" w:hAnsi="Times New Roman" w:eastAsia="黑体"/>
          <w:sz w:val="28"/>
          <w:szCs w:val="28"/>
        </w:rPr>
      </w:pPr>
      <w:r>
        <w:rPr>
          <w:rFonts w:hint="eastAsia" w:ascii="Times New Roman" w:eastAsia="黑体"/>
          <w:sz w:val="28"/>
          <w:szCs w:val="28"/>
        </w:rPr>
        <w:t>第二部分：废物包装、运输情况</w:t>
      </w:r>
    </w:p>
    <w:tbl>
      <w:tblPr>
        <w:tblStyle w:val="6"/>
        <w:tblW w:w="9885" w:type="dxa"/>
        <w:tblInd w:w="-41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5"/>
        <w:gridCol w:w="1634"/>
        <w:gridCol w:w="2075"/>
        <w:gridCol w:w="1421"/>
        <w:gridCol w:w="1379"/>
        <w:gridCol w:w="2361"/>
      </w:tblGrid>
      <w:tr w14:paraId="00B7F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9" w:hRule="atLeast"/>
        </w:trPr>
        <w:tc>
          <w:tcPr>
            <w:tcW w:w="9885" w:type="dxa"/>
            <w:gridSpan w:val="6"/>
            <w:vAlign w:val="center"/>
          </w:tcPr>
          <w:p w14:paraId="1DD82A18">
            <w:pPr>
              <w:rPr>
                <w:rFonts w:ascii="Times New Roman" w:hAnsi="Times New Roman"/>
                <w:b/>
                <w:bCs/>
              </w:rPr>
            </w:pPr>
            <w:r>
              <w:rPr>
                <w:rFonts w:hint="eastAsia" w:ascii="Times New Roman"/>
                <w:b/>
                <w:bCs/>
              </w:rPr>
              <w:t>表</w:t>
            </w:r>
            <w:r>
              <w:rPr>
                <w:rFonts w:ascii="Times New Roman" w:hAnsi="Times New Roman"/>
                <w:b/>
                <w:bCs/>
              </w:rPr>
              <w:t xml:space="preserve">1   </w:t>
            </w:r>
            <w:r>
              <w:rPr>
                <w:rFonts w:hint="eastAsia" w:ascii="Times New Roman"/>
                <w:b/>
                <w:bCs/>
              </w:rPr>
              <w:t>废物包装情况</w:t>
            </w:r>
          </w:p>
        </w:tc>
      </w:tr>
      <w:tr w14:paraId="566713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015" w:type="dxa"/>
            <w:vAlign w:val="center"/>
          </w:tcPr>
          <w:p w14:paraId="24E53774">
            <w:pPr>
              <w:jc w:val="center"/>
              <w:rPr>
                <w:rFonts w:ascii="Times New Roman" w:hAnsi="Times New Roman"/>
              </w:rPr>
            </w:pPr>
            <w:r>
              <w:rPr>
                <w:rFonts w:hint="eastAsia" w:ascii="Times New Roman"/>
              </w:rPr>
              <w:t>序号</w:t>
            </w:r>
          </w:p>
        </w:tc>
        <w:tc>
          <w:tcPr>
            <w:tcW w:w="1634" w:type="dxa"/>
            <w:vAlign w:val="center"/>
          </w:tcPr>
          <w:p w14:paraId="261EA940">
            <w:pPr>
              <w:jc w:val="center"/>
              <w:rPr>
                <w:rFonts w:ascii="Times New Roman" w:hAnsi="Times New Roman"/>
              </w:rPr>
            </w:pPr>
            <w:r>
              <w:rPr>
                <w:rFonts w:hint="eastAsia" w:ascii="Times New Roman"/>
              </w:rPr>
              <w:t>废物名称</w:t>
            </w:r>
          </w:p>
        </w:tc>
        <w:tc>
          <w:tcPr>
            <w:tcW w:w="2075" w:type="dxa"/>
            <w:vAlign w:val="center"/>
          </w:tcPr>
          <w:p w14:paraId="4FF1CA8A">
            <w:pPr>
              <w:jc w:val="center"/>
              <w:rPr>
                <w:rFonts w:ascii="Times New Roman" w:hAnsi="Times New Roman"/>
              </w:rPr>
            </w:pPr>
            <w:r>
              <w:rPr>
                <w:rFonts w:hint="eastAsia" w:ascii="Times New Roman"/>
              </w:rPr>
              <w:t>包装物（容器）名称</w:t>
            </w:r>
          </w:p>
        </w:tc>
        <w:tc>
          <w:tcPr>
            <w:tcW w:w="1421" w:type="dxa"/>
            <w:vAlign w:val="center"/>
          </w:tcPr>
          <w:p w14:paraId="678D69A5">
            <w:pPr>
              <w:jc w:val="center"/>
              <w:rPr>
                <w:rFonts w:ascii="Times New Roman" w:hAnsi="Times New Roman"/>
              </w:rPr>
            </w:pPr>
            <w:r>
              <w:rPr>
                <w:rFonts w:hint="eastAsia" w:ascii="Times New Roman"/>
              </w:rPr>
              <w:t>材质</w:t>
            </w:r>
          </w:p>
        </w:tc>
        <w:tc>
          <w:tcPr>
            <w:tcW w:w="1379" w:type="dxa"/>
            <w:vAlign w:val="center"/>
          </w:tcPr>
          <w:p w14:paraId="18D9093E">
            <w:pPr>
              <w:jc w:val="center"/>
              <w:rPr>
                <w:rFonts w:ascii="Times New Roman" w:hAnsi="Times New Roman"/>
              </w:rPr>
            </w:pPr>
            <w:r>
              <w:rPr>
                <w:rFonts w:hint="eastAsia" w:ascii="Times New Roman"/>
              </w:rPr>
              <w:t>容积</w:t>
            </w:r>
          </w:p>
        </w:tc>
        <w:tc>
          <w:tcPr>
            <w:tcW w:w="2361" w:type="dxa"/>
            <w:vAlign w:val="center"/>
          </w:tcPr>
          <w:p w14:paraId="08F005EF">
            <w:pPr>
              <w:jc w:val="center"/>
              <w:rPr>
                <w:rFonts w:ascii="Times New Roman" w:hAnsi="Times New Roman"/>
              </w:rPr>
            </w:pPr>
            <w:r>
              <w:rPr>
                <w:rFonts w:hint="eastAsia" w:ascii="Times New Roman"/>
              </w:rPr>
              <w:t>是否有危废标签</w:t>
            </w:r>
          </w:p>
        </w:tc>
      </w:tr>
      <w:tr w14:paraId="43E2D6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trPr>
        <w:tc>
          <w:tcPr>
            <w:tcW w:w="1015" w:type="dxa"/>
            <w:vAlign w:val="center"/>
          </w:tcPr>
          <w:p w14:paraId="1D76453F">
            <w:pPr>
              <w:jc w:val="center"/>
              <w:rPr>
                <w:rFonts w:ascii="Times New Roman" w:hAnsi="Times New Roman"/>
              </w:rPr>
            </w:pPr>
            <w:r>
              <w:rPr>
                <w:rFonts w:hint="eastAsia" w:ascii="Times New Roman" w:hAnsi="Times New Roman"/>
              </w:rPr>
              <w:t>1</w:t>
            </w:r>
          </w:p>
        </w:tc>
        <w:tc>
          <w:tcPr>
            <w:tcW w:w="1634" w:type="dxa"/>
            <w:vAlign w:val="center"/>
          </w:tcPr>
          <w:p w14:paraId="7B27E685">
            <w:pPr>
              <w:jc w:val="both"/>
              <w:rPr>
                <w:rFonts w:hint="eastAsia" w:ascii="Times New Roman" w:hAnsi="Times New Roman" w:eastAsia="微软雅黑"/>
                <w:lang w:eastAsia="zh-CN"/>
              </w:rPr>
            </w:pPr>
            <w:r>
              <w:rPr>
                <w:rFonts w:hint="eastAsia" w:ascii="Times New Roman" w:hAnsi="Times New Roman"/>
                <w:szCs w:val="21"/>
                <w:lang w:eastAsia="zh-CN"/>
              </w:rPr>
              <w:t>一般废水污泥</w:t>
            </w:r>
          </w:p>
        </w:tc>
        <w:tc>
          <w:tcPr>
            <w:tcW w:w="2075" w:type="dxa"/>
            <w:vAlign w:val="center"/>
          </w:tcPr>
          <w:p w14:paraId="0C3A95E0">
            <w:pPr>
              <w:jc w:val="center"/>
              <w:rPr>
                <w:rFonts w:ascii="Times New Roman" w:hAnsi="Times New Roman"/>
              </w:rPr>
            </w:pPr>
            <w:r>
              <w:rPr>
                <w:rFonts w:hint="eastAsia" w:ascii="Times New Roman" w:hAnsi="Times New Roman"/>
              </w:rPr>
              <w:t>吨袋</w:t>
            </w:r>
          </w:p>
        </w:tc>
        <w:tc>
          <w:tcPr>
            <w:tcW w:w="1421" w:type="dxa"/>
            <w:vAlign w:val="center"/>
          </w:tcPr>
          <w:p w14:paraId="499E1AB0">
            <w:pPr>
              <w:jc w:val="center"/>
              <w:rPr>
                <w:rFonts w:ascii="Times New Roman" w:hAnsi="Times New Roman"/>
              </w:rPr>
            </w:pPr>
            <w:r>
              <w:rPr>
                <w:rFonts w:hint="eastAsia" w:ascii="Times New Roman" w:hAnsi="Times New Roman"/>
              </w:rPr>
              <w:t>PP</w:t>
            </w:r>
          </w:p>
        </w:tc>
        <w:tc>
          <w:tcPr>
            <w:tcW w:w="1379" w:type="dxa"/>
          </w:tcPr>
          <w:p w14:paraId="043E3E46">
            <w:pPr>
              <w:jc w:val="center"/>
              <w:rPr>
                <w:rFonts w:ascii="Times New Roman" w:hAnsi="Times New Roman"/>
              </w:rPr>
            </w:pPr>
            <w:r>
              <w:rPr>
                <w:rFonts w:hint="eastAsia" w:ascii="Times New Roman" w:hAnsi="Times New Roman"/>
              </w:rPr>
              <w:t>800~1000Kg</w:t>
            </w:r>
          </w:p>
        </w:tc>
        <w:tc>
          <w:tcPr>
            <w:tcW w:w="2361" w:type="dxa"/>
            <w:vAlign w:val="center"/>
          </w:tcPr>
          <w:p w14:paraId="7CA10FE8">
            <w:pPr>
              <w:jc w:val="center"/>
              <w:rPr>
                <w:rFonts w:ascii="Times New Roman" w:hAnsi="Times New Roman"/>
              </w:rPr>
            </w:pPr>
            <w:r>
              <w:rPr>
                <w:rFonts w:hint="eastAsia" w:ascii="Times New Roman" w:hAnsi="Times New Roman"/>
              </w:rPr>
              <w:t>有</w:t>
            </w:r>
          </w:p>
        </w:tc>
      </w:tr>
      <w:tr w14:paraId="110F08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exact"/>
        </w:trPr>
        <w:tc>
          <w:tcPr>
            <w:tcW w:w="1015" w:type="dxa"/>
          </w:tcPr>
          <w:p w14:paraId="155EBE8D">
            <w:pPr>
              <w:jc w:val="center"/>
              <w:rPr>
                <w:rFonts w:ascii="Times New Roman" w:hAnsi="Times New Roman"/>
              </w:rPr>
            </w:pPr>
          </w:p>
        </w:tc>
        <w:tc>
          <w:tcPr>
            <w:tcW w:w="1634" w:type="dxa"/>
          </w:tcPr>
          <w:p w14:paraId="02E0E59F">
            <w:pPr>
              <w:rPr>
                <w:rFonts w:ascii="Times New Roman" w:hAnsi="Times New Roman"/>
              </w:rPr>
            </w:pPr>
          </w:p>
        </w:tc>
        <w:tc>
          <w:tcPr>
            <w:tcW w:w="2075" w:type="dxa"/>
            <w:vAlign w:val="center"/>
          </w:tcPr>
          <w:p w14:paraId="78EB7FB9">
            <w:pPr>
              <w:jc w:val="center"/>
              <w:rPr>
                <w:rFonts w:ascii="Times New Roman" w:hAnsi="Times New Roman"/>
              </w:rPr>
            </w:pPr>
          </w:p>
        </w:tc>
        <w:tc>
          <w:tcPr>
            <w:tcW w:w="1421" w:type="dxa"/>
            <w:vAlign w:val="center"/>
          </w:tcPr>
          <w:p w14:paraId="076D6B7D">
            <w:pPr>
              <w:jc w:val="center"/>
              <w:rPr>
                <w:rFonts w:ascii="Times New Roman" w:hAnsi="Times New Roman"/>
              </w:rPr>
            </w:pPr>
          </w:p>
        </w:tc>
        <w:tc>
          <w:tcPr>
            <w:tcW w:w="1379" w:type="dxa"/>
          </w:tcPr>
          <w:p w14:paraId="0B129D26">
            <w:pPr>
              <w:jc w:val="center"/>
              <w:rPr>
                <w:rFonts w:ascii="Times New Roman" w:hAnsi="Times New Roman"/>
              </w:rPr>
            </w:pPr>
          </w:p>
        </w:tc>
        <w:tc>
          <w:tcPr>
            <w:tcW w:w="2361" w:type="dxa"/>
            <w:vAlign w:val="center"/>
          </w:tcPr>
          <w:p w14:paraId="23DB7266">
            <w:pPr>
              <w:jc w:val="center"/>
              <w:rPr>
                <w:rFonts w:ascii="Times New Roman" w:hAnsi="Times New Roman"/>
              </w:rPr>
            </w:pPr>
          </w:p>
        </w:tc>
      </w:tr>
      <w:tr w14:paraId="5BC72A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trPr>
        <w:tc>
          <w:tcPr>
            <w:tcW w:w="1015" w:type="dxa"/>
          </w:tcPr>
          <w:p w14:paraId="0827C7D8">
            <w:pPr>
              <w:jc w:val="center"/>
              <w:rPr>
                <w:rFonts w:ascii="Times New Roman" w:hAnsi="Times New Roman"/>
              </w:rPr>
            </w:pPr>
          </w:p>
        </w:tc>
        <w:tc>
          <w:tcPr>
            <w:tcW w:w="1634" w:type="dxa"/>
          </w:tcPr>
          <w:p w14:paraId="5BC78DFD">
            <w:pPr>
              <w:rPr>
                <w:rFonts w:ascii="Times New Roman" w:hAnsi="Times New Roman"/>
              </w:rPr>
            </w:pPr>
          </w:p>
        </w:tc>
        <w:tc>
          <w:tcPr>
            <w:tcW w:w="2075" w:type="dxa"/>
          </w:tcPr>
          <w:p w14:paraId="76C21F92">
            <w:pPr>
              <w:ind w:firstLine="550" w:firstLineChars="250"/>
              <w:rPr>
                <w:rFonts w:ascii="Times New Roman" w:hAnsi="Times New Roman"/>
              </w:rPr>
            </w:pPr>
          </w:p>
        </w:tc>
        <w:tc>
          <w:tcPr>
            <w:tcW w:w="1421" w:type="dxa"/>
          </w:tcPr>
          <w:p w14:paraId="26185580">
            <w:pPr>
              <w:ind w:firstLine="220" w:firstLineChars="100"/>
              <w:rPr>
                <w:rFonts w:ascii="Times New Roman" w:hAnsi="Times New Roman"/>
              </w:rPr>
            </w:pPr>
          </w:p>
        </w:tc>
        <w:tc>
          <w:tcPr>
            <w:tcW w:w="1379" w:type="dxa"/>
          </w:tcPr>
          <w:p w14:paraId="333B5A60">
            <w:pPr>
              <w:ind w:firstLine="220" w:firstLineChars="100"/>
              <w:rPr>
                <w:rFonts w:ascii="Times New Roman" w:hAnsi="Times New Roman"/>
              </w:rPr>
            </w:pPr>
          </w:p>
        </w:tc>
        <w:tc>
          <w:tcPr>
            <w:tcW w:w="2361" w:type="dxa"/>
          </w:tcPr>
          <w:p w14:paraId="2A2E8048">
            <w:pPr>
              <w:jc w:val="center"/>
              <w:rPr>
                <w:rFonts w:ascii="Times New Roman" w:hAnsi="Times New Roman"/>
              </w:rPr>
            </w:pPr>
          </w:p>
        </w:tc>
      </w:tr>
      <w:tr w14:paraId="43767B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trPr>
        <w:tc>
          <w:tcPr>
            <w:tcW w:w="1015" w:type="dxa"/>
          </w:tcPr>
          <w:p w14:paraId="0E1FBAD3">
            <w:pPr>
              <w:rPr>
                <w:rFonts w:ascii="Times New Roman" w:hAnsi="Times New Roman"/>
              </w:rPr>
            </w:pPr>
          </w:p>
        </w:tc>
        <w:tc>
          <w:tcPr>
            <w:tcW w:w="1634" w:type="dxa"/>
          </w:tcPr>
          <w:p w14:paraId="690DC9AA">
            <w:pPr>
              <w:rPr>
                <w:rFonts w:ascii="Times New Roman" w:hAnsi="Times New Roman"/>
              </w:rPr>
            </w:pPr>
          </w:p>
        </w:tc>
        <w:tc>
          <w:tcPr>
            <w:tcW w:w="2075" w:type="dxa"/>
          </w:tcPr>
          <w:p w14:paraId="3C268B57">
            <w:pPr>
              <w:rPr>
                <w:rFonts w:ascii="Times New Roman" w:hAnsi="Times New Roman"/>
              </w:rPr>
            </w:pPr>
          </w:p>
        </w:tc>
        <w:tc>
          <w:tcPr>
            <w:tcW w:w="1421" w:type="dxa"/>
          </w:tcPr>
          <w:p w14:paraId="5BEDD0D8">
            <w:pPr>
              <w:rPr>
                <w:rFonts w:ascii="Times New Roman" w:hAnsi="Times New Roman"/>
              </w:rPr>
            </w:pPr>
          </w:p>
        </w:tc>
        <w:tc>
          <w:tcPr>
            <w:tcW w:w="1379" w:type="dxa"/>
          </w:tcPr>
          <w:p w14:paraId="1FD9E998">
            <w:pPr>
              <w:rPr>
                <w:rFonts w:ascii="Times New Roman" w:hAnsi="Times New Roman"/>
              </w:rPr>
            </w:pPr>
          </w:p>
        </w:tc>
        <w:tc>
          <w:tcPr>
            <w:tcW w:w="2361" w:type="dxa"/>
          </w:tcPr>
          <w:p w14:paraId="15026A74">
            <w:pPr>
              <w:rPr>
                <w:rFonts w:ascii="Times New Roman" w:hAnsi="Times New Roman"/>
              </w:rPr>
            </w:pPr>
          </w:p>
        </w:tc>
      </w:tr>
    </w:tbl>
    <w:p w14:paraId="573EF5C5">
      <w:pPr>
        <w:rPr>
          <w:rFonts w:ascii="Times New Roman" w:hAnsi="Times New Roman" w:eastAsia="黑体"/>
          <w:sz w:val="28"/>
          <w:szCs w:val="28"/>
        </w:rPr>
      </w:pPr>
    </w:p>
    <w:tbl>
      <w:tblPr>
        <w:tblStyle w:val="6"/>
        <w:tblW w:w="9885" w:type="dxa"/>
        <w:tblInd w:w="-41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85"/>
      </w:tblGrid>
      <w:tr w14:paraId="068933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6" w:hRule="atLeast"/>
        </w:trPr>
        <w:tc>
          <w:tcPr>
            <w:tcW w:w="9885" w:type="dxa"/>
            <w:vAlign w:val="center"/>
          </w:tcPr>
          <w:p w14:paraId="0C8A4859">
            <w:pPr>
              <w:rPr>
                <w:rFonts w:ascii="Times New Roman"/>
                <w:b/>
                <w:bCs/>
                <w:szCs w:val="24"/>
              </w:rPr>
            </w:pPr>
            <w:r>
              <w:rPr>
                <w:rFonts w:hint="eastAsia" w:ascii="Times New Roman"/>
                <w:b/>
                <w:bCs/>
                <w:szCs w:val="24"/>
              </w:rPr>
              <w:t>表</w:t>
            </w:r>
            <w:r>
              <w:rPr>
                <w:rFonts w:ascii="Times New Roman" w:hAnsi="Times New Roman"/>
                <w:b/>
                <w:bCs/>
                <w:szCs w:val="24"/>
              </w:rPr>
              <w:t xml:space="preserve">2  </w:t>
            </w:r>
            <w:r>
              <w:rPr>
                <w:rFonts w:hint="eastAsia" w:ascii="Times New Roman"/>
                <w:b/>
                <w:bCs/>
                <w:szCs w:val="24"/>
              </w:rPr>
              <w:t>废物运输情况</w:t>
            </w:r>
          </w:p>
          <w:p w14:paraId="6340DBD3">
            <w:pPr>
              <w:tabs>
                <w:tab w:val="left" w:pos="3075"/>
              </w:tabs>
              <w:rPr>
                <w:rFonts w:ascii="Times New Roman" w:hAnsi="Times New Roman"/>
                <w:b/>
                <w:szCs w:val="24"/>
              </w:rPr>
            </w:pPr>
            <w:r>
              <w:rPr>
                <w:rFonts w:hint="eastAsia" w:ascii="Times New Roman" w:hAnsi="Times New Roman"/>
                <w:b/>
                <w:szCs w:val="24"/>
                <w:lang w:val="en-US" w:eastAsia="zh-CN"/>
              </w:rPr>
              <w:t>运输单位一、温州市嘉为物流有限公司</w:t>
            </w:r>
            <w:r>
              <w:rPr>
                <w:rFonts w:ascii="Times New Roman" w:hAnsi="Times New Roman"/>
                <w:b/>
                <w:szCs w:val="24"/>
              </w:rPr>
              <w:tab/>
            </w:r>
          </w:p>
          <w:p w14:paraId="125B4430">
            <w:pPr>
              <w:rPr>
                <w:rFonts w:hint="default" w:ascii="Times New Roman" w:hAnsi="Times New Roman" w:eastAsia="微软雅黑"/>
                <w:szCs w:val="24"/>
                <w:lang w:val="en-US" w:eastAsia="zh-CN"/>
              </w:rPr>
            </w:pPr>
            <w:r>
              <w:rPr>
                <w:rFonts w:hint="eastAsia" w:ascii="Times New Roman" w:hAnsi="Times New Roman"/>
                <w:szCs w:val="24"/>
              </w:rPr>
              <w:t>道路运输经营许可证：</w:t>
            </w:r>
            <w:r>
              <w:rPr>
                <w:rFonts w:hint="eastAsia" w:ascii="Times New Roman" w:hAnsi="Times New Roman"/>
                <w:szCs w:val="24"/>
                <w:lang w:val="en-US" w:eastAsia="zh-CN"/>
              </w:rPr>
              <w:t>浙</w:t>
            </w:r>
            <w:r>
              <w:rPr>
                <w:rFonts w:hint="eastAsia" w:ascii="Times New Roman" w:hAnsi="Times New Roman"/>
                <w:szCs w:val="24"/>
              </w:rPr>
              <w:t>交运管许可</w:t>
            </w:r>
            <w:r>
              <w:rPr>
                <w:rFonts w:hint="eastAsia" w:ascii="Times New Roman" w:hAnsi="Times New Roman"/>
                <w:szCs w:val="24"/>
                <w:lang w:eastAsia="zh-CN"/>
              </w:rPr>
              <w:t>温</w:t>
            </w:r>
            <w:r>
              <w:rPr>
                <w:rFonts w:hint="eastAsia" w:ascii="Times New Roman" w:hAnsi="Times New Roman"/>
                <w:szCs w:val="24"/>
              </w:rPr>
              <w:t>字</w:t>
            </w:r>
            <w:r>
              <w:rPr>
                <w:rFonts w:hint="eastAsia" w:ascii="Times New Roman" w:hAnsi="Times New Roman"/>
                <w:szCs w:val="24"/>
                <w:lang w:val="en-US" w:eastAsia="zh-CN"/>
              </w:rPr>
              <w:t>330301100727</w:t>
            </w:r>
          </w:p>
          <w:p w14:paraId="0A260DA1">
            <w:pPr>
              <w:rPr>
                <w:rFonts w:hint="eastAsia" w:ascii="Times New Roman" w:hAnsi="Times New Roman"/>
                <w:szCs w:val="24"/>
              </w:rPr>
            </w:pPr>
            <w:r>
              <w:rPr>
                <w:rFonts w:hint="eastAsia" w:ascii="Times New Roman" w:hAnsi="Times New Roman"/>
                <w:szCs w:val="24"/>
              </w:rPr>
              <w:t>货运</w:t>
            </w:r>
            <w:r>
              <w:rPr>
                <w:rFonts w:hint="eastAsia" w:ascii="Times New Roman" w:hAnsi="Times New Roman"/>
                <w:szCs w:val="24"/>
                <w:lang w:eastAsia="zh-CN"/>
              </w:rPr>
              <w:t>：</w:t>
            </w:r>
            <w:r>
              <w:rPr>
                <w:rFonts w:hint="eastAsia" w:ascii="Times New Roman" w:hAnsi="Times New Roman"/>
                <w:szCs w:val="24"/>
                <w:lang w:val="en-US" w:eastAsia="zh-CN"/>
              </w:rPr>
              <w:t>普通货运、</w:t>
            </w:r>
            <w:r>
              <w:rPr>
                <w:rFonts w:hint="eastAsia" w:ascii="Times New Roman" w:hAnsi="Times New Roman"/>
                <w:szCs w:val="24"/>
              </w:rPr>
              <w:t>经营性危险货物运输（</w:t>
            </w:r>
            <w:r>
              <w:rPr>
                <w:rFonts w:hint="eastAsia" w:ascii="Times New Roman" w:hAnsi="Times New Roman"/>
                <w:szCs w:val="24"/>
                <w:lang w:val="en-US" w:eastAsia="zh-CN"/>
              </w:rPr>
              <w:t>第</w:t>
            </w:r>
            <w:r>
              <w:rPr>
                <w:rFonts w:hint="eastAsia" w:ascii="Times New Roman" w:hAnsi="Times New Roman"/>
                <w:szCs w:val="24"/>
              </w:rPr>
              <w:t>3类</w:t>
            </w:r>
            <w:r>
              <w:rPr>
                <w:rFonts w:hint="eastAsia" w:ascii="Times New Roman" w:hAnsi="Times New Roman"/>
                <w:szCs w:val="24"/>
                <w:lang w:eastAsia="zh-CN"/>
              </w:rPr>
              <w:t>、危险废物）（</w:t>
            </w:r>
            <w:r>
              <w:rPr>
                <w:rFonts w:hint="eastAsia" w:ascii="Times New Roman" w:hAnsi="Times New Roman"/>
                <w:szCs w:val="24"/>
              </w:rPr>
              <w:t>剧毒化学品</w:t>
            </w:r>
            <w:r>
              <w:rPr>
                <w:rFonts w:hint="eastAsia" w:ascii="Times New Roman" w:hAnsi="Times New Roman"/>
                <w:szCs w:val="24"/>
                <w:lang w:eastAsia="zh-CN"/>
              </w:rPr>
              <w:t>、国家特别管控危险化学品除外</w:t>
            </w:r>
            <w:r>
              <w:rPr>
                <w:rFonts w:hint="eastAsia" w:ascii="Times New Roman" w:hAnsi="Times New Roman"/>
                <w:szCs w:val="24"/>
              </w:rPr>
              <w:t>）</w:t>
            </w:r>
          </w:p>
          <w:p w14:paraId="37553934">
            <w:pPr>
              <w:rPr>
                <w:rFonts w:ascii="Times New Roman" w:hAnsi="Times New Roman"/>
                <w:szCs w:val="24"/>
              </w:rPr>
            </w:pPr>
          </w:p>
          <w:p w14:paraId="4749936F">
            <w:pPr>
              <w:rPr>
                <w:rFonts w:ascii="Times New Roman" w:hAnsi="Times New Roman"/>
                <w:szCs w:val="24"/>
              </w:rPr>
            </w:pPr>
          </w:p>
          <w:p w14:paraId="658C5E3B">
            <w:pPr>
              <w:rPr>
                <w:rFonts w:ascii="Times New Roman" w:hAnsi="Times New Roman"/>
                <w:szCs w:val="24"/>
              </w:rPr>
            </w:pPr>
          </w:p>
          <w:p w14:paraId="26B7BB41">
            <w:pPr>
              <w:tabs>
                <w:tab w:val="left" w:pos="3075"/>
              </w:tabs>
              <w:rPr>
                <w:rFonts w:ascii="Times New Roman" w:hAnsi="Times New Roman"/>
                <w:b/>
                <w:szCs w:val="24"/>
              </w:rPr>
            </w:pPr>
            <w:r>
              <w:rPr>
                <w:rFonts w:hint="eastAsia" w:ascii="Times New Roman" w:hAnsi="Times New Roman"/>
                <w:szCs w:val="24"/>
                <w:lang w:eastAsia="zh-CN"/>
              </w:rPr>
              <w:t>运输单位二、</w:t>
            </w:r>
            <w:r>
              <w:rPr>
                <w:rFonts w:hint="eastAsia" w:ascii="Times New Roman" w:hAnsi="Times New Roman"/>
                <w:b/>
                <w:szCs w:val="24"/>
                <w:lang w:val="en-US" w:eastAsia="zh-CN"/>
              </w:rPr>
              <w:t>开化盛翔物流有限公司</w:t>
            </w:r>
            <w:r>
              <w:rPr>
                <w:rFonts w:ascii="Times New Roman" w:hAnsi="Times New Roman"/>
                <w:b/>
                <w:szCs w:val="24"/>
              </w:rPr>
              <w:tab/>
            </w:r>
          </w:p>
          <w:p w14:paraId="7A9F0C94">
            <w:pPr>
              <w:rPr>
                <w:rFonts w:hint="default" w:ascii="Times New Roman" w:hAnsi="Times New Roman" w:eastAsia="微软雅黑"/>
                <w:szCs w:val="24"/>
                <w:lang w:val="en-US" w:eastAsia="zh-CN"/>
              </w:rPr>
            </w:pPr>
            <w:r>
              <w:rPr>
                <w:rFonts w:hint="eastAsia" w:ascii="Times New Roman" w:hAnsi="Times New Roman"/>
                <w:szCs w:val="24"/>
              </w:rPr>
              <w:t>道路运输经营许可证：</w:t>
            </w:r>
            <w:r>
              <w:rPr>
                <w:rFonts w:hint="eastAsia" w:ascii="Times New Roman" w:hAnsi="Times New Roman"/>
                <w:szCs w:val="24"/>
                <w:lang w:val="en-US" w:eastAsia="zh-CN"/>
              </w:rPr>
              <w:t>浙</w:t>
            </w:r>
            <w:r>
              <w:rPr>
                <w:rFonts w:hint="eastAsia" w:ascii="Times New Roman" w:hAnsi="Times New Roman"/>
                <w:szCs w:val="24"/>
              </w:rPr>
              <w:t>交运管许可</w:t>
            </w:r>
            <w:r>
              <w:rPr>
                <w:rFonts w:hint="eastAsia" w:ascii="Times New Roman" w:hAnsi="Times New Roman"/>
                <w:szCs w:val="24"/>
                <w:lang w:val="en-US" w:eastAsia="zh-CN"/>
              </w:rPr>
              <w:t>衢</w:t>
            </w:r>
            <w:r>
              <w:rPr>
                <w:rFonts w:hint="eastAsia" w:ascii="Times New Roman" w:hAnsi="Times New Roman"/>
                <w:szCs w:val="24"/>
              </w:rPr>
              <w:t>字</w:t>
            </w:r>
            <w:r>
              <w:rPr>
                <w:rFonts w:hint="eastAsia" w:ascii="Times New Roman" w:hAnsi="Times New Roman"/>
                <w:szCs w:val="24"/>
                <w:lang w:val="en-US" w:eastAsia="zh-CN"/>
              </w:rPr>
              <w:t>330824601871</w:t>
            </w:r>
          </w:p>
          <w:p w14:paraId="21686C8D">
            <w:pPr>
              <w:rPr>
                <w:rFonts w:ascii="Times New Roman" w:hAnsi="Times New Roman"/>
                <w:szCs w:val="24"/>
              </w:rPr>
            </w:pPr>
            <w:r>
              <w:rPr>
                <w:rFonts w:hint="eastAsia" w:ascii="Times New Roman" w:hAnsi="Times New Roman"/>
                <w:szCs w:val="24"/>
              </w:rPr>
              <w:t>货运</w:t>
            </w:r>
            <w:r>
              <w:rPr>
                <w:rFonts w:hint="eastAsia" w:ascii="Times New Roman" w:hAnsi="Times New Roman"/>
                <w:szCs w:val="24"/>
                <w:lang w:eastAsia="zh-CN"/>
              </w:rPr>
              <w:t>：</w:t>
            </w:r>
            <w:r>
              <w:rPr>
                <w:rFonts w:hint="eastAsia" w:ascii="Times New Roman" w:hAnsi="Times New Roman"/>
                <w:szCs w:val="24"/>
                <w:lang w:val="en-US" w:eastAsia="zh-CN"/>
              </w:rPr>
              <w:t>普通货运、货物专用运输（罐式）、</w:t>
            </w:r>
            <w:r>
              <w:rPr>
                <w:rFonts w:hint="eastAsia" w:ascii="Times New Roman" w:hAnsi="Times New Roman"/>
                <w:szCs w:val="24"/>
              </w:rPr>
              <w:t>经营性危险货物运输（</w:t>
            </w:r>
            <w:r>
              <w:rPr>
                <w:rFonts w:hint="eastAsia" w:ascii="Times New Roman" w:hAnsi="Times New Roman"/>
                <w:szCs w:val="24"/>
                <w:lang w:val="en-US" w:eastAsia="zh-CN"/>
              </w:rPr>
              <w:t>第</w:t>
            </w:r>
            <w:r>
              <w:rPr>
                <w:rFonts w:hint="eastAsia" w:ascii="Times New Roman" w:hAnsi="Times New Roman"/>
                <w:szCs w:val="24"/>
              </w:rPr>
              <w:t>3类，</w:t>
            </w:r>
            <w:r>
              <w:rPr>
                <w:rFonts w:hint="eastAsia" w:ascii="Times New Roman" w:hAnsi="Times New Roman"/>
                <w:szCs w:val="24"/>
                <w:lang w:val="en-US" w:eastAsia="zh-CN"/>
              </w:rPr>
              <w:t xml:space="preserve">4. </w:t>
            </w:r>
            <w:r>
              <w:rPr>
                <w:rFonts w:hint="eastAsia" w:ascii="Times New Roman" w:hAnsi="Times New Roman"/>
                <w:szCs w:val="24"/>
              </w:rPr>
              <w:t>1项，</w:t>
            </w:r>
            <w:r>
              <w:rPr>
                <w:rFonts w:hint="eastAsia" w:ascii="Times New Roman" w:hAnsi="Times New Roman"/>
                <w:szCs w:val="24"/>
                <w:lang w:val="en-US" w:eastAsia="zh-CN"/>
              </w:rPr>
              <w:t>4. 2项、4. 3项、6. 1项、6.2项、第</w:t>
            </w:r>
            <w:r>
              <w:rPr>
                <w:rFonts w:hint="eastAsia" w:ascii="Times New Roman" w:hAnsi="Times New Roman"/>
                <w:szCs w:val="24"/>
              </w:rPr>
              <w:t>8类</w:t>
            </w:r>
            <w:r>
              <w:rPr>
                <w:rFonts w:hint="eastAsia" w:ascii="Times New Roman" w:hAnsi="Times New Roman"/>
                <w:szCs w:val="24"/>
                <w:lang w:eastAsia="zh-CN"/>
              </w:rPr>
              <w:t>、第</w:t>
            </w:r>
            <w:r>
              <w:rPr>
                <w:rFonts w:hint="eastAsia" w:ascii="Times New Roman" w:hAnsi="Times New Roman"/>
                <w:szCs w:val="24"/>
                <w:lang w:val="en-US" w:eastAsia="zh-CN"/>
              </w:rPr>
              <w:t>9</w:t>
            </w:r>
            <w:r>
              <w:rPr>
                <w:rFonts w:hint="eastAsia" w:ascii="Times New Roman" w:hAnsi="Times New Roman"/>
                <w:szCs w:val="24"/>
                <w:lang w:eastAsia="zh-CN"/>
              </w:rPr>
              <w:t>类、危险废物）</w:t>
            </w:r>
            <w:r>
              <w:rPr>
                <w:rFonts w:hint="eastAsia" w:ascii="Times New Roman" w:hAnsi="Times New Roman"/>
                <w:szCs w:val="24"/>
              </w:rPr>
              <w:t>，</w:t>
            </w:r>
            <w:r>
              <w:rPr>
                <w:rFonts w:hint="eastAsia" w:ascii="Times New Roman" w:hAnsi="Times New Roman"/>
                <w:szCs w:val="24"/>
                <w:lang w:eastAsia="zh-CN"/>
              </w:rPr>
              <w:t>（</w:t>
            </w:r>
            <w:r>
              <w:rPr>
                <w:rFonts w:hint="eastAsia" w:ascii="Times New Roman" w:hAnsi="Times New Roman"/>
                <w:szCs w:val="24"/>
              </w:rPr>
              <w:t>剧毒化学品</w:t>
            </w:r>
            <w:r>
              <w:rPr>
                <w:rFonts w:hint="eastAsia" w:ascii="Times New Roman" w:hAnsi="Times New Roman"/>
                <w:szCs w:val="24"/>
                <w:lang w:eastAsia="zh-CN"/>
              </w:rPr>
              <w:t>除外</w:t>
            </w:r>
            <w:r>
              <w:rPr>
                <w:rFonts w:hint="eastAsia" w:ascii="Times New Roman" w:hAnsi="Times New Roman"/>
                <w:szCs w:val="24"/>
              </w:rPr>
              <w:t>）</w:t>
            </w:r>
          </w:p>
          <w:p w14:paraId="6E20F391">
            <w:pPr>
              <w:rPr>
                <w:rFonts w:hint="eastAsia" w:ascii="Times New Roman" w:hAnsi="Times New Roman" w:eastAsia="微软雅黑"/>
                <w:szCs w:val="24"/>
                <w:lang w:eastAsia="zh-CN"/>
              </w:rPr>
            </w:pPr>
          </w:p>
          <w:p w14:paraId="3BD0E63D">
            <w:pPr>
              <w:rPr>
                <w:rFonts w:ascii="Times New Roman" w:hAnsi="Times New Roman"/>
                <w:szCs w:val="24"/>
              </w:rPr>
            </w:pPr>
          </w:p>
          <w:p w14:paraId="311F6981">
            <w:pPr>
              <w:rPr>
                <w:rFonts w:ascii="Times New Roman" w:hAnsi="Times New Roman"/>
                <w:szCs w:val="24"/>
              </w:rPr>
            </w:pPr>
          </w:p>
          <w:p w14:paraId="31A659D3">
            <w:pPr>
              <w:rPr>
                <w:rFonts w:ascii="Times New Roman" w:hAnsi="Times New Roman"/>
                <w:szCs w:val="24"/>
              </w:rPr>
            </w:pPr>
          </w:p>
          <w:p w14:paraId="0B133B8A">
            <w:pPr>
              <w:rPr>
                <w:rFonts w:ascii="Times New Roman" w:hAnsi="Times New Roman"/>
                <w:szCs w:val="24"/>
              </w:rPr>
            </w:pPr>
          </w:p>
          <w:p w14:paraId="73E194E5">
            <w:pPr>
              <w:rPr>
                <w:rFonts w:ascii="Times New Roman" w:hAnsi="Times New Roman"/>
                <w:szCs w:val="24"/>
              </w:rPr>
            </w:pPr>
          </w:p>
          <w:p w14:paraId="7E527FED">
            <w:pPr>
              <w:rPr>
                <w:rFonts w:ascii="Times New Roman" w:hAnsi="Times New Roman"/>
                <w:szCs w:val="24"/>
              </w:rPr>
            </w:pPr>
          </w:p>
          <w:p w14:paraId="22DC202C">
            <w:pPr>
              <w:rPr>
                <w:rFonts w:ascii="Times New Roman" w:hAnsi="Times New Roman"/>
                <w:szCs w:val="24"/>
              </w:rPr>
            </w:pPr>
          </w:p>
          <w:p w14:paraId="72E2A19C">
            <w:pPr>
              <w:rPr>
                <w:rFonts w:ascii="Times New Roman" w:hAnsi="Times New Roman"/>
                <w:szCs w:val="24"/>
              </w:rPr>
            </w:pPr>
          </w:p>
          <w:p w14:paraId="599F41F0">
            <w:pPr>
              <w:rPr>
                <w:rFonts w:ascii="Times New Roman" w:hAnsi="Times New Roman"/>
                <w:szCs w:val="24"/>
              </w:rPr>
            </w:pPr>
          </w:p>
          <w:p w14:paraId="73519029">
            <w:pPr>
              <w:rPr>
                <w:rFonts w:ascii="Times New Roman" w:hAnsi="Times New Roman"/>
                <w:szCs w:val="24"/>
              </w:rPr>
            </w:pPr>
          </w:p>
        </w:tc>
      </w:tr>
      <w:tr w14:paraId="016820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trPr>
        <w:tc>
          <w:tcPr>
            <w:tcW w:w="9885" w:type="dxa"/>
            <w:vAlign w:val="center"/>
          </w:tcPr>
          <w:p w14:paraId="750A7BB6">
            <w:pPr>
              <w:rPr>
                <w:rFonts w:ascii="Times New Roman" w:hAnsi="Times New Roman"/>
                <w:szCs w:val="24"/>
              </w:rPr>
            </w:pPr>
            <w:r>
              <w:rPr>
                <w:rFonts w:hint="eastAsia" w:ascii="Times New Roman"/>
                <w:szCs w:val="24"/>
              </w:rPr>
              <w:t>运输方式：道路</w:t>
            </w:r>
            <w:r>
              <w:rPr>
                <w:rFonts w:hint="eastAsia" w:ascii="微软雅黑" w:hAnsi="微软雅黑"/>
                <w:szCs w:val="24"/>
              </w:rPr>
              <w:t>■</w:t>
            </w:r>
            <w:r>
              <w:rPr>
                <w:rFonts w:hint="eastAsia" w:ascii="Times New Roman" w:hAnsi="宋体"/>
                <w:szCs w:val="24"/>
              </w:rPr>
              <w:t>铁路</w:t>
            </w:r>
            <w:r>
              <w:rPr>
                <w:rFonts w:ascii="Times New Roman" w:hAnsi="Times New Roman"/>
                <w:szCs w:val="24"/>
              </w:rPr>
              <w:t xml:space="preserve"> □      </w:t>
            </w:r>
            <w:r>
              <w:rPr>
                <w:rFonts w:hint="eastAsia" w:ascii="Times New Roman" w:hAnsi="宋体"/>
                <w:szCs w:val="24"/>
              </w:rPr>
              <w:t>水路</w:t>
            </w:r>
            <w:r>
              <w:rPr>
                <w:rFonts w:ascii="Times New Roman" w:hAnsi="Times New Roman"/>
                <w:szCs w:val="24"/>
              </w:rPr>
              <w:t xml:space="preserve"> □</w:t>
            </w:r>
          </w:p>
        </w:tc>
      </w:tr>
      <w:tr w14:paraId="456165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40" w:hRule="atLeast"/>
        </w:trPr>
        <w:tc>
          <w:tcPr>
            <w:tcW w:w="9885" w:type="dxa"/>
          </w:tcPr>
          <w:p w14:paraId="074C2C80">
            <w:pPr>
              <w:rPr>
                <w:rFonts w:ascii="Times New Roman"/>
                <w:szCs w:val="24"/>
              </w:rPr>
            </w:pPr>
            <w:r>
              <w:rPr>
                <w:rFonts w:hint="eastAsia" w:ascii="Times New Roman"/>
                <w:szCs w:val="24"/>
              </w:rPr>
              <w:t>运输路线文字描述：（写明途经省、市、县（区），附路线图）</w:t>
            </w:r>
          </w:p>
          <w:p w14:paraId="437C3ACB">
            <w:pPr>
              <w:ind w:firstLine="440" w:firstLineChars="200"/>
              <w:rPr>
                <w:szCs w:val="21"/>
              </w:rPr>
            </w:pPr>
            <w:r>
              <w:rPr>
                <w:rFonts w:hint="eastAsia"/>
                <w:szCs w:val="21"/>
                <w:lang w:eastAsia="zh-CN"/>
              </w:rPr>
              <w:t>江苏九洲包装科技</w:t>
            </w:r>
            <w:r>
              <w:rPr>
                <w:rFonts w:hint="eastAsia"/>
                <w:szCs w:val="21"/>
              </w:rPr>
              <w:t>有限公司</w:t>
            </w:r>
            <w:r>
              <w:rPr>
                <w:szCs w:val="21"/>
              </w:rPr>
              <w:t>-</w:t>
            </w:r>
            <w:r>
              <w:rPr>
                <w:rFonts w:hint="eastAsia"/>
                <w:szCs w:val="21"/>
                <w:lang w:eastAsia="zh-CN"/>
              </w:rPr>
              <w:t>创盛路</w:t>
            </w:r>
            <w:r>
              <w:rPr>
                <w:rFonts w:hint="eastAsia"/>
                <w:szCs w:val="21"/>
              </w:rPr>
              <w:t>-</w:t>
            </w:r>
            <w:r>
              <w:rPr>
                <w:rFonts w:hint="eastAsia"/>
                <w:szCs w:val="21"/>
                <w:lang w:eastAsia="zh-CN"/>
              </w:rPr>
              <w:t>戴洛路</w:t>
            </w:r>
            <w:r>
              <w:rPr>
                <w:rFonts w:hint="eastAsia"/>
                <w:szCs w:val="21"/>
                <w:lang w:val="en-US" w:eastAsia="zh-CN"/>
              </w:rPr>
              <w:t>-232省道-沪武高速</w:t>
            </w:r>
            <w:r>
              <w:rPr>
                <w:rFonts w:hint="eastAsia"/>
                <w:szCs w:val="21"/>
              </w:rPr>
              <w:t>-</w:t>
            </w:r>
            <w:r>
              <w:rPr>
                <w:rFonts w:hint="eastAsia"/>
                <w:szCs w:val="21"/>
                <w:lang w:eastAsia="zh-CN"/>
              </w:rPr>
              <w:t>沪蓉</w:t>
            </w:r>
            <w:r>
              <w:rPr>
                <w:rFonts w:hint="eastAsia"/>
                <w:szCs w:val="21"/>
              </w:rPr>
              <w:t>高速-</w:t>
            </w:r>
            <w:r>
              <w:rPr>
                <w:rFonts w:hint="eastAsia"/>
                <w:szCs w:val="21"/>
                <w:lang w:eastAsia="zh-CN"/>
              </w:rPr>
              <w:t>京沪</w:t>
            </w:r>
            <w:r>
              <w:rPr>
                <w:rFonts w:hint="eastAsia"/>
                <w:szCs w:val="21"/>
              </w:rPr>
              <w:t>高速-</w:t>
            </w:r>
            <w:r>
              <w:rPr>
                <w:rFonts w:hint="eastAsia"/>
                <w:szCs w:val="21"/>
                <w:lang w:eastAsia="zh-CN"/>
              </w:rPr>
              <w:t>常台</w:t>
            </w:r>
            <w:r>
              <w:rPr>
                <w:rFonts w:hint="eastAsia"/>
                <w:szCs w:val="21"/>
              </w:rPr>
              <w:t>高速-</w:t>
            </w:r>
            <w:r>
              <w:rPr>
                <w:rFonts w:hint="eastAsia"/>
                <w:szCs w:val="21"/>
                <w:lang w:eastAsia="zh-CN"/>
              </w:rPr>
              <w:t>沪昆</w:t>
            </w:r>
            <w:r>
              <w:rPr>
                <w:rFonts w:hint="eastAsia"/>
                <w:szCs w:val="21"/>
              </w:rPr>
              <w:t>高速-</w:t>
            </w:r>
            <w:r>
              <w:rPr>
                <w:rFonts w:hint="eastAsia"/>
                <w:szCs w:val="21"/>
                <w:lang w:eastAsia="zh-CN"/>
              </w:rPr>
              <w:t>溧宁高速</w:t>
            </w:r>
            <w:r>
              <w:rPr>
                <w:rFonts w:hint="eastAsia"/>
                <w:szCs w:val="21"/>
                <w:lang w:val="en-US" w:eastAsia="zh-CN"/>
              </w:rPr>
              <w:t>-</w:t>
            </w:r>
            <w:r>
              <w:rPr>
                <w:rFonts w:hint="eastAsia"/>
                <w:szCs w:val="21"/>
              </w:rPr>
              <w:t>6</w:t>
            </w:r>
            <w:r>
              <w:rPr>
                <w:rFonts w:hint="eastAsia"/>
                <w:szCs w:val="21"/>
                <w:lang w:val="en-US" w:eastAsia="zh-CN"/>
              </w:rPr>
              <w:t>1</w:t>
            </w:r>
            <w:r>
              <w:rPr>
                <w:rFonts w:hint="eastAsia"/>
                <w:szCs w:val="21"/>
              </w:rPr>
              <w:t>7县道-</w:t>
            </w:r>
            <w:r>
              <w:rPr>
                <w:rFonts w:hint="eastAsia"/>
                <w:szCs w:val="21"/>
                <w:lang w:eastAsia="zh-CN"/>
              </w:rPr>
              <w:t>连后段</w:t>
            </w:r>
            <w:r>
              <w:rPr>
                <w:rFonts w:hint="eastAsia"/>
                <w:szCs w:val="21"/>
                <w:lang w:val="en-US" w:eastAsia="zh-CN"/>
              </w:rPr>
              <w:t>-纬四路-</w:t>
            </w:r>
            <w:r>
              <w:rPr>
                <w:rFonts w:hint="eastAsia"/>
                <w:szCs w:val="21"/>
              </w:rPr>
              <w:t>浙江汇金</w:t>
            </w:r>
            <w:r>
              <w:rPr>
                <w:rFonts w:hint="eastAsia"/>
                <w:szCs w:val="21"/>
                <w:lang w:eastAsia="zh-CN"/>
              </w:rPr>
              <w:t>环保科技</w:t>
            </w:r>
            <w:r>
              <w:rPr>
                <w:rFonts w:hint="eastAsia"/>
                <w:szCs w:val="21"/>
              </w:rPr>
              <w:t>有限公司</w:t>
            </w:r>
          </w:p>
          <w:p w14:paraId="437E307B">
            <w:pPr>
              <w:tabs>
                <w:tab w:val="left" w:pos="6615"/>
              </w:tabs>
              <w:rPr>
                <w:szCs w:val="21"/>
              </w:rPr>
            </w:pPr>
            <w:r>
              <w:rPr>
                <w:rFonts w:hint="eastAsia"/>
                <w:szCs w:val="21"/>
              </w:rPr>
              <w:t>途径主要省辖市：</w:t>
            </w:r>
            <w:r>
              <w:rPr>
                <w:szCs w:val="21"/>
              </w:rPr>
              <w:tab/>
            </w:r>
          </w:p>
          <w:p w14:paraId="08518A84">
            <w:pPr>
              <w:rPr>
                <w:rFonts w:hint="eastAsia" w:ascii="Times New Roman" w:eastAsia="微软雅黑"/>
                <w:szCs w:val="24"/>
                <w:lang w:eastAsia="zh-CN"/>
              </w:rPr>
            </w:pPr>
            <w:r>
              <w:rPr>
                <w:rFonts w:hint="eastAsia"/>
                <w:szCs w:val="21"/>
              </w:rPr>
              <w:t>江苏省</w:t>
            </w:r>
            <w:r>
              <w:rPr>
                <w:rFonts w:hint="eastAsia"/>
                <w:szCs w:val="21"/>
                <w:lang w:eastAsia="zh-CN"/>
              </w:rPr>
              <w:t>常州</w:t>
            </w:r>
            <w:r>
              <w:rPr>
                <w:szCs w:val="21"/>
              </w:rPr>
              <w:t>--</w:t>
            </w:r>
            <w:r>
              <w:rPr>
                <w:rFonts w:hint="eastAsia"/>
                <w:szCs w:val="21"/>
                <w:lang w:eastAsia="zh-CN"/>
              </w:rPr>
              <w:t>江苏无锡</w:t>
            </w:r>
            <w:r>
              <w:rPr>
                <w:szCs w:val="21"/>
              </w:rPr>
              <w:t>-</w:t>
            </w:r>
            <w:r>
              <w:rPr>
                <w:rFonts w:hint="eastAsia"/>
                <w:szCs w:val="21"/>
                <w:lang w:eastAsia="zh-CN"/>
              </w:rPr>
              <w:t>江苏苏州</w:t>
            </w:r>
            <w:r>
              <w:rPr>
                <w:rFonts w:hint="eastAsia"/>
                <w:szCs w:val="21"/>
                <w:lang w:val="en-US" w:eastAsia="zh-CN"/>
              </w:rPr>
              <w:t>-</w:t>
            </w:r>
            <w:r>
              <w:rPr>
                <w:rFonts w:hint="eastAsia"/>
                <w:szCs w:val="21"/>
              </w:rPr>
              <w:t>浙江</w:t>
            </w:r>
            <w:r>
              <w:rPr>
                <w:rFonts w:hint="eastAsia"/>
                <w:szCs w:val="21"/>
                <w:lang w:eastAsia="zh-CN"/>
              </w:rPr>
              <w:t>嘉兴</w:t>
            </w:r>
            <w:r>
              <w:rPr>
                <w:szCs w:val="21"/>
              </w:rPr>
              <w:t>-</w:t>
            </w:r>
            <w:r>
              <w:rPr>
                <w:rFonts w:hint="eastAsia"/>
                <w:szCs w:val="21"/>
                <w:lang w:eastAsia="zh-CN"/>
              </w:rPr>
              <w:t>浙江绍兴</w:t>
            </w:r>
            <w:r>
              <w:rPr>
                <w:rFonts w:hint="eastAsia"/>
                <w:szCs w:val="21"/>
                <w:lang w:val="en-US" w:eastAsia="zh-CN"/>
              </w:rPr>
              <w:t>-浙江金华</w:t>
            </w:r>
            <w:r>
              <w:rPr>
                <w:szCs w:val="21"/>
              </w:rPr>
              <w:t>-</w:t>
            </w:r>
            <w:r>
              <w:rPr>
                <w:rFonts w:hint="eastAsia"/>
                <w:szCs w:val="21"/>
                <w:lang w:eastAsia="zh-CN"/>
              </w:rPr>
              <w:t>浙江衢州</w:t>
            </w:r>
            <w:r>
              <w:rPr>
                <w:rFonts w:hint="eastAsia"/>
                <w:szCs w:val="21"/>
              </w:rPr>
              <w:t>-</w:t>
            </w:r>
            <w:r>
              <w:rPr>
                <w:rFonts w:hint="eastAsia"/>
                <w:szCs w:val="21"/>
                <w:lang w:eastAsia="zh-CN"/>
              </w:rPr>
              <w:t>浙江</w:t>
            </w:r>
            <w:r>
              <w:rPr>
                <w:rFonts w:hint="eastAsia"/>
                <w:szCs w:val="21"/>
              </w:rPr>
              <w:t>丽水-</w:t>
            </w:r>
            <w:r>
              <w:rPr>
                <w:rFonts w:hint="eastAsia"/>
                <w:szCs w:val="21"/>
                <w:lang w:eastAsia="zh-CN"/>
              </w:rPr>
              <w:t>浙江汇金环保</w:t>
            </w:r>
            <w:r>
              <w:rPr>
                <w:rFonts w:hint="eastAsia"/>
                <w:szCs w:val="21"/>
              </w:rPr>
              <w:t>。</w:t>
            </w:r>
            <w:r>
              <w:rPr>
                <w:rFonts w:hint="eastAsia" w:ascii="Times New Roman" w:eastAsia="微软雅黑"/>
                <w:szCs w:val="24"/>
                <w:lang w:eastAsia="zh-CN"/>
              </w:rPr>
              <w:drawing>
                <wp:inline distT="0" distB="0" distL="114300" distR="114300">
                  <wp:extent cx="3179445" cy="6178550"/>
                  <wp:effectExtent l="0" t="0" r="1905" b="12700"/>
                  <wp:docPr id="3" name="图片 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
                          <pic:cNvPicPr>
                            <a:picLocks noChangeAspect="1"/>
                          </pic:cNvPicPr>
                        </pic:nvPicPr>
                        <pic:blipFill>
                          <a:blip r:embed="rId7"/>
                          <a:stretch>
                            <a:fillRect/>
                          </a:stretch>
                        </pic:blipFill>
                        <pic:spPr>
                          <a:xfrm>
                            <a:off x="0" y="0"/>
                            <a:ext cx="3179445" cy="6178550"/>
                          </a:xfrm>
                          <a:prstGeom prst="rect">
                            <a:avLst/>
                          </a:prstGeom>
                        </pic:spPr>
                      </pic:pic>
                    </a:graphicData>
                  </a:graphic>
                </wp:inline>
              </w:drawing>
            </w:r>
          </w:p>
        </w:tc>
      </w:tr>
    </w:tbl>
    <w:p w14:paraId="6F665622">
      <w:pPr>
        <w:rPr>
          <w:rFonts w:ascii="Times New Roman" w:hAnsi="Times New Roman"/>
          <w:szCs w:val="24"/>
        </w:rPr>
        <w:sectPr>
          <w:pgSz w:w="11906" w:h="16838"/>
          <w:pgMar w:top="1134" w:right="1797" w:bottom="851" w:left="1797" w:header="851" w:footer="992" w:gutter="0"/>
          <w:cols w:space="425" w:num="1"/>
          <w:docGrid w:type="lines" w:linePitch="286" w:charSpace="0"/>
        </w:sectPr>
      </w:pPr>
    </w:p>
    <w:tbl>
      <w:tblPr>
        <w:tblStyle w:val="6"/>
        <w:tblW w:w="9345" w:type="dxa"/>
        <w:tblInd w:w="-41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45"/>
      </w:tblGrid>
      <w:tr w14:paraId="765264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3" w:hRule="atLeast"/>
        </w:trPr>
        <w:tc>
          <w:tcPr>
            <w:tcW w:w="9345" w:type="dxa"/>
            <w:vAlign w:val="center"/>
          </w:tcPr>
          <w:p w14:paraId="3E592B16">
            <w:pPr>
              <w:rPr>
                <w:rFonts w:ascii="Times New Roman" w:hAnsi="Times New Roman"/>
                <w:b/>
                <w:bCs/>
                <w:szCs w:val="24"/>
              </w:rPr>
            </w:pPr>
            <w:r>
              <w:rPr>
                <w:rFonts w:hint="eastAsia" w:ascii="Times New Roman"/>
                <w:b/>
                <w:bCs/>
                <w:szCs w:val="24"/>
              </w:rPr>
              <w:t>表</w:t>
            </w:r>
            <w:r>
              <w:rPr>
                <w:rFonts w:ascii="Times New Roman" w:hAnsi="Times New Roman"/>
                <w:b/>
                <w:bCs/>
                <w:szCs w:val="24"/>
              </w:rPr>
              <w:t xml:space="preserve">3  </w:t>
            </w:r>
            <w:r>
              <w:rPr>
                <w:rFonts w:hint="eastAsia" w:ascii="Times New Roman"/>
                <w:b/>
                <w:bCs/>
                <w:szCs w:val="24"/>
              </w:rPr>
              <w:t>转移的污染防治、安全防护和应急措施</w:t>
            </w:r>
          </w:p>
        </w:tc>
      </w:tr>
      <w:tr w14:paraId="56BDDB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60" w:hRule="atLeast"/>
        </w:trPr>
        <w:tc>
          <w:tcPr>
            <w:tcW w:w="9345" w:type="dxa"/>
          </w:tcPr>
          <w:p w14:paraId="20697E59">
            <w:pPr>
              <w:jc w:val="center"/>
              <w:rPr>
                <w:rFonts w:hint="eastAsia"/>
                <w:b/>
                <w:bCs/>
                <w:sz w:val="36"/>
                <w:szCs w:val="36"/>
                <w:lang w:eastAsia="zh-CN"/>
              </w:rPr>
            </w:pPr>
            <w:r>
              <w:rPr>
                <w:rFonts w:hint="eastAsia"/>
                <w:b/>
                <w:bCs/>
                <w:sz w:val="36"/>
                <w:szCs w:val="36"/>
                <w:lang w:eastAsia="zh-CN"/>
              </w:rPr>
              <w:t>温州市嘉为物流有限公司</w:t>
            </w:r>
            <w:r>
              <w:rPr>
                <w:rFonts w:hint="eastAsia"/>
                <w:b/>
                <w:bCs/>
                <w:sz w:val="36"/>
                <w:szCs w:val="36"/>
                <w:lang w:val="en-US" w:eastAsia="zh-CN"/>
              </w:rPr>
              <w:t xml:space="preserve">                                                       </w:t>
            </w:r>
            <w:r>
              <w:rPr>
                <w:rFonts w:hint="eastAsia"/>
                <w:b/>
                <w:bCs/>
                <w:sz w:val="36"/>
                <w:szCs w:val="36"/>
                <w:lang w:eastAsia="zh-CN"/>
              </w:rPr>
              <w:t>安全事故应急预案</w:t>
            </w:r>
          </w:p>
          <w:p w14:paraId="5DB2C4F8">
            <w:pPr>
              <w:jc w:val="left"/>
              <w:rPr>
                <w:rFonts w:hint="eastAsia"/>
                <w:b w:val="0"/>
                <w:bCs w:val="0"/>
                <w:sz w:val="21"/>
                <w:szCs w:val="21"/>
                <w:lang w:val="en-US" w:eastAsia="zh-CN"/>
              </w:rPr>
            </w:pPr>
          </w:p>
          <w:p w14:paraId="5AB2D255">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b w:val="0"/>
                <w:bCs w:val="0"/>
                <w:sz w:val="21"/>
                <w:szCs w:val="21"/>
                <w:lang w:val="en-US" w:eastAsia="zh-CN"/>
              </w:rPr>
            </w:pPr>
            <w:r>
              <w:rPr>
                <w:rFonts w:hint="eastAsia"/>
                <w:b w:val="0"/>
                <w:bCs w:val="0"/>
                <w:sz w:val="21"/>
                <w:szCs w:val="21"/>
                <w:lang w:val="en-US" w:eastAsia="zh-CN"/>
              </w:rPr>
              <w:t xml:space="preserve">     危险废物在运输途中若发生交通事故或泄露事故，会引起燃烧，爆炸，腐蚀等严重的灾害。为提高本公司危化品运输事故应急救援能力，最大限度的减少事故造成的损失。依据《中华人民共和国安全生产法》和《道路危险货物运输管理制度的规定》等法律法规规定，特编制危险货物运输事故应急救援预案。</w:t>
            </w:r>
          </w:p>
          <w:p w14:paraId="0C485DA4">
            <w:pPr>
              <w:keepNext w:val="0"/>
              <w:keepLines w:val="0"/>
              <w:pageBreakBefore w:val="0"/>
              <w:widowControl w:val="0"/>
              <w:numPr>
                <w:ilvl w:val="0"/>
                <w:numId w:val="1"/>
              </w:numPr>
              <w:kinsoku/>
              <w:wordWrap/>
              <w:overflowPunct/>
              <w:topLinePunct w:val="0"/>
              <w:autoSpaceDE/>
              <w:autoSpaceDN/>
              <w:bidi w:val="0"/>
              <w:adjustRightInd/>
              <w:snapToGrid/>
              <w:spacing w:line="360" w:lineRule="auto"/>
              <w:jc w:val="left"/>
              <w:textAlignment w:val="auto"/>
              <w:rPr>
                <w:rFonts w:hint="eastAsia"/>
                <w:b w:val="0"/>
                <w:bCs w:val="0"/>
                <w:sz w:val="21"/>
                <w:szCs w:val="21"/>
                <w:lang w:val="en-US" w:eastAsia="zh-CN"/>
              </w:rPr>
            </w:pPr>
            <w:r>
              <w:rPr>
                <w:rFonts w:hint="eastAsia"/>
                <w:b w:val="0"/>
                <w:bCs w:val="0"/>
                <w:sz w:val="21"/>
                <w:szCs w:val="21"/>
                <w:lang w:val="en-US" w:eastAsia="zh-CN"/>
              </w:rPr>
              <w:t>应急救援组织机构，组织人员和职责</w:t>
            </w:r>
          </w:p>
          <w:p w14:paraId="1E47D98F">
            <w:pPr>
              <w:keepNext w:val="0"/>
              <w:keepLines w:val="0"/>
              <w:pageBreakBefore w:val="0"/>
              <w:widowControl w:val="0"/>
              <w:numPr>
                <w:ilvl w:val="0"/>
                <w:numId w:val="2"/>
              </w:numPr>
              <w:kinsoku/>
              <w:wordWrap/>
              <w:overflowPunct/>
              <w:topLinePunct w:val="0"/>
              <w:autoSpaceDE/>
              <w:autoSpaceDN/>
              <w:bidi w:val="0"/>
              <w:adjustRightInd/>
              <w:snapToGrid/>
              <w:spacing w:line="360" w:lineRule="auto"/>
              <w:jc w:val="left"/>
              <w:textAlignment w:val="auto"/>
              <w:rPr>
                <w:rFonts w:hint="eastAsia"/>
                <w:b w:val="0"/>
                <w:bCs w:val="0"/>
                <w:sz w:val="21"/>
                <w:szCs w:val="21"/>
                <w:lang w:val="en-US" w:eastAsia="zh-CN"/>
              </w:rPr>
            </w:pPr>
            <w:r>
              <w:rPr>
                <w:rFonts w:hint="eastAsia"/>
                <w:b w:val="0"/>
                <w:bCs w:val="0"/>
                <w:sz w:val="21"/>
                <w:szCs w:val="21"/>
                <w:lang w:val="en-US" w:eastAsia="zh-CN"/>
              </w:rPr>
              <w:t>应急救援组织机构和组织人员</w:t>
            </w:r>
          </w:p>
          <w:p w14:paraId="533EFFE3">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b w:val="0"/>
                <w:bCs w:val="0"/>
                <w:sz w:val="21"/>
                <w:szCs w:val="21"/>
                <w:lang w:val="en-US" w:eastAsia="zh-CN"/>
              </w:rPr>
            </w:pPr>
            <w:r>
              <w:rPr>
                <w:rFonts w:hint="eastAsia"/>
                <w:b w:val="0"/>
                <w:bCs w:val="0"/>
                <w:sz w:val="21"/>
                <w:szCs w:val="21"/>
                <w:lang w:val="en-US" w:eastAsia="zh-CN"/>
              </w:rPr>
              <w:t xml:space="preserve">   公司成立危险废物运输事故应急救援指挥部，负责公司危险废物运输事故应急处理的各项工作。承担危险废物运输的车辆和驾驶员积极配合用车单位危险废物运输事故的应急救援工作。</w:t>
            </w:r>
          </w:p>
          <w:p w14:paraId="6FE2EABB">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b w:val="0"/>
                <w:bCs w:val="0"/>
                <w:sz w:val="21"/>
                <w:szCs w:val="21"/>
                <w:lang w:val="en-US" w:eastAsia="zh-CN"/>
              </w:rPr>
            </w:pPr>
            <w:r>
              <w:rPr>
                <w:rFonts w:hint="eastAsia"/>
                <w:b w:val="0"/>
                <w:bCs w:val="0"/>
                <w:sz w:val="21"/>
                <w:szCs w:val="21"/>
                <w:lang w:val="en-US" w:eastAsia="zh-CN"/>
              </w:rPr>
              <w:t>应急救援指挥办公室：</w:t>
            </w:r>
          </w:p>
          <w:p w14:paraId="4C1C18C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840" w:firstLineChars="400"/>
              <w:jc w:val="left"/>
              <w:textAlignment w:val="auto"/>
              <w:rPr>
                <w:rFonts w:hint="eastAsia"/>
                <w:b w:val="0"/>
                <w:bCs w:val="0"/>
                <w:sz w:val="21"/>
                <w:szCs w:val="21"/>
                <w:lang w:val="en-US" w:eastAsia="zh-CN"/>
              </w:rPr>
            </w:pPr>
            <w:r>
              <w:rPr>
                <w:rFonts w:hint="eastAsia"/>
                <w:b w:val="0"/>
                <w:bCs w:val="0"/>
                <w:sz w:val="21"/>
                <w:szCs w:val="21"/>
                <w:lang w:val="en-US" w:eastAsia="zh-CN"/>
              </w:rPr>
              <w:t>负责人：李秀云               办公室：李秀云</w:t>
            </w:r>
          </w:p>
          <w:p w14:paraId="2E6211F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840" w:firstLineChars="400"/>
              <w:jc w:val="left"/>
              <w:textAlignment w:val="auto"/>
              <w:rPr>
                <w:rFonts w:hint="eastAsia"/>
                <w:b w:val="0"/>
                <w:bCs w:val="0"/>
                <w:sz w:val="21"/>
                <w:szCs w:val="21"/>
                <w:lang w:val="en-US" w:eastAsia="zh-CN"/>
              </w:rPr>
            </w:pPr>
            <w:r>
              <w:rPr>
                <w:rFonts w:hint="eastAsia"/>
                <w:b w:val="0"/>
                <w:bCs w:val="0"/>
                <w:sz w:val="21"/>
                <w:szCs w:val="21"/>
                <w:lang w:val="en-US" w:eastAsia="zh-CN"/>
              </w:rPr>
              <w:t>联系电话：13567600688</w:t>
            </w:r>
          </w:p>
          <w:p w14:paraId="23E0D99E">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0" w:leftChars="0" w:firstLine="0" w:firstLineChars="0"/>
              <w:jc w:val="left"/>
              <w:textAlignment w:val="auto"/>
              <w:rPr>
                <w:rFonts w:hint="eastAsia"/>
                <w:b w:val="0"/>
                <w:bCs w:val="0"/>
                <w:sz w:val="21"/>
                <w:szCs w:val="21"/>
                <w:lang w:val="en-US" w:eastAsia="zh-CN"/>
              </w:rPr>
            </w:pPr>
            <w:r>
              <w:rPr>
                <w:rFonts w:hint="eastAsia"/>
                <w:b w:val="0"/>
                <w:bCs w:val="0"/>
                <w:sz w:val="21"/>
                <w:szCs w:val="21"/>
                <w:lang w:val="en-US" w:eastAsia="zh-CN"/>
              </w:rPr>
              <w:t>职责</w:t>
            </w:r>
          </w:p>
          <w:p w14:paraId="0D356DA9">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Chars="0"/>
              <w:jc w:val="left"/>
              <w:textAlignment w:val="auto"/>
              <w:rPr>
                <w:rFonts w:hint="eastAsia"/>
                <w:b w:val="0"/>
                <w:bCs w:val="0"/>
                <w:sz w:val="21"/>
                <w:szCs w:val="21"/>
                <w:lang w:val="en-US" w:eastAsia="zh-CN"/>
              </w:rPr>
            </w:pPr>
            <w:r>
              <w:rPr>
                <w:rFonts w:hint="eastAsia"/>
                <w:b w:val="0"/>
                <w:bCs w:val="0"/>
                <w:sz w:val="21"/>
                <w:szCs w:val="21"/>
                <w:lang w:val="en-US" w:eastAsia="zh-CN"/>
              </w:rPr>
              <w:t>）应急指挥部职责</w:t>
            </w:r>
          </w:p>
          <w:p w14:paraId="0D980DCE">
            <w:pPr>
              <w:keepNext w:val="0"/>
              <w:keepLines w:val="0"/>
              <w:pageBreakBefore w:val="0"/>
              <w:widowControl w:val="0"/>
              <w:numPr>
                <w:ilvl w:val="0"/>
                <w:numId w:val="4"/>
              </w:numPr>
              <w:kinsoku/>
              <w:wordWrap/>
              <w:overflowPunct/>
              <w:topLinePunct w:val="0"/>
              <w:autoSpaceDE/>
              <w:autoSpaceDN/>
              <w:bidi w:val="0"/>
              <w:adjustRightInd/>
              <w:snapToGrid/>
              <w:spacing w:line="360" w:lineRule="auto"/>
              <w:jc w:val="left"/>
              <w:textAlignment w:val="auto"/>
              <w:rPr>
                <w:rFonts w:hint="eastAsia"/>
                <w:b w:val="0"/>
                <w:bCs w:val="0"/>
                <w:sz w:val="21"/>
                <w:szCs w:val="21"/>
                <w:lang w:val="en-US" w:eastAsia="zh-CN"/>
              </w:rPr>
            </w:pPr>
            <w:r>
              <w:rPr>
                <w:rFonts w:hint="eastAsia"/>
                <w:b w:val="0"/>
                <w:bCs w:val="0"/>
                <w:sz w:val="21"/>
                <w:szCs w:val="21"/>
                <w:lang w:val="en-US" w:eastAsia="zh-CN"/>
              </w:rPr>
              <w:t>负责公司危险废物运输事故处理总体工作，是应急处理的指挥机构</w:t>
            </w:r>
          </w:p>
          <w:p w14:paraId="072503D4">
            <w:pPr>
              <w:keepNext w:val="0"/>
              <w:keepLines w:val="0"/>
              <w:pageBreakBefore w:val="0"/>
              <w:widowControl w:val="0"/>
              <w:numPr>
                <w:ilvl w:val="0"/>
                <w:numId w:val="4"/>
              </w:numPr>
              <w:kinsoku/>
              <w:wordWrap/>
              <w:overflowPunct/>
              <w:topLinePunct w:val="0"/>
              <w:autoSpaceDE/>
              <w:autoSpaceDN/>
              <w:bidi w:val="0"/>
              <w:adjustRightInd/>
              <w:snapToGrid/>
              <w:spacing w:line="360" w:lineRule="auto"/>
              <w:jc w:val="left"/>
              <w:textAlignment w:val="auto"/>
              <w:rPr>
                <w:rFonts w:hint="default"/>
                <w:b w:val="0"/>
                <w:bCs w:val="0"/>
                <w:sz w:val="21"/>
                <w:szCs w:val="21"/>
                <w:lang w:val="en-US" w:eastAsia="zh-CN"/>
              </w:rPr>
            </w:pPr>
            <w:r>
              <w:rPr>
                <w:rFonts w:hint="eastAsia"/>
                <w:b w:val="0"/>
                <w:bCs w:val="0"/>
                <w:sz w:val="21"/>
                <w:szCs w:val="21"/>
                <w:lang w:val="en-US" w:eastAsia="zh-CN"/>
              </w:rPr>
              <w:t>平时负责、检查各车辆，应急处理机构及预案的制定、完善、演练及监督各项安全措施的落实</w:t>
            </w:r>
          </w:p>
          <w:p w14:paraId="7AD18AE1">
            <w:pPr>
              <w:keepNext w:val="0"/>
              <w:keepLines w:val="0"/>
              <w:pageBreakBefore w:val="0"/>
              <w:widowControl w:val="0"/>
              <w:numPr>
                <w:ilvl w:val="0"/>
                <w:numId w:val="4"/>
              </w:numPr>
              <w:kinsoku/>
              <w:wordWrap/>
              <w:overflowPunct/>
              <w:topLinePunct w:val="0"/>
              <w:autoSpaceDE/>
              <w:autoSpaceDN/>
              <w:bidi w:val="0"/>
              <w:adjustRightInd/>
              <w:snapToGrid/>
              <w:spacing w:line="360" w:lineRule="auto"/>
              <w:jc w:val="left"/>
              <w:textAlignment w:val="auto"/>
              <w:rPr>
                <w:rFonts w:hint="default"/>
                <w:b w:val="0"/>
                <w:bCs w:val="0"/>
                <w:sz w:val="21"/>
                <w:szCs w:val="21"/>
                <w:lang w:val="en-US" w:eastAsia="zh-CN"/>
              </w:rPr>
            </w:pPr>
            <w:r>
              <w:rPr>
                <w:rFonts w:hint="eastAsia"/>
                <w:b w:val="0"/>
                <w:bCs w:val="0"/>
                <w:sz w:val="21"/>
                <w:szCs w:val="21"/>
                <w:lang w:val="en-US" w:eastAsia="zh-CN"/>
              </w:rPr>
              <w:t>负责危险货物运输事故发生后的重要事项的决策及向上级部门汇报事宜</w:t>
            </w:r>
          </w:p>
          <w:p w14:paraId="53A11FA6">
            <w:pPr>
              <w:keepNext w:val="0"/>
              <w:keepLines w:val="0"/>
              <w:pageBreakBefore w:val="0"/>
              <w:widowControl w:val="0"/>
              <w:numPr>
                <w:ilvl w:val="0"/>
                <w:numId w:val="4"/>
              </w:numPr>
              <w:kinsoku/>
              <w:wordWrap/>
              <w:overflowPunct/>
              <w:topLinePunct w:val="0"/>
              <w:autoSpaceDE/>
              <w:autoSpaceDN/>
              <w:bidi w:val="0"/>
              <w:adjustRightInd/>
              <w:snapToGrid/>
              <w:spacing w:line="360" w:lineRule="auto"/>
              <w:jc w:val="left"/>
              <w:textAlignment w:val="auto"/>
              <w:rPr>
                <w:rFonts w:hint="default"/>
                <w:b w:val="0"/>
                <w:bCs w:val="0"/>
                <w:sz w:val="21"/>
                <w:szCs w:val="21"/>
                <w:lang w:val="en-US" w:eastAsia="zh-CN"/>
              </w:rPr>
            </w:pPr>
            <w:r>
              <w:rPr>
                <w:rFonts w:hint="eastAsia"/>
                <w:b w:val="0"/>
                <w:bCs w:val="0"/>
                <w:sz w:val="21"/>
                <w:szCs w:val="21"/>
                <w:lang w:val="en-US" w:eastAsia="zh-CN"/>
              </w:rPr>
              <w:t>负责事故发生后统一调度相关人员、设备，指挥应急处理工作</w:t>
            </w:r>
          </w:p>
          <w:p w14:paraId="22E6B667">
            <w:pPr>
              <w:keepNext w:val="0"/>
              <w:keepLines w:val="0"/>
              <w:pageBreakBefore w:val="0"/>
              <w:widowControl w:val="0"/>
              <w:numPr>
                <w:ilvl w:val="0"/>
                <w:numId w:val="4"/>
              </w:numPr>
              <w:kinsoku/>
              <w:wordWrap/>
              <w:overflowPunct/>
              <w:topLinePunct w:val="0"/>
              <w:autoSpaceDE/>
              <w:autoSpaceDN/>
              <w:bidi w:val="0"/>
              <w:adjustRightInd/>
              <w:snapToGrid/>
              <w:spacing w:line="360" w:lineRule="auto"/>
              <w:jc w:val="left"/>
              <w:textAlignment w:val="auto"/>
              <w:rPr>
                <w:rFonts w:hint="default"/>
                <w:b w:val="0"/>
                <w:bCs w:val="0"/>
                <w:sz w:val="21"/>
                <w:szCs w:val="21"/>
                <w:lang w:val="en-US" w:eastAsia="zh-CN"/>
              </w:rPr>
            </w:pPr>
            <w:r>
              <w:rPr>
                <w:rFonts w:hint="eastAsia"/>
                <w:b w:val="0"/>
                <w:bCs w:val="0"/>
                <w:sz w:val="21"/>
                <w:szCs w:val="21"/>
                <w:lang w:val="en-US" w:eastAsia="zh-CN"/>
              </w:rPr>
              <w:t>负责应急事故处理中贡献突出的人员的奖励和违纪人员的处罚</w:t>
            </w:r>
          </w:p>
          <w:p w14:paraId="6E02007A">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0" w:leftChars="0" w:firstLine="0" w:firstLineChars="0"/>
              <w:jc w:val="left"/>
              <w:textAlignment w:val="auto"/>
              <w:rPr>
                <w:rFonts w:hint="eastAsia"/>
                <w:b w:val="0"/>
                <w:bCs w:val="0"/>
                <w:sz w:val="21"/>
                <w:szCs w:val="21"/>
                <w:lang w:val="en-US" w:eastAsia="zh-CN"/>
              </w:rPr>
            </w:pPr>
            <w:r>
              <w:rPr>
                <w:rFonts w:hint="eastAsia"/>
                <w:b w:val="0"/>
                <w:bCs w:val="0"/>
                <w:sz w:val="21"/>
                <w:szCs w:val="21"/>
                <w:lang w:val="en-US" w:eastAsia="zh-CN"/>
              </w:rPr>
              <w:t>）办公室职责</w:t>
            </w:r>
          </w:p>
          <w:p w14:paraId="04302D79">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Chars="0"/>
              <w:jc w:val="left"/>
              <w:textAlignment w:val="auto"/>
              <w:rPr>
                <w:rFonts w:hint="eastAsia"/>
                <w:b w:val="0"/>
                <w:bCs w:val="0"/>
                <w:sz w:val="21"/>
                <w:szCs w:val="21"/>
                <w:lang w:val="en-US" w:eastAsia="zh-CN"/>
              </w:rPr>
            </w:pPr>
            <w:r>
              <w:rPr>
                <w:rFonts w:hint="eastAsia"/>
                <w:b w:val="0"/>
                <w:bCs w:val="0"/>
                <w:sz w:val="21"/>
                <w:szCs w:val="21"/>
                <w:lang w:val="en-US" w:eastAsia="zh-CN"/>
              </w:rPr>
              <w:t>掌握从事危货运输作业的种类、人数、地点。</w:t>
            </w:r>
          </w:p>
          <w:p w14:paraId="51F4FB68">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Chars="0"/>
              <w:jc w:val="left"/>
              <w:textAlignment w:val="auto"/>
              <w:rPr>
                <w:rFonts w:hint="eastAsia"/>
                <w:b w:val="0"/>
                <w:bCs w:val="0"/>
                <w:sz w:val="21"/>
                <w:szCs w:val="21"/>
                <w:lang w:val="en-US" w:eastAsia="zh-CN"/>
              </w:rPr>
            </w:pPr>
            <w:r>
              <w:rPr>
                <w:rFonts w:hint="eastAsia"/>
                <w:b w:val="0"/>
                <w:bCs w:val="0"/>
                <w:sz w:val="21"/>
                <w:szCs w:val="21"/>
                <w:lang w:val="en-US" w:eastAsia="zh-CN"/>
              </w:rPr>
              <w:t>危货运输事故发生后，迅速了解，汇总事故情况和应急工作的现状，及时向指挥部报告</w:t>
            </w:r>
          </w:p>
          <w:p w14:paraId="6CB120C3">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Chars="0"/>
              <w:jc w:val="left"/>
              <w:textAlignment w:val="auto"/>
              <w:rPr>
                <w:rFonts w:hint="eastAsia"/>
                <w:b w:val="0"/>
                <w:bCs w:val="0"/>
                <w:sz w:val="21"/>
                <w:szCs w:val="21"/>
                <w:lang w:val="en-US" w:eastAsia="zh-CN"/>
              </w:rPr>
            </w:pPr>
            <w:r>
              <w:rPr>
                <w:rFonts w:hint="eastAsia"/>
                <w:b w:val="0"/>
                <w:bCs w:val="0"/>
                <w:sz w:val="21"/>
                <w:szCs w:val="21"/>
                <w:lang w:val="en-US" w:eastAsia="zh-CN"/>
              </w:rPr>
              <w:t>传达指令，协调应急处理的相关事宜</w:t>
            </w:r>
          </w:p>
          <w:p w14:paraId="41F36AA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eastAsia"/>
                <w:b w:val="0"/>
                <w:bCs w:val="0"/>
                <w:sz w:val="21"/>
                <w:szCs w:val="21"/>
                <w:lang w:val="en-US" w:eastAsia="zh-CN"/>
              </w:rPr>
            </w:pPr>
          </w:p>
          <w:p w14:paraId="3E433EE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eastAsia"/>
                <w:b w:val="0"/>
                <w:bCs w:val="0"/>
                <w:sz w:val="21"/>
                <w:szCs w:val="21"/>
                <w:lang w:val="en-US" w:eastAsia="zh-CN"/>
              </w:rPr>
            </w:pPr>
          </w:p>
          <w:p w14:paraId="3F50EFE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eastAsia"/>
                <w:b w:val="0"/>
                <w:bCs w:val="0"/>
                <w:sz w:val="21"/>
                <w:szCs w:val="21"/>
                <w:lang w:val="en-US" w:eastAsia="zh-CN"/>
              </w:rPr>
            </w:pPr>
          </w:p>
          <w:p w14:paraId="568AC89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eastAsia"/>
                <w:b w:val="0"/>
                <w:bCs w:val="0"/>
                <w:sz w:val="21"/>
                <w:szCs w:val="21"/>
                <w:lang w:val="en-US" w:eastAsia="zh-CN"/>
              </w:rPr>
            </w:pPr>
          </w:p>
          <w:p w14:paraId="63A00382">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0" w:firstLineChars="0"/>
              <w:jc w:val="left"/>
              <w:textAlignment w:val="auto"/>
              <w:rPr>
                <w:rFonts w:hint="eastAsia"/>
                <w:b w:val="0"/>
                <w:bCs w:val="0"/>
                <w:sz w:val="21"/>
                <w:szCs w:val="21"/>
                <w:lang w:val="en-US" w:eastAsia="zh-CN"/>
              </w:rPr>
            </w:pPr>
            <w:r>
              <w:rPr>
                <w:rFonts w:hint="eastAsia"/>
                <w:b w:val="0"/>
                <w:bCs w:val="0"/>
                <w:sz w:val="21"/>
                <w:szCs w:val="21"/>
                <w:lang w:val="en-US" w:eastAsia="zh-CN"/>
              </w:rPr>
              <w:t>危险废物运输车辆配置抢救器材表</w:t>
            </w: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0"/>
              <w:gridCol w:w="1420"/>
              <w:gridCol w:w="1420"/>
            </w:tblGrid>
            <w:tr w14:paraId="310970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noWrap w:val="0"/>
                  <w:vAlign w:val="top"/>
                </w:tcPr>
                <w:p w14:paraId="56134877">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b w:val="0"/>
                      <w:bCs w:val="0"/>
                      <w:sz w:val="21"/>
                      <w:szCs w:val="21"/>
                      <w:vertAlign w:val="baseline"/>
                      <w:lang w:val="en-US" w:eastAsia="zh-CN"/>
                    </w:rPr>
                  </w:pPr>
                  <w:r>
                    <w:rPr>
                      <w:rFonts w:hint="eastAsia"/>
                      <w:b w:val="0"/>
                      <w:bCs w:val="0"/>
                      <w:sz w:val="21"/>
                      <w:szCs w:val="21"/>
                      <w:vertAlign w:val="baseline"/>
                      <w:lang w:val="en-US" w:eastAsia="zh-CN"/>
                    </w:rPr>
                    <w:t>序号</w:t>
                  </w:r>
                </w:p>
              </w:tc>
              <w:tc>
                <w:tcPr>
                  <w:tcW w:w="1420" w:type="dxa"/>
                  <w:noWrap w:val="0"/>
                  <w:vAlign w:val="top"/>
                </w:tcPr>
                <w:p w14:paraId="0B2BB118">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b w:val="0"/>
                      <w:bCs w:val="0"/>
                      <w:sz w:val="21"/>
                      <w:szCs w:val="21"/>
                      <w:vertAlign w:val="baseline"/>
                      <w:lang w:val="en-US" w:eastAsia="zh-CN"/>
                    </w:rPr>
                  </w:pPr>
                  <w:r>
                    <w:rPr>
                      <w:rFonts w:hint="eastAsia"/>
                      <w:b w:val="0"/>
                      <w:bCs w:val="0"/>
                      <w:sz w:val="21"/>
                      <w:szCs w:val="21"/>
                      <w:vertAlign w:val="baseline"/>
                      <w:lang w:val="en-US" w:eastAsia="zh-CN"/>
                    </w:rPr>
                    <w:t>品名</w:t>
                  </w:r>
                </w:p>
              </w:tc>
              <w:tc>
                <w:tcPr>
                  <w:tcW w:w="1420" w:type="dxa"/>
                  <w:noWrap w:val="0"/>
                  <w:vAlign w:val="top"/>
                </w:tcPr>
                <w:p w14:paraId="5223DC47">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b w:val="0"/>
                      <w:bCs w:val="0"/>
                      <w:sz w:val="21"/>
                      <w:szCs w:val="21"/>
                      <w:vertAlign w:val="baseline"/>
                      <w:lang w:val="en-US" w:eastAsia="zh-CN"/>
                    </w:rPr>
                  </w:pPr>
                  <w:r>
                    <w:rPr>
                      <w:rFonts w:hint="eastAsia"/>
                      <w:b w:val="0"/>
                      <w:bCs w:val="0"/>
                      <w:sz w:val="21"/>
                      <w:szCs w:val="21"/>
                      <w:vertAlign w:val="baseline"/>
                      <w:lang w:val="en-US" w:eastAsia="zh-CN"/>
                    </w:rPr>
                    <w:t>数量</w:t>
                  </w:r>
                </w:p>
              </w:tc>
            </w:tr>
            <w:tr w14:paraId="49D44F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noWrap w:val="0"/>
                  <w:vAlign w:val="top"/>
                </w:tcPr>
                <w:p w14:paraId="0EEA1085">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b w:val="0"/>
                      <w:bCs w:val="0"/>
                      <w:sz w:val="21"/>
                      <w:szCs w:val="21"/>
                      <w:vertAlign w:val="baseline"/>
                      <w:lang w:val="en-US" w:eastAsia="zh-CN"/>
                    </w:rPr>
                  </w:pPr>
                  <w:r>
                    <w:rPr>
                      <w:rFonts w:hint="eastAsia"/>
                      <w:b w:val="0"/>
                      <w:bCs w:val="0"/>
                      <w:sz w:val="21"/>
                      <w:szCs w:val="21"/>
                      <w:vertAlign w:val="baseline"/>
                      <w:lang w:val="en-US" w:eastAsia="zh-CN"/>
                    </w:rPr>
                    <w:t>1</w:t>
                  </w:r>
                </w:p>
              </w:tc>
              <w:tc>
                <w:tcPr>
                  <w:tcW w:w="1420" w:type="dxa"/>
                  <w:noWrap w:val="0"/>
                  <w:vAlign w:val="top"/>
                </w:tcPr>
                <w:p w14:paraId="4ADD23E7">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eastAsia="宋体"/>
                      <w:b w:val="0"/>
                      <w:bCs w:val="0"/>
                      <w:sz w:val="21"/>
                      <w:szCs w:val="21"/>
                      <w:vertAlign w:val="baseline"/>
                      <w:lang w:val="en-US" w:eastAsia="zh-CN"/>
                    </w:rPr>
                  </w:pPr>
                  <w:r>
                    <w:rPr>
                      <w:rFonts w:hint="eastAsia"/>
                      <w:b w:val="0"/>
                      <w:bCs w:val="0"/>
                      <w:sz w:val="21"/>
                      <w:szCs w:val="21"/>
                      <w:vertAlign w:val="baseline"/>
                      <w:lang w:val="en-US" w:eastAsia="zh-CN"/>
                    </w:rPr>
                    <w:t>防爆手电筒</w:t>
                  </w:r>
                </w:p>
              </w:tc>
              <w:tc>
                <w:tcPr>
                  <w:tcW w:w="1420" w:type="dxa"/>
                  <w:noWrap w:val="0"/>
                  <w:vAlign w:val="top"/>
                </w:tcPr>
                <w:p w14:paraId="1EF9F600">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b w:val="0"/>
                      <w:bCs w:val="0"/>
                      <w:sz w:val="21"/>
                      <w:szCs w:val="21"/>
                      <w:vertAlign w:val="baseline"/>
                      <w:lang w:val="en-US" w:eastAsia="zh-CN"/>
                    </w:rPr>
                  </w:pPr>
                  <w:r>
                    <w:rPr>
                      <w:rFonts w:hint="eastAsia"/>
                      <w:b w:val="0"/>
                      <w:bCs w:val="0"/>
                      <w:sz w:val="21"/>
                      <w:szCs w:val="21"/>
                      <w:vertAlign w:val="baseline"/>
                      <w:lang w:val="en-US" w:eastAsia="zh-CN"/>
                    </w:rPr>
                    <w:t>2</w:t>
                  </w:r>
                </w:p>
              </w:tc>
            </w:tr>
            <w:tr w14:paraId="6E0DB1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noWrap w:val="0"/>
                  <w:vAlign w:val="top"/>
                </w:tcPr>
                <w:p w14:paraId="3D0DF19F">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b w:val="0"/>
                      <w:bCs w:val="0"/>
                      <w:sz w:val="21"/>
                      <w:szCs w:val="21"/>
                      <w:vertAlign w:val="baseline"/>
                      <w:lang w:val="en-US" w:eastAsia="zh-CN"/>
                    </w:rPr>
                  </w:pPr>
                  <w:r>
                    <w:rPr>
                      <w:rFonts w:hint="eastAsia"/>
                      <w:b w:val="0"/>
                      <w:bCs w:val="0"/>
                      <w:sz w:val="21"/>
                      <w:szCs w:val="21"/>
                      <w:vertAlign w:val="baseline"/>
                      <w:lang w:val="en-US" w:eastAsia="zh-CN"/>
                    </w:rPr>
                    <w:t>2</w:t>
                  </w:r>
                </w:p>
              </w:tc>
              <w:tc>
                <w:tcPr>
                  <w:tcW w:w="1420" w:type="dxa"/>
                  <w:noWrap w:val="0"/>
                  <w:vAlign w:val="top"/>
                </w:tcPr>
                <w:p w14:paraId="6F7BA5E5">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b w:val="0"/>
                      <w:bCs w:val="0"/>
                      <w:sz w:val="21"/>
                      <w:szCs w:val="21"/>
                      <w:vertAlign w:val="baseline"/>
                      <w:lang w:val="en-US" w:eastAsia="zh-CN"/>
                    </w:rPr>
                  </w:pPr>
                  <w:r>
                    <w:rPr>
                      <w:rFonts w:hint="eastAsia"/>
                      <w:b w:val="0"/>
                      <w:bCs w:val="0"/>
                      <w:sz w:val="21"/>
                      <w:szCs w:val="21"/>
                      <w:vertAlign w:val="baseline"/>
                      <w:lang w:val="en-US" w:eastAsia="zh-CN"/>
                    </w:rPr>
                    <w:t>千斤顶</w:t>
                  </w:r>
                </w:p>
              </w:tc>
              <w:tc>
                <w:tcPr>
                  <w:tcW w:w="1420" w:type="dxa"/>
                  <w:noWrap w:val="0"/>
                  <w:vAlign w:val="top"/>
                </w:tcPr>
                <w:p w14:paraId="3D6DBCDC">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b w:val="0"/>
                      <w:bCs w:val="0"/>
                      <w:sz w:val="21"/>
                      <w:szCs w:val="21"/>
                      <w:vertAlign w:val="baseline"/>
                      <w:lang w:val="en-US" w:eastAsia="zh-CN"/>
                    </w:rPr>
                  </w:pPr>
                  <w:r>
                    <w:rPr>
                      <w:rFonts w:hint="eastAsia"/>
                      <w:b w:val="0"/>
                      <w:bCs w:val="0"/>
                      <w:sz w:val="21"/>
                      <w:szCs w:val="21"/>
                      <w:vertAlign w:val="baseline"/>
                      <w:lang w:val="en-US" w:eastAsia="zh-CN"/>
                    </w:rPr>
                    <w:t>1</w:t>
                  </w:r>
                </w:p>
              </w:tc>
            </w:tr>
            <w:tr w14:paraId="3C599D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noWrap w:val="0"/>
                  <w:vAlign w:val="top"/>
                </w:tcPr>
                <w:p w14:paraId="3EEBDB42">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b w:val="0"/>
                      <w:bCs w:val="0"/>
                      <w:sz w:val="21"/>
                      <w:szCs w:val="21"/>
                      <w:vertAlign w:val="baseline"/>
                      <w:lang w:val="en-US" w:eastAsia="zh-CN"/>
                    </w:rPr>
                  </w:pPr>
                  <w:r>
                    <w:rPr>
                      <w:rFonts w:hint="eastAsia"/>
                      <w:b w:val="0"/>
                      <w:bCs w:val="0"/>
                      <w:sz w:val="21"/>
                      <w:szCs w:val="21"/>
                      <w:vertAlign w:val="baseline"/>
                      <w:lang w:val="en-US" w:eastAsia="zh-CN"/>
                    </w:rPr>
                    <w:t>3</w:t>
                  </w:r>
                </w:p>
              </w:tc>
              <w:tc>
                <w:tcPr>
                  <w:tcW w:w="1420" w:type="dxa"/>
                  <w:noWrap w:val="0"/>
                  <w:vAlign w:val="top"/>
                </w:tcPr>
                <w:p w14:paraId="67D46D56">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b w:val="0"/>
                      <w:bCs w:val="0"/>
                      <w:sz w:val="21"/>
                      <w:szCs w:val="21"/>
                      <w:vertAlign w:val="baseline"/>
                      <w:lang w:val="en-US" w:eastAsia="zh-CN"/>
                    </w:rPr>
                  </w:pPr>
                  <w:r>
                    <w:rPr>
                      <w:rFonts w:hint="eastAsia"/>
                      <w:b w:val="0"/>
                      <w:bCs w:val="0"/>
                      <w:sz w:val="21"/>
                      <w:szCs w:val="21"/>
                      <w:vertAlign w:val="baseline"/>
                      <w:lang w:val="en-US" w:eastAsia="zh-CN"/>
                    </w:rPr>
                    <w:t>钢丝缆绳</w:t>
                  </w:r>
                </w:p>
              </w:tc>
              <w:tc>
                <w:tcPr>
                  <w:tcW w:w="1420" w:type="dxa"/>
                  <w:noWrap w:val="0"/>
                  <w:vAlign w:val="top"/>
                </w:tcPr>
                <w:p w14:paraId="0F61EE8A">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b w:val="0"/>
                      <w:bCs w:val="0"/>
                      <w:sz w:val="21"/>
                      <w:szCs w:val="21"/>
                      <w:vertAlign w:val="baseline"/>
                      <w:lang w:val="en-US" w:eastAsia="zh-CN"/>
                    </w:rPr>
                  </w:pPr>
                  <w:r>
                    <w:rPr>
                      <w:rFonts w:hint="eastAsia"/>
                      <w:b w:val="0"/>
                      <w:bCs w:val="0"/>
                      <w:sz w:val="21"/>
                      <w:szCs w:val="21"/>
                      <w:vertAlign w:val="baseline"/>
                      <w:lang w:val="en-US" w:eastAsia="zh-CN"/>
                    </w:rPr>
                    <w:t>1</w:t>
                  </w:r>
                </w:p>
              </w:tc>
            </w:tr>
            <w:tr w14:paraId="0AFEAD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noWrap w:val="0"/>
                  <w:vAlign w:val="top"/>
                </w:tcPr>
                <w:p w14:paraId="698087FA">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b w:val="0"/>
                      <w:bCs w:val="0"/>
                      <w:sz w:val="21"/>
                      <w:szCs w:val="21"/>
                      <w:vertAlign w:val="baseline"/>
                      <w:lang w:val="en-US" w:eastAsia="zh-CN"/>
                    </w:rPr>
                  </w:pPr>
                  <w:r>
                    <w:rPr>
                      <w:rFonts w:hint="eastAsia"/>
                      <w:b w:val="0"/>
                      <w:bCs w:val="0"/>
                      <w:sz w:val="21"/>
                      <w:szCs w:val="21"/>
                      <w:vertAlign w:val="baseline"/>
                      <w:lang w:val="en-US" w:eastAsia="zh-CN"/>
                    </w:rPr>
                    <w:t>4</w:t>
                  </w:r>
                </w:p>
              </w:tc>
              <w:tc>
                <w:tcPr>
                  <w:tcW w:w="1420" w:type="dxa"/>
                  <w:noWrap w:val="0"/>
                  <w:vAlign w:val="top"/>
                </w:tcPr>
                <w:p w14:paraId="42A24CBD">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b w:val="0"/>
                      <w:bCs w:val="0"/>
                      <w:sz w:val="21"/>
                      <w:szCs w:val="21"/>
                      <w:vertAlign w:val="baseline"/>
                      <w:lang w:val="en-US" w:eastAsia="zh-CN"/>
                    </w:rPr>
                  </w:pPr>
                  <w:r>
                    <w:rPr>
                      <w:rFonts w:hint="eastAsia"/>
                      <w:b w:val="0"/>
                      <w:bCs w:val="0"/>
                      <w:sz w:val="21"/>
                      <w:szCs w:val="21"/>
                      <w:vertAlign w:val="baseline"/>
                      <w:lang w:val="en-US" w:eastAsia="zh-CN"/>
                    </w:rPr>
                    <w:t>警告标志</w:t>
                  </w:r>
                </w:p>
              </w:tc>
              <w:tc>
                <w:tcPr>
                  <w:tcW w:w="1420" w:type="dxa"/>
                  <w:noWrap w:val="0"/>
                  <w:vAlign w:val="top"/>
                </w:tcPr>
                <w:p w14:paraId="6BBF0728">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b w:val="0"/>
                      <w:bCs w:val="0"/>
                      <w:sz w:val="21"/>
                      <w:szCs w:val="21"/>
                      <w:vertAlign w:val="baseline"/>
                      <w:lang w:val="en-US" w:eastAsia="zh-CN"/>
                    </w:rPr>
                  </w:pPr>
                  <w:r>
                    <w:rPr>
                      <w:rFonts w:hint="eastAsia"/>
                      <w:b w:val="0"/>
                      <w:bCs w:val="0"/>
                      <w:sz w:val="21"/>
                      <w:szCs w:val="21"/>
                      <w:vertAlign w:val="baseline"/>
                      <w:lang w:val="en-US" w:eastAsia="zh-CN"/>
                    </w:rPr>
                    <w:t>2</w:t>
                  </w:r>
                </w:p>
              </w:tc>
            </w:tr>
            <w:tr w14:paraId="6F127F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noWrap w:val="0"/>
                  <w:vAlign w:val="top"/>
                </w:tcPr>
                <w:p w14:paraId="66C815D7">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b w:val="0"/>
                      <w:bCs w:val="0"/>
                      <w:sz w:val="21"/>
                      <w:szCs w:val="21"/>
                      <w:vertAlign w:val="baseline"/>
                      <w:lang w:val="en-US" w:eastAsia="zh-CN"/>
                    </w:rPr>
                  </w:pPr>
                  <w:r>
                    <w:rPr>
                      <w:rFonts w:hint="eastAsia"/>
                      <w:b w:val="0"/>
                      <w:bCs w:val="0"/>
                      <w:sz w:val="21"/>
                      <w:szCs w:val="21"/>
                      <w:vertAlign w:val="baseline"/>
                      <w:lang w:val="en-US" w:eastAsia="zh-CN"/>
                    </w:rPr>
                    <w:t>5</w:t>
                  </w:r>
                </w:p>
              </w:tc>
              <w:tc>
                <w:tcPr>
                  <w:tcW w:w="1420" w:type="dxa"/>
                  <w:noWrap w:val="0"/>
                  <w:vAlign w:val="top"/>
                </w:tcPr>
                <w:p w14:paraId="5061FE92">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b w:val="0"/>
                      <w:bCs w:val="0"/>
                      <w:sz w:val="21"/>
                      <w:szCs w:val="21"/>
                      <w:vertAlign w:val="baseline"/>
                      <w:lang w:val="en-US" w:eastAsia="zh-CN"/>
                    </w:rPr>
                  </w:pPr>
                  <w:r>
                    <w:rPr>
                      <w:rFonts w:hint="eastAsia"/>
                      <w:b w:val="0"/>
                      <w:bCs w:val="0"/>
                      <w:sz w:val="21"/>
                      <w:szCs w:val="21"/>
                      <w:vertAlign w:val="baseline"/>
                      <w:lang w:val="en-US" w:eastAsia="zh-CN"/>
                    </w:rPr>
                    <w:t>车载铁桶</w:t>
                  </w:r>
                </w:p>
              </w:tc>
              <w:tc>
                <w:tcPr>
                  <w:tcW w:w="1420" w:type="dxa"/>
                  <w:noWrap w:val="0"/>
                  <w:vAlign w:val="top"/>
                </w:tcPr>
                <w:p w14:paraId="7253D9B8">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b w:val="0"/>
                      <w:bCs w:val="0"/>
                      <w:sz w:val="21"/>
                      <w:szCs w:val="21"/>
                      <w:vertAlign w:val="baseline"/>
                      <w:lang w:val="en-US" w:eastAsia="zh-CN"/>
                    </w:rPr>
                  </w:pPr>
                  <w:r>
                    <w:rPr>
                      <w:rFonts w:hint="eastAsia"/>
                      <w:b w:val="0"/>
                      <w:bCs w:val="0"/>
                      <w:sz w:val="21"/>
                      <w:szCs w:val="21"/>
                      <w:vertAlign w:val="baseline"/>
                      <w:lang w:val="en-US" w:eastAsia="zh-CN"/>
                    </w:rPr>
                    <w:t>1</w:t>
                  </w:r>
                </w:p>
              </w:tc>
            </w:tr>
            <w:tr w14:paraId="1507AA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noWrap w:val="0"/>
                  <w:vAlign w:val="top"/>
                </w:tcPr>
                <w:p w14:paraId="746E1B31">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b w:val="0"/>
                      <w:bCs w:val="0"/>
                      <w:sz w:val="21"/>
                      <w:szCs w:val="21"/>
                      <w:vertAlign w:val="baseline"/>
                      <w:lang w:val="en-US" w:eastAsia="zh-CN"/>
                    </w:rPr>
                  </w:pPr>
                  <w:r>
                    <w:rPr>
                      <w:rFonts w:hint="eastAsia"/>
                      <w:b w:val="0"/>
                      <w:bCs w:val="0"/>
                      <w:sz w:val="21"/>
                      <w:szCs w:val="21"/>
                      <w:vertAlign w:val="baseline"/>
                      <w:lang w:val="en-US" w:eastAsia="zh-CN"/>
                    </w:rPr>
                    <w:t>6</w:t>
                  </w:r>
                </w:p>
              </w:tc>
              <w:tc>
                <w:tcPr>
                  <w:tcW w:w="1420" w:type="dxa"/>
                  <w:noWrap w:val="0"/>
                  <w:vAlign w:val="top"/>
                </w:tcPr>
                <w:p w14:paraId="3B778999">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b w:val="0"/>
                      <w:bCs w:val="0"/>
                      <w:sz w:val="21"/>
                      <w:szCs w:val="21"/>
                      <w:vertAlign w:val="baseline"/>
                      <w:lang w:val="en-US" w:eastAsia="zh-CN"/>
                    </w:rPr>
                  </w:pPr>
                  <w:r>
                    <w:rPr>
                      <w:rFonts w:hint="eastAsia"/>
                      <w:b w:val="0"/>
                      <w:bCs w:val="0"/>
                      <w:sz w:val="21"/>
                      <w:szCs w:val="21"/>
                      <w:vertAlign w:val="baseline"/>
                      <w:lang w:val="en-US" w:eastAsia="zh-CN"/>
                    </w:rPr>
                    <w:t>撬棍</w:t>
                  </w:r>
                </w:p>
              </w:tc>
              <w:tc>
                <w:tcPr>
                  <w:tcW w:w="1420" w:type="dxa"/>
                  <w:noWrap w:val="0"/>
                  <w:vAlign w:val="top"/>
                </w:tcPr>
                <w:p w14:paraId="5B4176C6">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b w:val="0"/>
                      <w:bCs w:val="0"/>
                      <w:sz w:val="21"/>
                      <w:szCs w:val="21"/>
                      <w:vertAlign w:val="baseline"/>
                      <w:lang w:val="en-US" w:eastAsia="zh-CN"/>
                    </w:rPr>
                  </w:pPr>
                  <w:r>
                    <w:rPr>
                      <w:rFonts w:hint="eastAsia"/>
                      <w:b w:val="0"/>
                      <w:bCs w:val="0"/>
                      <w:sz w:val="21"/>
                      <w:szCs w:val="21"/>
                      <w:vertAlign w:val="baseline"/>
                      <w:lang w:val="en-US" w:eastAsia="zh-CN"/>
                    </w:rPr>
                    <w:t>1</w:t>
                  </w:r>
                </w:p>
              </w:tc>
            </w:tr>
            <w:tr w14:paraId="3C11CF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noWrap w:val="0"/>
                  <w:vAlign w:val="top"/>
                </w:tcPr>
                <w:p w14:paraId="171FFB96">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b w:val="0"/>
                      <w:bCs w:val="0"/>
                      <w:sz w:val="21"/>
                      <w:szCs w:val="21"/>
                      <w:vertAlign w:val="baseline"/>
                      <w:lang w:val="en-US" w:eastAsia="zh-CN"/>
                    </w:rPr>
                  </w:pPr>
                  <w:r>
                    <w:rPr>
                      <w:rFonts w:hint="eastAsia"/>
                      <w:b w:val="0"/>
                      <w:bCs w:val="0"/>
                      <w:sz w:val="21"/>
                      <w:szCs w:val="21"/>
                      <w:vertAlign w:val="baseline"/>
                      <w:lang w:val="en-US" w:eastAsia="zh-CN"/>
                    </w:rPr>
                    <w:t>7</w:t>
                  </w:r>
                </w:p>
              </w:tc>
              <w:tc>
                <w:tcPr>
                  <w:tcW w:w="1420" w:type="dxa"/>
                  <w:noWrap w:val="0"/>
                  <w:vAlign w:val="top"/>
                </w:tcPr>
                <w:p w14:paraId="33654B10">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b w:val="0"/>
                      <w:bCs w:val="0"/>
                      <w:sz w:val="21"/>
                      <w:szCs w:val="21"/>
                      <w:vertAlign w:val="baseline"/>
                      <w:lang w:val="en-US" w:eastAsia="zh-CN"/>
                    </w:rPr>
                  </w:pPr>
                  <w:r>
                    <w:rPr>
                      <w:rFonts w:hint="eastAsia"/>
                      <w:b w:val="0"/>
                      <w:bCs w:val="0"/>
                      <w:sz w:val="21"/>
                      <w:szCs w:val="21"/>
                      <w:vertAlign w:val="baseline"/>
                      <w:lang w:val="en-US" w:eastAsia="zh-CN"/>
                    </w:rPr>
                    <w:t>灭火器</w:t>
                  </w:r>
                </w:p>
              </w:tc>
              <w:tc>
                <w:tcPr>
                  <w:tcW w:w="1420" w:type="dxa"/>
                  <w:noWrap w:val="0"/>
                  <w:vAlign w:val="top"/>
                </w:tcPr>
                <w:p w14:paraId="4A22D760">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b w:val="0"/>
                      <w:bCs w:val="0"/>
                      <w:sz w:val="21"/>
                      <w:szCs w:val="21"/>
                      <w:vertAlign w:val="baseline"/>
                      <w:lang w:val="en-US" w:eastAsia="zh-CN"/>
                    </w:rPr>
                  </w:pPr>
                  <w:r>
                    <w:rPr>
                      <w:rFonts w:hint="eastAsia"/>
                      <w:b w:val="0"/>
                      <w:bCs w:val="0"/>
                      <w:sz w:val="21"/>
                      <w:szCs w:val="21"/>
                      <w:vertAlign w:val="baseline"/>
                      <w:lang w:val="en-US" w:eastAsia="zh-CN"/>
                    </w:rPr>
                    <w:t>1</w:t>
                  </w:r>
                </w:p>
              </w:tc>
            </w:tr>
            <w:tr w14:paraId="1EFD0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noWrap w:val="0"/>
                  <w:vAlign w:val="top"/>
                </w:tcPr>
                <w:p w14:paraId="74FC5881">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b w:val="0"/>
                      <w:bCs w:val="0"/>
                      <w:sz w:val="21"/>
                      <w:szCs w:val="21"/>
                      <w:vertAlign w:val="baseline"/>
                      <w:lang w:val="en-US" w:eastAsia="zh-CN"/>
                    </w:rPr>
                  </w:pPr>
                  <w:r>
                    <w:rPr>
                      <w:rFonts w:hint="eastAsia"/>
                      <w:b w:val="0"/>
                      <w:bCs w:val="0"/>
                      <w:sz w:val="21"/>
                      <w:szCs w:val="21"/>
                      <w:vertAlign w:val="baseline"/>
                      <w:lang w:val="en-US" w:eastAsia="zh-CN"/>
                    </w:rPr>
                    <w:t>8</w:t>
                  </w:r>
                </w:p>
              </w:tc>
              <w:tc>
                <w:tcPr>
                  <w:tcW w:w="1420" w:type="dxa"/>
                  <w:noWrap w:val="0"/>
                  <w:vAlign w:val="top"/>
                </w:tcPr>
                <w:p w14:paraId="6B0D5F28">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b w:val="0"/>
                      <w:bCs w:val="0"/>
                      <w:sz w:val="21"/>
                      <w:szCs w:val="21"/>
                      <w:vertAlign w:val="baseline"/>
                      <w:lang w:val="en-US" w:eastAsia="zh-CN"/>
                    </w:rPr>
                  </w:pPr>
                  <w:r>
                    <w:rPr>
                      <w:rFonts w:hint="eastAsia"/>
                      <w:b w:val="0"/>
                      <w:bCs w:val="0"/>
                      <w:sz w:val="21"/>
                      <w:szCs w:val="21"/>
                      <w:vertAlign w:val="baseline"/>
                      <w:lang w:val="en-US" w:eastAsia="zh-CN"/>
                    </w:rPr>
                    <w:t>三角木</w:t>
                  </w:r>
                </w:p>
              </w:tc>
              <w:tc>
                <w:tcPr>
                  <w:tcW w:w="1420" w:type="dxa"/>
                  <w:noWrap w:val="0"/>
                  <w:vAlign w:val="top"/>
                </w:tcPr>
                <w:p w14:paraId="40538ECE">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b w:val="0"/>
                      <w:bCs w:val="0"/>
                      <w:sz w:val="21"/>
                      <w:szCs w:val="21"/>
                      <w:vertAlign w:val="baseline"/>
                      <w:lang w:val="en-US" w:eastAsia="zh-CN"/>
                    </w:rPr>
                  </w:pPr>
                  <w:r>
                    <w:rPr>
                      <w:rFonts w:hint="eastAsia"/>
                      <w:b w:val="0"/>
                      <w:bCs w:val="0"/>
                      <w:sz w:val="21"/>
                      <w:szCs w:val="21"/>
                      <w:vertAlign w:val="baseline"/>
                      <w:lang w:val="en-US" w:eastAsia="zh-CN"/>
                    </w:rPr>
                    <w:t>若干</w:t>
                  </w:r>
                </w:p>
              </w:tc>
            </w:tr>
            <w:tr w14:paraId="3B25C1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noWrap w:val="0"/>
                  <w:vAlign w:val="top"/>
                </w:tcPr>
                <w:p w14:paraId="1DDAA73F">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b w:val="0"/>
                      <w:bCs w:val="0"/>
                      <w:sz w:val="21"/>
                      <w:szCs w:val="21"/>
                      <w:vertAlign w:val="baseline"/>
                      <w:lang w:val="en-US" w:eastAsia="zh-CN"/>
                    </w:rPr>
                  </w:pPr>
                  <w:r>
                    <w:rPr>
                      <w:rFonts w:hint="eastAsia"/>
                      <w:b w:val="0"/>
                      <w:bCs w:val="0"/>
                      <w:sz w:val="21"/>
                      <w:szCs w:val="21"/>
                      <w:vertAlign w:val="baseline"/>
                      <w:lang w:val="en-US" w:eastAsia="zh-CN"/>
                    </w:rPr>
                    <w:t>9</w:t>
                  </w:r>
                </w:p>
              </w:tc>
              <w:tc>
                <w:tcPr>
                  <w:tcW w:w="1420" w:type="dxa"/>
                  <w:noWrap w:val="0"/>
                  <w:vAlign w:val="top"/>
                </w:tcPr>
                <w:p w14:paraId="48550C2D">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b w:val="0"/>
                      <w:bCs w:val="0"/>
                      <w:sz w:val="21"/>
                      <w:szCs w:val="21"/>
                      <w:vertAlign w:val="baseline"/>
                      <w:lang w:val="en-US" w:eastAsia="zh-CN"/>
                    </w:rPr>
                  </w:pPr>
                  <w:r>
                    <w:rPr>
                      <w:rFonts w:hint="eastAsia"/>
                      <w:b w:val="0"/>
                      <w:bCs w:val="0"/>
                      <w:sz w:val="21"/>
                      <w:szCs w:val="21"/>
                      <w:vertAlign w:val="baseline"/>
                      <w:lang w:val="en-US" w:eastAsia="zh-CN"/>
                    </w:rPr>
                    <w:t>工具</w:t>
                  </w:r>
                </w:p>
              </w:tc>
              <w:tc>
                <w:tcPr>
                  <w:tcW w:w="1420" w:type="dxa"/>
                  <w:noWrap w:val="0"/>
                  <w:vAlign w:val="top"/>
                </w:tcPr>
                <w:p w14:paraId="202FD8DE">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b w:val="0"/>
                      <w:bCs w:val="0"/>
                      <w:sz w:val="21"/>
                      <w:szCs w:val="21"/>
                      <w:vertAlign w:val="baseline"/>
                      <w:lang w:val="en-US" w:eastAsia="zh-CN"/>
                    </w:rPr>
                  </w:pPr>
                  <w:r>
                    <w:rPr>
                      <w:rFonts w:hint="eastAsia"/>
                      <w:b w:val="0"/>
                      <w:bCs w:val="0"/>
                      <w:sz w:val="21"/>
                      <w:szCs w:val="21"/>
                      <w:vertAlign w:val="baseline"/>
                      <w:lang w:val="en-US" w:eastAsia="zh-CN"/>
                    </w:rPr>
                    <w:t>若干</w:t>
                  </w:r>
                </w:p>
              </w:tc>
            </w:tr>
          </w:tbl>
          <w:p w14:paraId="1D14B429">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0" w:firstLineChars="0"/>
              <w:jc w:val="left"/>
              <w:textAlignment w:val="auto"/>
              <w:rPr>
                <w:rFonts w:hint="eastAsia"/>
                <w:b w:val="0"/>
                <w:bCs w:val="0"/>
                <w:sz w:val="21"/>
                <w:szCs w:val="21"/>
                <w:lang w:val="en-US" w:eastAsia="zh-CN"/>
              </w:rPr>
            </w:pPr>
            <w:r>
              <w:rPr>
                <w:rFonts w:hint="eastAsia"/>
                <w:b w:val="0"/>
                <w:bCs w:val="0"/>
                <w:sz w:val="21"/>
                <w:szCs w:val="21"/>
                <w:lang w:val="en-US" w:eastAsia="zh-CN"/>
              </w:rPr>
              <w:t>预案的启动</w:t>
            </w:r>
          </w:p>
          <w:p w14:paraId="70352AB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eastAsia"/>
                <w:b w:val="0"/>
                <w:bCs w:val="0"/>
                <w:sz w:val="21"/>
                <w:szCs w:val="21"/>
                <w:lang w:val="en-US" w:eastAsia="zh-CN"/>
              </w:rPr>
            </w:pPr>
            <w:r>
              <w:rPr>
                <w:rFonts w:hint="eastAsia"/>
                <w:b w:val="0"/>
                <w:bCs w:val="0"/>
                <w:sz w:val="21"/>
                <w:szCs w:val="21"/>
                <w:lang w:val="en-US" w:eastAsia="zh-CN"/>
              </w:rPr>
              <w:t>发生事故时驾驶员在第一时间向当地消防、安监。运管及公司领导汇报事故发生的地点、时间、人员伤亡等情况，公司“危险废物运输事故应急救援运营方(预)案”总指挥通知所有应急小组启动预案。</w:t>
            </w:r>
          </w:p>
          <w:p w14:paraId="09287BE2">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Chars="0"/>
              <w:jc w:val="left"/>
              <w:textAlignment w:val="auto"/>
              <w:rPr>
                <w:rFonts w:hint="eastAsia"/>
                <w:b w:val="0"/>
                <w:bCs w:val="0"/>
                <w:sz w:val="21"/>
                <w:szCs w:val="21"/>
                <w:lang w:val="en-US" w:eastAsia="zh-CN"/>
              </w:rPr>
            </w:pPr>
            <w:r>
              <w:rPr>
                <w:rFonts w:hint="eastAsia"/>
                <w:b w:val="0"/>
                <w:bCs w:val="0"/>
                <w:sz w:val="21"/>
                <w:szCs w:val="21"/>
                <w:lang w:val="en-US" w:eastAsia="zh-CN"/>
              </w:rPr>
              <w:t>事故发生后驾驶、押运员应采取的紧急处理措施</w:t>
            </w:r>
          </w:p>
          <w:p w14:paraId="42263048">
            <w:pPr>
              <w:keepNext w:val="0"/>
              <w:keepLines w:val="0"/>
              <w:pageBreakBefore w:val="0"/>
              <w:widowControl w:val="0"/>
              <w:numPr>
                <w:ilvl w:val="0"/>
                <w:numId w:val="7"/>
              </w:numPr>
              <w:kinsoku/>
              <w:wordWrap/>
              <w:overflowPunct/>
              <w:topLinePunct w:val="0"/>
              <w:autoSpaceDE/>
              <w:autoSpaceDN/>
              <w:bidi w:val="0"/>
              <w:adjustRightInd/>
              <w:snapToGrid/>
              <w:spacing w:line="360" w:lineRule="auto"/>
              <w:jc w:val="left"/>
              <w:textAlignment w:val="auto"/>
              <w:rPr>
                <w:rFonts w:hint="eastAsia"/>
                <w:b w:val="0"/>
                <w:bCs w:val="0"/>
                <w:sz w:val="21"/>
                <w:szCs w:val="21"/>
                <w:lang w:val="en-US" w:eastAsia="zh-CN"/>
              </w:rPr>
            </w:pPr>
            <w:r>
              <w:rPr>
                <w:rFonts w:hint="eastAsia"/>
                <w:b w:val="0"/>
                <w:bCs w:val="0"/>
                <w:sz w:val="21"/>
                <w:szCs w:val="21"/>
                <w:lang w:val="en-US" w:eastAsia="zh-CN"/>
              </w:rPr>
              <w:t>驾驶员立即拉紧手制动器，固定车轮，熄灭发动机关，报警。押运员根据所载货物的性质，采取相应的急救措施，防止事故扩大。</w:t>
            </w:r>
          </w:p>
          <w:p w14:paraId="79FF3F52">
            <w:pPr>
              <w:keepNext w:val="0"/>
              <w:keepLines w:val="0"/>
              <w:pageBreakBefore w:val="0"/>
              <w:widowControl w:val="0"/>
              <w:numPr>
                <w:ilvl w:val="0"/>
                <w:numId w:val="7"/>
              </w:numPr>
              <w:kinsoku/>
              <w:wordWrap/>
              <w:overflowPunct/>
              <w:topLinePunct w:val="0"/>
              <w:autoSpaceDE/>
              <w:autoSpaceDN/>
              <w:bidi w:val="0"/>
              <w:adjustRightInd/>
              <w:snapToGrid/>
              <w:spacing w:line="360" w:lineRule="auto"/>
              <w:jc w:val="left"/>
              <w:textAlignment w:val="auto"/>
              <w:rPr>
                <w:rFonts w:hint="eastAsia"/>
                <w:b w:val="0"/>
                <w:bCs w:val="0"/>
                <w:sz w:val="21"/>
                <w:szCs w:val="21"/>
                <w:lang w:val="en-US" w:eastAsia="zh-CN"/>
              </w:rPr>
            </w:pPr>
            <w:r>
              <w:rPr>
                <w:rFonts w:hint="eastAsia"/>
                <w:b w:val="0"/>
                <w:bCs w:val="0"/>
                <w:sz w:val="21"/>
                <w:szCs w:val="21"/>
                <w:lang w:val="en-US" w:eastAsia="zh-CN"/>
              </w:rPr>
              <w:t>指挥周围车辆及无关人员迅速离开，现场隔离50米范围禁止明火，防止事态扩大。</w:t>
            </w:r>
          </w:p>
          <w:p w14:paraId="6760D92D">
            <w:pPr>
              <w:keepNext w:val="0"/>
              <w:keepLines w:val="0"/>
              <w:pageBreakBefore w:val="0"/>
              <w:widowControl w:val="0"/>
              <w:numPr>
                <w:ilvl w:val="0"/>
                <w:numId w:val="7"/>
              </w:numPr>
              <w:kinsoku/>
              <w:wordWrap/>
              <w:overflowPunct/>
              <w:topLinePunct w:val="0"/>
              <w:autoSpaceDE/>
              <w:autoSpaceDN/>
              <w:bidi w:val="0"/>
              <w:adjustRightInd/>
              <w:snapToGrid/>
              <w:spacing w:line="360" w:lineRule="auto"/>
              <w:jc w:val="left"/>
              <w:textAlignment w:val="auto"/>
              <w:rPr>
                <w:rFonts w:hint="eastAsia"/>
                <w:b w:val="0"/>
                <w:bCs w:val="0"/>
                <w:sz w:val="21"/>
                <w:szCs w:val="21"/>
                <w:lang w:val="en-US" w:eastAsia="zh-CN"/>
              </w:rPr>
            </w:pPr>
            <w:r>
              <w:rPr>
                <w:rFonts w:hint="eastAsia"/>
                <w:b w:val="0"/>
                <w:bCs w:val="0"/>
                <w:sz w:val="21"/>
                <w:szCs w:val="21"/>
                <w:lang w:val="en-US" w:eastAsia="zh-CN"/>
              </w:rPr>
              <w:t>疏散事故现场周围易燃易爆物品，防止二次事故发生</w:t>
            </w:r>
          </w:p>
          <w:p w14:paraId="71BD7AAD">
            <w:pPr>
              <w:keepNext w:val="0"/>
              <w:keepLines w:val="0"/>
              <w:pageBreakBefore w:val="0"/>
              <w:widowControl w:val="0"/>
              <w:numPr>
                <w:ilvl w:val="0"/>
                <w:numId w:val="7"/>
              </w:numPr>
              <w:kinsoku/>
              <w:wordWrap/>
              <w:overflowPunct/>
              <w:topLinePunct w:val="0"/>
              <w:autoSpaceDE/>
              <w:autoSpaceDN/>
              <w:bidi w:val="0"/>
              <w:adjustRightInd/>
              <w:snapToGrid/>
              <w:spacing w:line="360" w:lineRule="auto"/>
              <w:jc w:val="left"/>
              <w:textAlignment w:val="auto"/>
              <w:rPr>
                <w:rFonts w:hint="eastAsia"/>
                <w:b w:val="0"/>
                <w:bCs w:val="0"/>
                <w:sz w:val="21"/>
                <w:szCs w:val="21"/>
                <w:lang w:val="en-US" w:eastAsia="zh-CN"/>
              </w:rPr>
            </w:pPr>
            <w:r>
              <w:rPr>
                <w:rFonts w:hint="eastAsia"/>
                <w:b w:val="0"/>
                <w:bCs w:val="0"/>
                <w:sz w:val="21"/>
                <w:szCs w:val="21"/>
                <w:lang w:val="en-US" w:eastAsia="zh-CN"/>
              </w:rPr>
              <w:t>立即到路口设置警戒标志，并迎接救援车的到来</w:t>
            </w:r>
          </w:p>
          <w:p w14:paraId="1405D1B5">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0" w:leftChars="0" w:firstLine="0" w:firstLineChars="0"/>
              <w:jc w:val="left"/>
              <w:textAlignment w:val="auto"/>
              <w:rPr>
                <w:rFonts w:hint="eastAsia"/>
                <w:b w:val="0"/>
                <w:bCs w:val="0"/>
                <w:sz w:val="21"/>
                <w:szCs w:val="21"/>
                <w:lang w:val="en-US" w:eastAsia="zh-CN"/>
              </w:rPr>
            </w:pPr>
            <w:r>
              <w:rPr>
                <w:rFonts w:hint="eastAsia"/>
                <w:b w:val="0"/>
                <w:bCs w:val="0"/>
                <w:sz w:val="21"/>
                <w:szCs w:val="21"/>
                <w:lang w:val="en-US" w:eastAsia="zh-CN"/>
              </w:rPr>
              <w:t>人员紧急疏散、撤离</w:t>
            </w:r>
          </w:p>
          <w:p w14:paraId="37FCB66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eastAsia"/>
                <w:b w:val="0"/>
                <w:bCs w:val="0"/>
                <w:sz w:val="21"/>
                <w:szCs w:val="21"/>
                <w:lang w:val="en-US" w:eastAsia="zh-CN"/>
              </w:rPr>
            </w:pPr>
            <w:r>
              <w:rPr>
                <w:rFonts w:hint="eastAsia"/>
                <w:b w:val="0"/>
                <w:bCs w:val="0"/>
                <w:sz w:val="21"/>
                <w:szCs w:val="21"/>
                <w:lang w:val="en-US" w:eastAsia="zh-CN"/>
              </w:rPr>
              <w:t>驾驶员和押运员在紧急救援时，要按危险品性质和事故严重程度进行分析，决定是否对周边人员紧急撤离以及撤离方式，在当地救援部门到来后，人员的疏散与撤离决定权移交给政府部门履行。</w:t>
            </w:r>
          </w:p>
          <w:p w14:paraId="1E5D652B">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0" w:leftChars="0" w:firstLine="0" w:firstLineChars="0"/>
              <w:jc w:val="left"/>
              <w:textAlignment w:val="auto"/>
              <w:rPr>
                <w:rFonts w:hint="eastAsia"/>
                <w:b w:val="0"/>
                <w:bCs w:val="0"/>
                <w:sz w:val="21"/>
                <w:szCs w:val="21"/>
                <w:lang w:val="en-US" w:eastAsia="zh-CN"/>
              </w:rPr>
            </w:pPr>
            <w:r>
              <w:rPr>
                <w:rFonts w:hint="eastAsia"/>
                <w:b w:val="0"/>
                <w:bCs w:val="0"/>
                <w:sz w:val="21"/>
                <w:szCs w:val="21"/>
                <w:lang w:val="en-US" w:eastAsia="zh-CN"/>
              </w:rPr>
              <w:t>危险区的隔离</w:t>
            </w:r>
          </w:p>
          <w:p w14:paraId="7BBCDAF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eastAsia"/>
                <w:b w:val="0"/>
                <w:bCs w:val="0"/>
                <w:sz w:val="21"/>
                <w:szCs w:val="21"/>
                <w:lang w:val="en-US" w:eastAsia="zh-CN"/>
              </w:rPr>
            </w:pPr>
            <w:r>
              <w:rPr>
                <w:rFonts w:hint="eastAsia"/>
                <w:b w:val="0"/>
                <w:bCs w:val="0"/>
                <w:sz w:val="21"/>
                <w:szCs w:val="21"/>
                <w:lang w:val="en-US" w:eastAsia="zh-CN"/>
              </w:rPr>
              <w:t>事故发生后，驾押人员应对事故现场周围实行警戒，对无光人员及车辆进行紧急疏散，驾驶员要在危险区域放置“前方危险、车辆绕行”警示牌，协助相关部门做好交通管制工作。</w:t>
            </w:r>
          </w:p>
          <w:p w14:paraId="1457F8D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eastAsia"/>
                <w:b w:val="0"/>
                <w:bCs w:val="0"/>
                <w:sz w:val="21"/>
                <w:szCs w:val="21"/>
                <w:lang w:val="en-US" w:eastAsia="zh-CN"/>
              </w:rPr>
            </w:pPr>
          </w:p>
          <w:p w14:paraId="1CB84F96">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0" w:leftChars="0" w:firstLine="0" w:firstLineChars="0"/>
              <w:jc w:val="left"/>
              <w:textAlignment w:val="auto"/>
              <w:rPr>
                <w:rFonts w:hint="eastAsia"/>
                <w:b w:val="0"/>
                <w:bCs w:val="0"/>
                <w:sz w:val="21"/>
                <w:szCs w:val="21"/>
                <w:lang w:val="en-US" w:eastAsia="zh-CN"/>
              </w:rPr>
            </w:pPr>
            <w:r>
              <w:rPr>
                <w:rFonts w:hint="eastAsia"/>
                <w:b w:val="0"/>
                <w:bCs w:val="0"/>
                <w:sz w:val="21"/>
                <w:szCs w:val="21"/>
                <w:lang w:val="en-US" w:eastAsia="zh-CN"/>
              </w:rPr>
              <w:t>检测、抢救、救援及控制措施</w:t>
            </w:r>
          </w:p>
          <w:p w14:paraId="7FAE9E44">
            <w:pPr>
              <w:keepNext w:val="0"/>
              <w:keepLines w:val="0"/>
              <w:pageBreakBefore w:val="0"/>
              <w:widowControl w:val="0"/>
              <w:numPr>
                <w:ilvl w:val="0"/>
                <w:numId w:val="8"/>
              </w:numPr>
              <w:kinsoku/>
              <w:wordWrap/>
              <w:overflowPunct/>
              <w:topLinePunct w:val="0"/>
              <w:autoSpaceDE/>
              <w:autoSpaceDN/>
              <w:bidi w:val="0"/>
              <w:adjustRightInd/>
              <w:snapToGrid/>
              <w:spacing w:line="360" w:lineRule="auto"/>
              <w:ind w:leftChars="0"/>
              <w:jc w:val="left"/>
              <w:textAlignment w:val="auto"/>
              <w:rPr>
                <w:rFonts w:hint="eastAsia"/>
                <w:b w:val="0"/>
                <w:bCs w:val="0"/>
                <w:sz w:val="21"/>
                <w:szCs w:val="21"/>
                <w:lang w:val="en-US" w:eastAsia="zh-CN"/>
              </w:rPr>
            </w:pPr>
            <w:r>
              <w:rPr>
                <w:rFonts w:hint="eastAsia"/>
                <w:b w:val="0"/>
                <w:bCs w:val="0"/>
                <w:sz w:val="21"/>
                <w:szCs w:val="21"/>
                <w:lang w:val="en-US" w:eastAsia="zh-CN"/>
              </w:rPr>
              <w:t>驾、押人员应落实危化品污染事故监测工作</w:t>
            </w:r>
          </w:p>
          <w:p w14:paraId="1430EFCF">
            <w:pPr>
              <w:keepNext w:val="0"/>
              <w:keepLines w:val="0"/>
              <w:pageBreakBefore w:val="0"/>
              <w:widowControl w:val="0"/>
              <w:numPr>
                <w:ilvl w:val="0"/>
                <w:numId w:val="8"/>
              </w:numPr>
              <w:kinsoku/>
              <w:wordWrap/>
              <w:overflowPunct/>
              <w:topLinePunct w:val="0"/>
              <w:autoSpaceDE/>
              <w:autoSpaceDN/>
              <w:bidi w:val="0"/>
              <w:adjustRightInd/>
              <w:snapToGrid/>
              <w:spacing w:line="360" w:lineRule="auto"/>
              <w:ind w:leftChars="0"/>
              <w:jc w:val="left"/>
              <w:textAlignment w:val="auto"/>
              <w:rPr>
                <w:rFonts w:hint="eastAsia"/>
                <w:b w:val="0"/>
                <w:bCs w:val="0"/>
                <w:sz w:val="21"/>
                <w:szCs w:val="21"/>
                <w:lang w:val="en-US" w:eastAsia="zh-CN"/>
              </w:rPr>
            </w:pPr>
            <w:r>
              <w:rPr>
                <w:rFonts w:hint="eastAsia"/>
                <w:b w:val="0"/>
                <w:bCs w:val="0"/>
                <w:sz w:val="21"/>
                <w:szCs w:val="21"/>
                <w:lang w:val="en-US" w:eastAsia="zh-CN"/>
              </w:rPr>
              <w:t>抢救、救援方式、方法及人员的防护、监护措施</w:t>
            </w:r>
          </w:p>
          <w:p w14:paraId="502F6E6B">
            <w:pPr>
              <w:keepNext w:val="0"/>
              <w:keepLines w:val="0"/>
              <w:pageBreakBefore w:val="0"/>
              <w:widowControl w:val="0"/>
              <w:numPr>
                <w:ilvl w:val="0"/>
                <w:numId w:val="9"/>
              </w:numPr>
              <w:kinsoku/>
              <w:wordWrap/>
              <w:overflowPunct/>
              <w:topLinePunct w:val="0"/>
              <w:autoSpaceDE/>
              <w:autoSpaceDN/>
              <w:bidi w:val="0"/>
              <w:adjustRightInd/>
              <w:snapToGrid/>
              <w:spacing w:line="360" w:lineRule="auto"/>
              <w:jc w:val="left"/>
              <w:textAlignment w:val="auto"/>
              <w:rPr>
                <w:rFonts w:hint="eastAsia"/>
                <w:b w:val="0"/>
                <w:bCs w:val="0"/>
                <w:sz w:val="21"/>
                <w:szCs w:val="21"/>
                <w:lang w:val="en-US" w:eastAsia="zh-CN"/>
              </w:rPr>
            </w:pPr>
            <w:r>
              <w:rPr>
                <w:rFonts w:hint="eastAsia"/>
                <w:b w:val="0"/>
                <w:bCs w:val="0"/>
                <w:sz w:val="21"/>
                <w:szCs w:val="21"/>
                <w:lang w:val="en-US" w:eastAsia="zh-CN"/>
              </w:rPr>
              <w:t>）运输易燃、易爆物品气瓶发生事故的处理方式</w:t>
            </w:r>
          </w:p>
          <w:p w14:paraId="172E8027">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b w:val="0"/>
                <w:bCs w:val="0"/>
                <w:sz w:val="21"/>
                <w:szCs w:val="21"/>
                <w:lang w:val="en-US" w:eastAsia="zh-CN"/>
              </w:rPr>
            </w:pPr>
            <w:r>
              <w:rPr>
                <w:rFonts w:hint="eastAsia"/>
                <w:b w:val="0"/>
                <w:bCs w:val="0"/>
                <w:sz w:val="21"/>
                <w:szCs w:val="21"/>
                <w:lang w:val="en-US" w:eastAsia="zh-CN"/>
              </w:rPr>
              <w:t>关闭钢瓶阀门，如果无法拧紧阀门，迅速将车辆开到空旷无人区域任其泄露尽。车辆无法开动时应向气瓶大量浇水，使其冷却并移出危险区域。安全转移气瓶，逐个卸车，严禁踢、倾、摔、碰溜放卸车，注意防止气瓶安全帽脱落，气瓶安放时必须稳妥。</w:t>
            </w:r>
          </w:p>
          <w:p w14:paraId="339C326C">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0" w:leftChars="0" w:firstLine="0" w:firstLineChars="0"/>
              <w:jc w:val="left"/>
              <w:textAlignment w:val="auto"/>
              <w:rPr>
                <w:rFonts w:hint="eastAsia"/>
                <w:b w:val="0"/>
                <w:bCs w:val="0"/>
                <w:sz w:val="21"/>
                <w:szCs w:val="21"/>
                <w:lang w:val="en-US" w:eastAsia="zh-CN"/>
              </w:rPr>
            </w:pPr>
            <w:r>
              <w:rPr>
                <w:rFonts w:hint="eastAsia"/>
                <w:b w:val="0"/>
                <w:bCs w:val="0"/>
                <w:sz w:val="21"/>
                <w:szCs w:val="21"/>
                <w:lang w:val="en-US" w:eastAsia="zh-CN"/>
              </w:rPr>
              <w:t>）运输易燃液体发生事故的处理方式</w:t>
            </w:r>
          </w:p>
          <w:p w14:paraId="1AB5BFE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eastAsia"/>
                <w:b w:val="0"/>
                <w:bCs w:val="0"/>
                <w:sz w:val="21"/>
                <w:szCs w:val="21"/>
                <w:lang w:val="en-US" w:eastAsia="zh-CN"/>
              </w:rPr>
            </w:pPr>
            <w:r>
              <w:rPr>
                <w:rFonts w:hint="eastAsia"/>
                <w:b w:val="0"/>
                <w:bCs w:val="0"/>
                <w:sz w:val="21"/>
                <w:szCs w:val="21"/>
                <w:lang w:val="en-US" w:eastAsia="zh-CN"/>
              </w:rPr>
              <w:t>轻装容器，有泄漏现象时，应及时将渗漏部位朝上，并移至安全通风处，进行黏补和更换包装。已经泄露的物品用纱布覆盖后扫干净，发现中毒，应立即将中毒人员移到空气流通处。</w:t>
            </w:r>
          </w:p>
          <w:p w14:paraId="27CB0CCE">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0" w:leftChars="0" w:firstLine="0" w:firstLineChars="0"/>
              <w:jc w:val="left"/>
              <w:textAlignment w:val="auto"/>
              <w:rPr>
                <w:rFonts w:hint="eastAsia"/>
                <w:b w:val="0"/>
                <w:bCs w:val="0"/>
                <w:sz w:val="21"/>
                <w:szCs w:val="21"/>
                <w:lang w:val="en-US" w:eastAsia="zh-CN"/>
              </w:rPr>
            </w:pPr>
            <w:r>
              <w:rPr>
                <w:rFonts w:hint="eastAsia"/>
                <w:b w:val="0"/>
                <w:bCs w:val="0"/>
                <w:sz w:val="21"/>
                <w:szCs w:val="21"/>
                <w:lang w:val="en-US" w:eastAsia="zh-CN"/>
              </w:rPr>
              <w:t>）运输腐蚀品发生事故的处理方式</w:t>
            </w:r>
          </w:p>
          <w:p w14:paraId="3CAAA34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eastAsia"/>
                <w:b w:val="0"/>
                <w:bCs w:val="0"/>
                <w:sz w:val="21"/>
                <w:szCs w:val="21"/>
                <w:lang w:val="en-US" w:eastAsia="zh-CN"/>
              </w:rPr>
            </w:pPr>
            <w:r>
              <w:rPr>
                <w:rFonts w:hint="eastAsia"/>
                <w:b w:val="0"/>
                <w:bCs w:val="0"/>
                <w:sz w:val="21"/>
                <w:szCs w:val="21"/>
                <w:lang w:val="en-US" w:eastAsia="zh-CN"/>
              </w:rPr>
              <w:t>腐蚀品货物发生泄露时用沙土覆盖吸收，对遇水发生剧烈反应的，不得用水直接喷射补救，以防腐蚀品飞溅，补救人员必须穿戴防护用品，对散发腐蚀性气体的危化品，必须使用防毒面具，补救人员应站在上风处。人体被腐蚀品灼伤处，应立即用大量水冲洗，必要时送医院就诊。</w:t>
            </w:r>
          </w:p>
          <w:p w14:paraId="596E0FE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eastAsia" w:eastAsia="宋体"/>
                <w:b w:val="0"/>
                <w:bCs w:val="0"/>
                <w:sz w:val="21"/>
                <w:szCs w:val="21"/>
                <w:lang w:val="en-US" w:eastAsia="zh-CN"/>
              </w:rPr>
            </w:pPr>
            <w:r>
              <w:rPr>
                <w:rFonts w:hint="eastAsia"/>
                <w:b w:val="0"/>
                <w:bCs w:val="0"/>
                <w:sz w:val="21"/>
                <w:szCs w:val="21"/>
                <w:lang w:val="en-US" w:eastAsia="zh-CN"/>
              </w:rPr>
              <w:t>C、翻车的应对措施</w:t>
            </w:r>
          </w:p>
          <w:p w14:paraId="2234F920">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b w:val="0"/>
                <w:bCs w:val="0"/>
                <w:sz w:val="21"/>
                <w:szCs w:val="21"/>
                <w:lang w:val="en-US" w:eastAsia="zh-CN"/>
              </w:rPr>
            </w:pPr>
            <w:r>
              <w:rPr>
                <w:rFonts w:hint="eastAsia"/>
                <w:b w:val="0"/>
                <w:bCs w:val="0"/>
                <w:sz w:val="21"/>
                <w:szCs w:val="21"/>
                <w:lang w:val="en-US" w:eastAsia="zh-CN"/>
              </w:rPr>
              <w:t>(1、)发生翻车事故，驾驶员、押运员应立即自救，离开驾驶室。</w:t>
            </w:r>
          </w:p>
          <w:p w14:paraId="6FC4050F">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b w:val="0"/>
                <w:bCs w:val="0"/>
                <w:sz w:val="21"/>
                <w:szCs w:val="21"/>
                <w:lang w:val="en-US" w:eastAsia="zh-CN"/>
              </w:rPr>
            </w:pPr>
            <w:r>
              <w:rPr>
                <w:rFonts w:hint="eastAsia"/>
                <w:b w:val="0"/>
                <w:bCs w:val="0"/>
                <w:sz w:val="21"/>
                <w:szCs w:val="21"/>
                <w:lang w:val="en-US" w:eastAsia="zh-CN"/>
              </w:rPr>
              <w:t>（2、）根据车辆翻车地点的地形和车辆重心，就地取材稳定车辆重心，防止车辆继续滚滑，扩大险情。</w:t>
            </w:r>
          </w:p>
          <w:p w14:paraId="2405ACF3">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b w:val="0"/>
                <w:bCs w:val="0"/>
                <w:sz w:val="21"/>
                <w:szCs w:val="21"/>
                <w:lang w:val="en-US" w:eastAsia="zh-CN"/>
              </w:rPr>
            </w:pPr>
            <w:r>
              <w:rPr>
                <w:rFonts w:hint="eastAsia"/>
                <w:b w:val="0"/>
                <w:bCs w:val="0"/>
                <w:sz w:val="21"/>
                <w:szCs w:val="21"/>
                <w:lang w:val="en-US" w:eastAsia="zh-CN"/>
              </w:rPr>
              <w:t>（3、）发生泄露立即向消防119，救护120，交通事故122、治安110报警救援，向公司领导报告。在消防人员未到达前做好现场看护工作。警告闲杂人员离开，现场隔离50米范围静止明火。</w:t>
            </w:r>
          </w:p>
          <w:p w14:paraId="0D06D8CA">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b w:val="0"/>
                <w:bCs w:val="0"/>
                <w:sz w:val="21"/>
                <w:szCs w:val="21"/>
                <w:lang w:val="en-US" w:eastAsia="zh-CN"/>
              </w:rPr>
            </w:pPr>
            <w:r>
              <w:rPr>
                <w:rFonts w:hint="eastAsia"/>
                <w:b w:val="0"/>
                <w:bCs w:val="0"/>
                <w:sz w:val="21"/>
                <w:szCs w:val="21"/>
                <w:lang w:val="en-US" w:eastAsia="zh-CN"/>
              </w:rPr>
              <w:t>（4、）公安。消防人员到达现场后，听从指挥，协调调查处理，若有伤员立即设法抢救。</w:t>
            </w:r>
          </w:p>
          <w:p w14:paraId="5206B97C">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b w:val="0"/>
                <w:bCs w:val="0"/>
                <w:sz w:val="21"/>
                <w:szCs w:val="21"/>
                <w:lang w:val="en-US" w:eastAsia="zh-CN"/>
              </w:rPr>
            </w:pPr>
            <w:r>
              <w:rPr>
                <w:rFonts w:hint="eastAsia"/>
                <w:b w:val="0"/>
                <w:bCs w:val="0"/>
                <w:sz w:val="21"/>
                <w:szCs w:val="21"/>
                <w:lang w:val="en-US" w:eastAsia="zh-CN"/>
              </w:rPr>
              <w:t>d、泄露的应对措施</w:t>
            </w:r>
          </w:p>
          <w:p w14:paraId="45497486">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b w:val="0"/>
                <w:bCs w:val="0"/>
                <w:sz w:val="21"/>
                <w:szCs w:val="21"/>
                <w:lang w:val="en-US" w:eastAsia="zh-CN"/>
              </w:rPr>
            </w:pPr>
            <w:r>
              <w:rPr>
                <w:rFonts w:hint="eastAsia"/>
                <w:b w:val="0"/>
                <w:bCs w:val="0"/>
                <w:sz w:val="21"/>
                <w:szCs w:val="21"/>
                <w:lang w:val="en-US" w:eastAsia="zh-CN"/>
              </w:rPr>
              <w:t>（1、）尽快驶离（拖）人群密集，到空旷区域，将发动机熄火，并切断车辆总电源。尽快堵塞、倒桶或卸料作业，并向公司领导报告泄露原因，泄露数量。</w:t>
            </w:r>
          </w:p>
          <w:p w14:paraId="1407D255">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b w:val="0"/>
                <w:bCs w:val="0"/>
                <w:sz w:val="21"/>
                <w:szCs w:val="21"/>
                <w:lang w:val="en-US" w:eastAsia="zh-CN"/>
              </w:rPr>
            </w:pPr>
            <w:r>
              <w:rPr>
                <w:rFonts w:hint="eastAsia"/>
                <w:b w:val="0"/>
                <w:bCs w:val="0"/>
                <w:sz w:val="21"/>
                <w:szCs w:val="21"/>
                <w:lang w:val="en-US" w:eastAsia="zh-CN"/>
              </w:rPr>
              <w:t>（2、）泄露较大时应向消防119、救护120、交通事故122，治安110报警救援，现场隔离，要在泄露点50米范围内设置禁火区域，禁止车辆驶入，明火进入或其他可能产生火花的作业，119、120/122到达现场后，服从指挥，配合抢险。</w:t>
            </w:r>
          </w:p>
          <w:p w14:paraId="408B90B3">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b w:val="0"/>
                <w:bCs w:val="0"/>
                <w:sz w:val="21"/>
                <w:szCs w:val="21"/>
                <w:lang w:val="en-US" w:eastAsia="zh-CN"/>
              </w:rPr>
            </w:pPr>
            <w:r>
              <w:rPr>
                <w:rFonts w:hint="eastAsia"/>
                <w:b w:val="0"/>
                <w:bCs w:val="0"/>
                <w:sz w:val="21"/>
                <w:szCs w:val="21"/>
                <w:lang w:val="en-US" w:eastAsia="zh-CN"/>
              </w:rPr>
              <w:t>（3、）因交通事故造成的泄露，待交警到场后，主动接受事故调查。</w:t>
            </w:r>
          </w:p>
          <w:p w14:paraId="34EB34D8">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b w:val="0"/>
                <w:bCs w:val="0"/>
                <w:sz w:val="21"/>
                <w:szCs w:val="21"/>
                <w:lang w:val="en-US" w:eastAsia="zh-CN"/>
              </w:rPr>
            </w:pPr>
            <w:r>
              <w:rPr>
                <w:rFonts w:hint="eastAsia"/>
                <w:b w:val="0"/>
                <w:bCs w:val="0"/>
                <w:sz w:val="21"/>
                <w:szCs w:val="21"/>
                <w:lang w:val="en-US" w:eastAsia="zh-CN"/>
              </w:rPr>
              <w:t>e、火灾、爆炸事故的应对措施</w:t>
            </w:r>
          </w:p>
          <w:p w14:paraId="57E403A8">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b w:val="0"/>
                <w:bCs w:val="0"/>
                <w:sz w:val="21"/>
                <w:szCs w:val="21"/>
                <w:lang w:val="en-US" w:eastAsia="zh-CN"/>
              </w:rPr>
            </w:pPr>
            <w:r>
              <w:rPr>
                <w:rFonts w:hint="eastAsia"/>
                <w:b w:val="0"/>
                <w:bCs w:val="0"/>
                <w:sz w:val="21"/>
                <w:szCs w:val="21"/>
                <w:lang w:val="en-US" w:eastAsia="zh-CN"/>
              </w:rPr>
              <w:t>（1、）当火势可以控制的情况下，应迅速将车辆驶离（脱离）至空旷区域，以中断灾情的进一步扩大。</w:t>
            </w:r>
          </w:p>
          <w:p w14:paraId="077B13C3">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b w:val="0"/>
                <w:bCs w:val="0"/>
                <w:sz w:val="21"/>
                <w:szCs w:val="21"/>
                <w:lang w:val="en-US" w:eastAsia="zh-CN"/>
              </w:rPr>
            </w:pPr>
            <w:r>
              <w:rPr>
                <w:rFonts w:hint="eastAsia"/>
                <w:b w:val="0"/>
                <w:bCs w:val="0"/>
                <w:sz w:val="21"/>
                <w:szCs w:val="21"/>
                <w:lang w:val="en-US" w:eastAsia="zh-CN"/>
              </w:rPr>
              <w:t>（2、）火情初始，驾驶员和押运员应立即用随身携带的灭火器对准火焰根部灭火，或用其他方法中断燃烧，当火势猛烈灭火无效时。应立即撤离人员，中断交通。并立即向消防119、交通122、治安110报警，并向公司领导汇报。</w:t>
            </w:r>
          </w:p>
          <w:p w14:paraId="5439FBEC">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b w:val="0"/>
                <w:bCs w:val="0"/>
                <w:sz w:val="21"/>
                <w:szCs w:val="21"/>
                <w:lang w:val="en-US" w:eastAsia="zh-CN"/>
              </w:rPr>
            </w:pPr>
            <w:r>
              <w:rPr>
                <w:rFonts w:hint="eastAsia"/>
                <w:b w:val="0"/>
                <w:bCs w:val="0"/>
                <w:sz w:val="21"/>
                <w:szCs w:val="21"/>
                <w:lang w:val="en-US" w:eastAsia="zh-CN"/>
              </w:rPr>
              <w:t>（3、）发生爆炸和爆炸后燃烧，所有人员立即撤离，如有人员伤亡应通知120急救中心。</w:t>
            </w:r>
          </w:p>
          <w:p w14:paraId="6D8EB69C">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b w:val="0"/>
                <w:bCs w:val="0"/>
                <w:sz w:val="21"/>
                <w:szCs w:val="21"/>
                <w:lang w:val="en-US" w:eastAsia="zh-CN"/>
              </w:rPr>
            </w:pPr>
            <w:r>
              <w:rPr>
                <w:rFonts w:hint="eastAsia"/>
                <w:b w:val="0"/>
                <w:bCs w:val="0"/>
                <w:sz w:val="21"/>
                <w:szCs w:val="21"/>
                <w:lang w:val="en-US" w:eastAsia="zh-CN"/>
              </w:rPr>
              <w:t>（4、）事故救援人员到场后，做好配合并协助进行事故调查。</w:t>
            </w:r>
          </w:p>
          <w:p w14:paraId="1A3D70FA">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b w:val="0"/>
                <w:bCs w:val="0"/>
                <w:sz w:val="21"/>
                <w:szCs w:val="21"/>
                <w:lang w:val="en-US" w:eastAsia="zh-CN"/>
              </w:rPr>
            </w:pPr>
            <w:r>
              <w:rPr>
                <w:rFonts w:hint="eastAsia"/>
                <w:b w:val="0"/>
                <w:bCs w:val="0"/>
                <w:sz w:val="21"/>
                <w:szCs w:val="21"/>
                <w:lang w:val="en-US" w:eastAsia="zh-CN"/>
              </w:rPr>
              <w:t>F、装车的应对措施</w:t>
            </w:r>
          </w:p>
          <w:p w14:paraId="3D8DB4FD">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b w:val="0"/>
                <w:bCs w:val="0"/>
                <w:sz w:val="21"/>
                <w:szCs w:val="21"/>
                <w:lang w:val="en-US" w:eastAsia="zh-CN"/>
              </w:rPr>
            </w:pPr>
            <w:r>
              <w:rPr>
                <w:rFonts w:hint="eastAsia"/>
                <w:b w:val="0"/>
                <w:bCs w:val="0"/>
                <w:sz w:val="21"/>
                <w:szCs w:val="21"/>
                <w:lang w:val="en-US" w:eastAsia="zh-CN"/>
              </w:rPr>
              <w:t>（1、）发生撞车事故后，迅速拨打交通122，协助调查。</w:t>
            </w:r>
          </w:p>
          <w:p w14:paraId="249DCF0B">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b w:val="0"/>
                <w:bCs w:val="0"/>
                <w:sz w:val="21"/>
                <w:szCs w:val="21"/>
                <w:lang w:val="en-US" w:eastAsia="zh-CN"/>
              </w:rPr>
            </w:pPr>
            <w:r>
              <w:rPr>
                <w:rFonts w:hint="eastAsia"/>
                <w:b w:val="0"/>
                <w:bCs w:val="0"/>
                <w:sz w:val="21"/>
                <w:szCs w:val="21"/>
                <w:lang w:val="en-US" w:eastAsia="zh-CN"/>
              </w:rPr>
              <w:t>（2、）当事故双方有生命危险或货物剧烈反应（污染环境、火灾爆炸等），驾押人员立即向119、120、122报警请求救援，同时保护现场，请求路过车辆、群众紧急抢救，抢险。已造成危化泄露的按“泄露预案”执行。造成火灾爆炸的按“火灾、爆炸预案”执行。</w:t>
            </w:r>
          </w:p>
          <w:p w14:paraId="40028210">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b w:val="0"/>
                <w:bCs w:val="0"/>
                <w:sz w:val="21"/>
                <w:szCs w:val="21"/>
                <w:lang w:val="en-US" w:eastAsia="zh-CN"/>
              </w:rPr>
            </w:pPr>
            <w:r>
              <w:rPr>
                <w:rFonts w:hint="eastAsia"/>
                <w:b w:val="0"/>
                <w:bCs w:val="0"/>
                <w:sz w:val="21"/>
                <w:szCs w:val="21"/>
                <w:lang w:val="en-US" w:eastAsia="zh-CN"/>
              </w:rPr>
              <w:t>（3、）救援人员到来后，服从指挥，配合做好善后处理，调查取证工作。</w:t>
            </w:r>
          </w:p>
          <w:p w14:paraId="4C81523A">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b w:val="0"/>
                <w:bCs w:val="0"/>
                <w:sz w:val="21"/>
                <w:szCs w:val="21"/>
                <w:lang w:val="en-US" w:eastAsia="zh-CN"/>
              </w:rPr>
            </w:pPr>
            <w:r>
              <w:rPr>
                <w:rFonts w:hint="eastAsia"/>
                <w:b w:val="0"/>
                <w:bCs w:val="0"/>
                <w:sz w:val="21"/>
                <w:szCs w:val="21"/>
                <w:lang w:val="en-US" w:eastAsia="zh-CN"/>
              </w:rPr>
              <w:t>G、车辆坠落的应对措施</w:t>
            </w:r>
          </w:p>
          <w:p w14:paraId="1F3E07A6">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b w:val="0"/>
                <w:bCs w:val="0"/>
                <w:sz w:val="21"/>
                <w:szCs w:val="21"/>
                <w:lang w:val="en-US" w:eastAsia="zh-CN"/>
              </w:rPr>
            </w:pPr>
            <w:r>
              <w:rPr>
                <w:rFonts w:hint="eastAsia"/>
                <w:b w:val="0"/>
                <w:bCs w:val="0"/>
                <w:sz w:val="21"/>
                <w:szCs w:val="21"/>
                <w:lang w:val="en-US" w:eastAsia="zh-CN"/>
              </w:rPr>
              <w:t>(1、)当发生车辆公路坠落或坠河时，驾驶员、押运员要迅速逃生，逃生后及时向有关部门报告，请求支援。</w:t>
            </w:r>
          </w:p>
          <w:p w14:paraId="2801D248">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b w:val="0"/>
                <w:bCs w:val="0"/>
                <w:sz w:val="21"/>
                <w:szCs w:val="21"/>
                <w:lang w:val="en-US" w:eastAsia="zh-CN"/>
              </w:rPr>
            </w:pPr>
            <w:r>
              <w:rPr>
                <w:rFonts w:hint="eastAsia"/>
                <w:b w:val="0"/>
                <w:bCs w:val="0"/>
                <w:sz w:val="21"/>
                <w:szCs w:val="21"/>
                <w:lang w:val="en-US" w:eastAsia="zh-CN"/>
              </w:rPr>
              <w:t>（2、）事故发生造成的污染，要通知环保部门，由环保部门决定采取应急对策。</w:t>
            </w:r>
          </w:p>
          <w:p w14:paraId="0DC62321">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b w:val="0"/>
                <w:bCs w:val="0"/>
                <w:sz w:val="21"/>
                <w:szCs w:val="21"/>
                <w:lang w:val="en-US" w:eastAsia="zh-CN"/>
              </w:rPr>
            </w:pPr>
            <w:r>
              <w:rPr>
                <w:rFonts w:hint="eastAsia"/>
                <w:b w:val="0"/>
                <w:bCs w:val="0"/>
                <w:sz w:val="21"/>
                <w:szCs w:val="21"/>
                <w:lang w:val="en-US" w:eastAsia="zh-CN"/>
              </w:rPr>
              <w:t>（3、）事故中受伤人员，视情况实施急救措施，并向120急救中心求救，电话说清楚事故发生地点，产生伤害的原因，并做好应急处理，当救援车没有到达时，可拦截汽车将伤员送往医院，用手机与120急救中心保持联系，并听从救援指令。</w:t>
            </w:r>
          </w:p>
          <w:p w14:paraId="1B568DCA">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b w:val="0"/>
                <w:bCs w:val="0"/>
                <w:sz w:val="21"/>
                <w:szCs w:val="21"/>
                <w:lang w:val="en-US" w:eastAsia="zh-CN"/>
              </w:rPr>
            </w:pPr>
            <w:r>
              <w:rPr>
                <w:rFonts w:hint="eastAsia"/>
                <w:b w:val="0"/>
                <w:bCs w:val="0"/>
                <w:sz w:val="21"/>
                <w:szCs w:val="21"/>
                <w:lang w:val="en-US" w:eastAsia="zh-CN"/>
              </w:rPr>
              <w:t>H、现场保护与现场洗消</w:t>
            </w:r>
          </w:p>
          <w:p w14:paraId="18197C7E">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b w:val="0"/>
                <w:bCs w:val="0"/>
                <w:sz w:val="21"/>
                <w:szCs w:val="21"/>
                <w:lang w:val="en-US" w:eastAsia="zh-CN"/>
              </w:rPr>
            </w:pPr>
            <w:r>
              <w:rPr>
                <w:rFonts w:hint="eastAsia"/>
                <w:b w:val="0"/>
                <w:bCs w:val="0"/>
                <w:sz w:val="21"/>
                <w:szCs w:val="21"/>
                <w:lang w:val="en-US" w:eastAsia="zh-CN"/>
              </w:rPr>
              <w:t>（1、）当事故发生后驾驶员、押运员应设立警报，划定安全区，疏散周围群众，保护好现场。</w:t>
            </w:r>
          </w:p>
          <w:p w14:paraId="382E5871">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b w:val="0"/>
                <w:bCs w:val="0"/>
                <w:sz w:val="21"/>
                <w:szCs w:val="21"/>
                <w:lang w:val="en-US" w:eastAsia="zh-CN"/>
              </w:rPr>
            </w:pPr>
            <w:r>
              <w:rPr>
                <w:rFonts w:hint="eastAsia"/>
                <w:b w:val="0"/>
                <w:bCs w:val="0"/>
                <w:sz w:val="21"/>
                <w:szCs w:val="21"/>
                <w:lang w:val="en-US" w:eastAsia="zh-CN"/>
              </w:rPr>
              <w:t>（2）现场洗消</w:t>
            </w:r>
          </w:p>
          <w:p w14:paraId="62D81262">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b w:val="0"/>
                <w:bCs w:val="0"/>
                <w:sz w:val="21"/>
                <w:szCs w:val="21"/>
                <w:lang w:val="en-US" w:eastAsia="zh-CN"/>
              </w:rPr>
            </w:pPr>
            <w:r>
              <w:rPr>
                <w:rFonts w:hint="eastAsia"/>
                <w:b w:val="0"/>
                <w:bCs w:val="0"/>
                <w:sz w:val="21"/>
                <w:szCs w:val="21"/>
                <w:lang w:val="en-US" w:eastAsia="zh-CN"/>
              </w:rPr>
              <w:t>洗消失消除化学污染的有效方法。要针对泄露危化品的特性，及时搞好现场洗消，车辆和设备的洗消，填写事故现场记录</w:t>
            </w:r>
          </w:p>
          <w:p w14:paraId="4C944EA6">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0" w:firstLineChars="0"/>
              <w:jc w:val="left"/>
              <w:textAlignment w:val="auto"/>
              <w:rPr>
                <w:rFonts w:hint="eastAsia"/>
                <w:b w:val="0"/>
                <w:bCs w:val="0"/>
                <w:sz w:val="21"/>
                <w:szCs w:val="21"/>
                <w:lang w:val="en-US" w:eastAsia="zh-CN"/>
              </w:rPr>
            </w:pPr>
            <w:r>
              <w:rPr>
                <w:rFonts w:hint="eastAsia"/>
                <w:b w:val="0"/>
                <w:bCs w:val="0"/>
                <w:sz w:val="21"/>
                <w:szCs w:val="21"/>
                <w:lang w:val="en-US" w:eastAsia="zh-CN"/>
              </w:rPr>
              <w:t>发生意外突发事故的应急措施</w:t>
            </w:r>
          </w:p>
          <w:p w14:paraId="6034AC84">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Chars="0"/>
              <w:jc w:val="left"/>
              <w:textAlignment w:val="auto"/>
              <w:rPr>
                <w:rFonts w:hint="eastAsia"/>
                <w:b w:val="0"/>
                <w:bCs w:val="0"/>
                <w:sz w:val="21"/>
                <w:szCs w:val="21"/>
                <w:lang w:val="en-US" w:eastAsia="zh-CN"/>
              </w:rPr>
            </w:pPr>
            <w:r>
              <w:rPr>
                <w:rFonts w:hint="eastAsia"/>
                <w:b w:val="0"/>
                <w:bCs w:val="0"/>
                <w:sz w:val="21"/>
                <w:szCs w:val="21"/>
                <w:lang w:val="en-US" w:eastAsia="zh-CN"/>
              </w:rPr>
              <w:t>产生单位的应急措施</w:t>
            </w:r>
          </w:p>
          <w:p w14:paraId="4CDFB324">
            <w:pPr>
              <w:keepNext w:val="0"/>
              <w:keepLines w:val="0"/>
              <w:pageBreakBefore w:val="0"/>
              <w:widowControl w:val="0"/>
              <w:numPr>
                <w:ilvl w:val="0"/>
                <w:numId w:val="11"/>
              </w:numPr>
              <w:kinsoku/>
              <w:wordWrap/>
              <w:overflowPunct/>
              <w:topLinePunct w:val="0"/>
              <w:autoSpaceDE/>
              <w:autoSpaceDN/>
              <w:bidi w:val="0"/>
              <w:adjustRightInd/>
              <w:snapToGrid/>
              <w:spacing w:line="360" w:lineRule="auto"/>
              <w:jc w:val="left"/>
              <w:textAlignment w:val="auto"/>
              <w:rPr>
                <w:rFonts w:hint="eastAsia"/>
                <w:b w:val="0"/>
                <w:bCs w:val="0"/>
                <w:sz w:val="21"/>
                <w:szCs w:val="21"/>
                <w:lang w:val="en-US" w:eastAsia="zh-CN"/>
              </w:rPr>
            </w:pPr>
            <w:r>
              <w:rPr>
                <w:rFonts w:hint="eastAsia"/>
                <w:b w:val="0"/>
                <w:bCs w:val="0"/>
                <w:sz w:val="21"/>
                <w:szCs w:val="21"/>
                <w:lang w:val="en-US" w:eastAsia="zh-CN"/>
              </w:rPr>
              <w:t>废物在运输过程中，全程录像，直至废物运输车辆安全到达目的地。</w:t>
            </w:r>
          </w:p>
          <w:p w14:paraId="2099C12D">
            <w:pPr>
              <w:keepNext w:val="0"/>
              <w:keepLines w:val="0"/>
              <w:pageBreakBefore w:val="0"/>
              <w:widowControl w:val="0"/>
              <w:numPr>
                <w:ilvl w:val="0"/>
                <w:numId w:val="11"/>
              </w:numPr>
              <w:kinsoku/>
              <w:wordWrap/>
              <w:overflowPunct/>
              <w:topLinePunct w:val="0"/>
              <w:autoSpaceDE/>
              <w:autoSpaceDN/>
              <w:bidi w:val="0"/>
              <w:adjustRightInd/>
              <w:snapToGrid/>
              <w:spacing w:line="360" w:lineRule="auto"/>
              <w:jc w:val="left"/>
              <w:textAlignment w:val="auto"/>
              <w:rPr>
                <w:rFonts w:hint="default"/>
                <w:b w:val="0"/>
                <w:bCs w:val="0"/>
                <w:sz w:val="21"/>
                <w:szCs w:val="21"/>
                <w:lang w:val="en-US" w:eastAsia="zh-CN"/>
              </w:rPr>
            </w:pPr>
            <w:r>
              <w:rPr>
                <w:rFonts w:hint="eastAsia"/>
                <w:b w:val="0"/>
                <w:bCs w:val="0"/>
                <w:sz w:val="21"/>
                <w:szCs w:val="21"/>
                <w:lang w:val="en-US" w:eastAsia="zh-CN"/>
              </w:rPr>
              <w:t xml:space="preserve"> 发生突发事故时按照事故的严重性，紧急程度和可能波及的范围，对突发性环境污染事故进行分级。有关信息证明突发性环境污染事故发生或者发生可能性增大时，按照相关应急预案执行，并与当地环保部门联系，取得当地环保部门的支持，迅速疏散周围无关人员和周边群众。隔离泄露污染区及时拨打119报警，请求消防人员救援，同时保护好现场。也可以拨打110和120，取得当地公安交警及附近医疗单位的支持。</w:t>
            </w:r>
          </w:p>
          <w:p w14:paraId="17ECADDF">
            <w:pPr>
              <w:keepNext w:val="0"/>
              <w:keepLines w:val="0"/>
              <w:pageBreakBefore w:val="0"/>
              <w:widowControl w:val="0"/>
              <w:numPr>
                <w:ilvl w:val="0"/>
                <w:numId w:val="11"/>
              </w:numPr>
              <w:kinsoku/>
              <w:wordWrap/>
              <w:overflowPunct/>
              <w:topLinePunct w:val="0"/>
              <w:autoSpaceDE/>
              <w:autoSpaceDN/>
              <w:bidi w:val="0"/>
              <w:adjustRightInd/>
              <w:snapToGrid/>
              <w:spacing w:line="360" w:lineRule="auto"/>
              <w:jc w:val="left"/>
              <w:textAlignment w:val="auto"/>
              <w:rPr>
                <w:rFonts w:hint="default"/>
                <w:b w:val="0"/>
                <w:bCs w:val="0"/>
                <w:sz w:val="21"/>
                <w:szCs w:val="21"/>
                <w:lang w:val="en-US" w:eastAsia="zh-CN"/>
              </w:rPr>
            </w:pPr>
            <w:r>
              <w:rPr>
                <w:rFonts w:hint="eastAsia"/>
                <w:b w:val="0"/>
                <w:bCs w:val="0"/>
                <w:sz w:val="21"/>
                <w:szCs w:val="21"/>
                <w:lang w:val="en-US" w:eastAsia="zh-CN"/>
              </w:rPr>
              <w:t>在有关单位和部门人员的指导下，负责指导，协调单位内部突发性污染事故的应对工作，协助有关部门发布预警通告，告知或转移，撤离或者疏散可能受到伤害的人员并进行妥善安置。</w:t>
            </w:r>
          </w:p>
          <w:p w14:paraId="52E321FB">
            <w:pPr>
              <w:keepNext w:val="0"/>
              <w:keepLines w:val="0"/>
              <w:pageBreakBefore w:val="0"/>
              <w:widowControl w:val="0"/>
              <w:numPr>
                <w:ilvl w:val="0"/>
                <w:numId w:val="11"/>
              </w:numPr>
              <w:kinsoku/>
              <w:wordWrap/>
              <w:overflowPunct/>
              <w:topLinePunct w:val="0"/>
              <w:autoSpaceDE/>
              <w:autoSpaceDN/>
              <w:bidi w:val="0"/>
              <w:adjustRightInd/>
              <w:snapToGrid/>
              <w:spacing w:line="360" w:lineRule="auto"/>
              <w:jc w:val="left"/>
              <w:textAlignment w:val="auto"/>
              <w:rPr>
                <w:rFonts w:hint="eastAsia"/>
                <w:b w:val="0"/>
                <w:bCs w:val="0"/>
                <w:sz w:val="21"/>
                <w:szCs w:val="21"/>
                <w:lang w:val="en-US" w:eastAsia="zh-CN"/>
              </w:rPr>
            </w:pPr>
            <w:r>
              <w:rPr>
                <w:rFonts w:hint="eastAsia"/>
                <w:b w:val="0"/>
                <w:bCs w:val="0"/>
                <w:sz w:val="21"/>
                <w:szCs w:val="21"/>
                <w:lang w:val="en-US" w:eastAsia="zh-CN"/>
              </w:rPr>
              <w:t>半小时内向当地人民政府报告，同时报当地环保局，与前来处理的有关部门查清原因，采取一起紧急补救措施，同时封堵污染源，立即调集环境应急所需物资和设备对已排污染物采取补救措施，减轻影响，防止及时继续扩大。</w:t>
            </w:r>
          </w:p>
          <w:p w14:paraId="12CB5E13">
            <w:pPr>
              <w:keepNext w:val="0"/>
              <w:keepLines w:val="0"/>
              <w:pageBreakBefore w:val="0"/>
              <w:widowControl w:val="0"/>
              <w:numPr>
                <w:ilvl w:val="0"/>
                <w:numId w:val="11"/>
              </w:numPr>
              <w:kinsoku/>
              <w:wordWrap/>
              <w:overflowPunct/>
              <w:topLinePunct w:val="0"/>
              <w:autoSpaceDE/>
              <w:autoSpaceDN/>
              <w:bidi w:val="0"/>
              <w:adjustRightInd/>
              <w:snapToGrid/>
              <w:spacing w:line="360" w:lineRule="auto"/>
              <w:jc w:val="left"/>
              <w:textAlignment w:val="auto"/>
              <w:rPr>
                <w:rFonts w:hint="eastAsia"/>
                <w:b w:val="0"/>
                <w:bCs w:val="0"/>
                <w:sz w:val="21"/>
                <w:szCs w:val="21"/>
                <w:lang w:val="en-US" w:eastAsia="zh-CN"/>
              </w:rPr>
            </w:pPr>
            <w:r>
              <w:rPr>
                <w:rFonts w:hint="eastAsia"/>
                <w:b w:val="0"/>
                <w:bCs w:val="0"/>
                <w:sz w:val="21"/>
                <w:szCs w:val="21"/>
                <w:lang w:val="en-US" w:eastAsia="zh-CN"/>
              </w:rPr>
              <w:t>针对突发事故的危害。封闭、隔离或者限制使用有关场所。处理好受影响的群众生活，确保生命财产安全，建立重点防护区域并严格控制，防止人员受伤害。</w:t>
            </w:r>
          </w:p>
          <w:p w14:paraId="566CD0A6">
            <w:pPr>
              <w:keepNext w:val="0"/>
              <w:keepLines w:val="0"/>
              <w:pageBreakBefore w:val="0"/>
              <w:widowControl w:val="0"/>
              <w:numPr>
                <w:ilvl w:val="0"/>
                <w:numId w:val="11"/>
              </w:numPr>
              <w:kinsoku/>
              <w:wordWrap/>
              <w:overflowPunct/>
              <w:topLinePunct w:val="0"/>
              <w:autoSpaceDE/>
              <w:autoSpaceDN/>
              <w:bidi w:val="0"/>
              <w:adjustRightInd/>
              <w:snapToGrid/>
              <w:spacing w:line="360" w:lineRule="auto"/>
              <w:jc w:val="left"/>
              <w:textAlignment w:val="auto"/>
              <w:rPr>
                <w:rFonts w:hint="eastAsia"/>
                <w:b w:val="0"/>
                <w:bCs w:val="0"/>
                <w:sz w:val="21"/>
                <w:szCs w:val="21"/>
                <w:lang w:val="en-US" w:eastAsia="zh-CN"/>
              </w:rPr>
            </w:pPr>
            <w:r>
              <w:rPr>
                <w:rFonts w:hint="eastAsia"/>
                <w:b w:val="0"/>
                <w:bCs w:val="0"/>
                <w:sz w:val="21"/>
                <w:szCs w:val="21"/>
                <w:lang w:val="en-US" w:eastAsia="zh-CN"/>
              </w:rPr>
              <w:t>现场处置人在应急处理时应根据环境事故的特点，采取安全防护措施，严格执行应急人员出入事发现场程序。</w:t>
            </w:r>
          </w:p>
          <w:p w14:paraId="50B23B52">
            <w:pPr>
              <w:keepNext w:val="0"/>
              <w:keepLines w:val="0"/>
              <w:pageBreakBefore w:val="0"/>
              <w:widowControl w:val="0"/>
              <w:numPr>
                <w:ilvl w:val="0"/>
                <w:numId w:val="11"/>
              </w:numPr>
              <w:kinsoku/>
              <w:wordWrap/>
              <w:overflowPunct/>
              <w:topLinePunct w:val="0"/>
              <w:autoSpaceDE/>
              <w:autoSpaceDN/>
              <w:bidi w:val="0"/>
              <w:adjustRightInd/>
              <w:snapToGrid/>
              <w:spacing w:line="360" w:lineRule="auto"/>
              <w:jc w:val="left"/>
              <w:textAlignment w:val="auto"/>
              <w:rPr>
                <w:rFonts w:hint="eastAsia"/>
                <w:b w:val="0"/>
                <w:bCs w:val="0"/>
                <w:sz w:val="21"/>
                <w:szCs w:val="21"/>
                <w:lang w:val="en-US" w:eastAsia="zh-CN"/>
              </w:rPr>
            </w:pPr>
            <w:r>
              <w:rPr>
                <w:rFonts w:hint="eastAsia"/>
                <w:b w:val="0"/>
                <w:bCs w:val="0"/>
                <w:sz w:val="21"/>
                <w:szCs w:val="21"/>
                <w:lang w:val="en-US" w:eastAsia="zh-CN"/>
              </w:rPr>
              <w:t>配合现场应急救援指挥部负责组织群众的安全防护工作。根据突发性环境事故的性质、特点，告知群众应采取的安全防护措施。根据事发时当地的气象，地理环境，人员密集度，确定群众疏散的方式，配合有关部门组织群众安全疏散撤离。</w:t>
            </w:r>
          </w:p>
          <w:p w14:paraId="5920BEE3">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0" w:leftChars="0" w:firstLine="0" w:firstLineChars="0"/>
              <w:jc w:val="left"/>
              <w:textAlignment w:val="auto"/>
              <w:rPr>
                <w:rFonts w:hint="eastAsia"/>
                <w:b w:val="0"/>
                <w:bCs w:val="0"/>
                <w:sz w:val="21"/>
                <w:szCs w:val="21"/>
                <w:lang w:val="en-US" w:eastAsia="zh-CN"/>
              </w:rPr>
            </w:pPr>
            <w:r>
              <w:rPr>
                <w:rFonts w:hint="eastAsia"/>
                <w:b w:val="0"/>
                <w:bCs w:val="0"/>
                <w:sz w:val="21"/>
                <w:szCs w:val="21"/>
                <w:lang w:val="en-US" w:eastAsia="zh-CN"/>
              </w:rPr>
              <w:t>运输单位的应急措施（负责人：李秀云   联系电话：13567600688）</w:t>
            </w:r>
          </w:p>
          <w:p w14:paraId="380A388A">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Chars="0"/>
              <w:jc w:val="left"/>
              <w:textAlignment w:val="auto"/>
              <w:rPr>
                <w:rFonts w:hint="eastAsia"/>
                <w:b w:val="0"/>
                <w:bCs w:val="0"/>
                <w:sz w:val="21"/>
                <w:szCs w:val="21"/>
                <w:lang w:val="en-US" w:eastAsia="zh-CN"/>
              </w:rPr>
            </w:pPr>
            <w:r>
              <w:rPr>
                <w:rFonts w:hint="eastAsia"/>
                <w:b w:val="0"/>
                <w:bCs w:val="0"/>
                <w:sz w:val="21"/>
                <w:szCs w:val="21"/>
                <w:lang w:val="en-US" w:eastAsia="zh-CN"/>
              </w:rPr>
              <w:t>危险固废转移必须严格办理危险废物交换、转移申请表。采用配置有固体收集等功能的专用运输车辆进行运输。</w:t>
            </w:r>
          </w:p>
          <w:p w14:paraId="04780C20">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Chars="0"/>
              <w:jc w:val="left"/>
              <w:textAlignment w:val="auto"/>
              <w:rPr>
                <w:rFonts w:hint="default"/>
                <w:b w:val="0"/>
                <w:bCs w:val="0"/>
                <w:sz w:val="21"/>
                <w:szCs w:val="21"/>
                <w:lang w:val="en-US" w:eastAsia="zh-CN"/>
              </w:rPr>
            </w:pPr>
            <w:r>
              <w:rPr>
                <w:rFonts w:hint="eastAsia"/>
                <w:b w:val="0"/>
                <w:bCs w:val="0"/>
                <w:sz w:val="21"/>
                <w:szCs w:val="21"/>
                <w:lang w:val="en-US" w:eastAsia="zh-CN"/>
              </w:rPr>
              <w:t>使用汽车运输时准备从移出单位出发前，在汽车上准备备用的编织袋，塑料桶、灭火器、河沙。医疗急救箱。备事故应急救援处理用。</w:t>
            </w:r>
          </w:p>
          <w:p w14:paraId="586D83EE">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Chars="0"/>
              <w:jc w:val="left"/>
              <w:textAlignment w:val="auto"/>
              <w:rPr>
                <w:rFonts w:hint="default"/>
                <w:b w:val="0"/>
                <w:bCs w:val="0"/>
                <w:sz w:val="21"/>
                <w:szCs w:val="21"/>
                <w:lang w:val="en-US" w:eastAsia="zh-CN"/>
              </w:rPr>
            </w:pPr>
            <w:r>
              <w:rPr>
                <w:rFonts w:hint="eastAsia"/>
                <w:b w:val="0"/>
                <w:bCs w:val="0"/>
                <w:sz w:val="21"/>
                <w:szCs w:val="21"/>
                <w:lang w:val="en-US" w:eastAsia="zh-CN"/>
              </w:rPr>
              <w:t>起运前公司联系人需及时告知环保部门，建立好运输记录，汽车运输单位，车牌号码，司机，装载数量，同时告知运输所拉固体废物的物理化学性质和应急处理方式。</w:t>
            </w:r>
          </w:p>
          <w:p w14:paraId="4C72E346">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Chars="0"/>
              <w:jc w:val="left"/>
              <w:textAlignment w:val="auto"/>
              <w:rPr>
                <w:rFonts w:hint="default"/>
                <w:b w:val="0"/>
                <w:bCs w:val="0"/>
                <w:sz w:val="21"/>
                <w:szCs w:val="21"/>
                <w:lang w:val="en-US" w:eastAsia="zh-CN"/>
              </w:rPr>
            </w:pPr>
            <w:r>
              <w:rPr>
                <w:rFonts w:hint="eastAsia"/>
                <w:b w:val="0"/>
                <w:bCs w:val="0"/>
                <w:sz w:val="21"/>
                <w:szCs w:val="21"/>
                <w:lang w:val="en-US" w:eastAsia="zh-CN"/>
              </w:rPr>
              <w:t>在运输途中运输车辆按照汽车行驶安全规定严格执行，不准超速，平稳运输，并且在运输过程中要随车押运，全程录像，直至废物运输车辆安全到达目的地。</w:t>
            </w:r>
          </w:p>
          <w:p w14:paraId="4FF1CEDD">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Chars="0"/>
              <w:jc w:val="left"/>
              <w:textAlignment w:val="auto"/>
              <w:rPr>
                <w:rFonts w:hint="default"/>
                <w:b w:val="0"/>
                <w:bCs w:val="0"/>
                <w:sz w:val="21"/>
                <w:szCs w:val="21"/>
                <w:lang w:val="en-US" w:eastAsia="zh-CN"/>
              </w:rPr>
            </w:pPr>
            <w:r>
              <w:rPr>
                <w:rFonts w:hint="eastAsia"/>
                <w:b w:val="0"/>
                <w:bCs w:val="0"/>
                <w:sz w:val="21"/>
                <w:szCs w:val="21"/>
                <w:lang w:val="en-US" w:eastAsia="zh-CN"/>
              </w:rPr>
              <w:t>运输途中如果遇到交通事故或其他危及环境的事故，运输司机必须及时根据危险废物的危害性质，临时采取应急措施，并与当地环保部门联系，取得当地环保部门的支持，迅速的疏散周围无关人员和周边群众，隔离泄露污染区域，及时拨打119报警，请求消防专业人员救援。同时保护控制好现场，也可以拨打110和120取得当地公安部门和医疗单位的支持。</w:t>
            </w:r>
          </w:p>
          <w:p w14:paraId="751C53EB">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Chars="0"/>
              <w:jc w:val="left"/>
              <w:textAlignment w:val="auto"/>
              <w:rPr>
                <w:rFonts w:hint="default"/>
                <w:b w:val="0"/>
                <w:bCs w:val="0"/>
                <w:sz w:val="21"/>
                <w:szCs w:val="21"/>
                <w:lang w:val="en-US" w:eastAsia="zh-CN"/>
              </w:rPr>
            </w:pPr>
            <w:r>
              <w:rPr>
                <w:rFonts w:hint="eastAsia"/>
                <w:b w:val="0"/>
                <w:bCs w:val="0"/>
                <w:sz w:val="21"/>
                <w:szCs w:val="21"/>
                <w:lang w:val="en-US" w:eastAsia="zh-CN"/>
              </w:rPr>
              <w:t>在发生事故的时候，司机除及时组织当地人员施救，对现场进行妥善处理，使用车上备用的袋子，桶转移固体废物，力争把事故造成的污染等影响控制在最小范围内，并马上与公司联系人取得联系。</w:t>
            </w:r>
          </w:p>
          <w:p w14:paraId="08C2F993">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Chars="0"/>
              <w:jc w:val="left"/>
              <w:textAlignment w:val="auto"/>
              <w:rPr>
                <w:rFonts w:hint="default"/>
                <w:b w:val="0"/>
                <w:bCs w:val="0"/>
                <w:sz w:val="21"/>
                <w:szCs w:val="21"/>
                <w:lang w:val="en-US" w:eastAsia="zh-CN"/>
              </w:rPr>
            </w:pPr>
            <w:r>
              <w:rPr>
                <w:rFonts w:hint="eastAsia"/>
                <w:b w:val="0"/>
                <w:bCs w:val="0"/>
                <w:sz w:val="21"/>
                <w:szCs w:val="21"/>
                <w:lang w:val="en-US" w:eastAsia="zh-CN"/>
              </w:rPr>
              <w:t>公司联系人在得到通知后，双方单位马上告知各自环保部门，采取公共突发事故应急预案。公司联系人尽最大能力进行施救，确保不发生环境污染事故。</w:t>
            </w:r>
          </w:p>
          <w:p w14:paraId="763AEAE3">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Chars="0"/>
              <w:jc w:val="left"/>
              <w:textAlignment w:val="auto"/>
              <w:rPr>
                <w:rFonts w:hint="default"/>
                <w:b w:val="0"/>
                <w:bCs w:val="0"/>
                <w:sz w:val="21"/>
                <w:szCs w:val="21"/>
                <w:lang w:val="en-US" w:eastAsia="zh-CN"/>
              </w:rPr>
            </w:pPr>
            <w:r>
              <w:rPr>
                <w:rFonts w:hint="eastAsia"/>
                <w:b w:val="0"/>
                <w:bCs w:val="0"/>
                <w:sz w:val="21"/>
                <w:szCs w:val="21"/>
                <w:lang w:val="en-US" w:eastAsia="zh-CN"/>
              </w:rPr>
              <w:t>救护人员必须根据泄露品的性质和毒物接触形势，选择适当的防护用具，加强应急处理个人安全防护，防止处理过程中发生伤亡中毒事故。</w:t>
            </w:r>
          </w:p>
          <w:p w14:paraId="07AA1B59">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0" w:leftChars="0" w:firstLine="0" w:firstLineChars="0"/>
              <w:jc w:val="left"/>
              <w:textAlignment w:val="auto"/>
              <w:rPr>
                <w:rFonts w:hint="eastAsia"/>
                <w:b w:val="0"/>
                <w:bCs w:val="0"/>
                <w:sz w:val="21"/>
                <w:szCs w:val="21"/>
                <w:lang w:val="en-US" w:eastAsia="zh-CN"/>
              </w:rPr>
            </w:pPr>
            <w:r>
              <w:rPr>
                <w:rFonts w:hint="eastAsia"/>
                <w:b w:val="0"/>
                <w:bCs w:val="0"/>
                <w:sz w:val="21"/>
                <w:szCs w:val="21"/>
                <w:lang w:val="en-US" w:eastAsia="zh-CN"/>
              </w:rPr>
              <w:t>接收单位的应急措施</w:t>
            </w:r>
          </w:p>
          <w:p w14:paraId="61BB4614">
            <w:pPr>
              <w:keepNext w:val="0"/>
              <w:keepLines w:val="0"/>
              <w:pageBreakBefore w:val="0"/>
              <w:widowControl w:val="0"/>
              <w:numPr>
                <w:ilvl w:val="0"/>
                <w:numId w:val="13"/>
              </w:numPr>
              <w:kinsoku/>
              <w:wordWrap/>
              <w:overflowPunct/>
              <w:topLinePunct w:val="0"/>
              <w:autoSpaceDE/>
              <w:autoSpaceDN/>
              <w:bidi w:val="0"/>
              <w:adjustRightInd/>
              <w:snapToGrid/>
              <w:spacing w:line="360" w:lineRule="auto"/>
              <w:ind w:leftChars="0"/>
              <w:jc w:val="left"/>
              <w:textAlignment w:val="auto"/>
              <w:rPr>
                <w:rFonts w:hint="eastAsia"/>
                <w:b w:val="0"/>
                <w:bCs w:val="0"/>
                <w:sz w:val="21"/>
                <w:szCs w:val="21"/>
                <w:lang w:val="en-US" w:eastAsia="zh-CN"/>
              </w:rPr>
            </w:pPr>
            <w:r>
              <w:rPr>
                <w:rFonts w:hint="eastAsia"/>
                <w:b w:val="0"/>
                <w:bCs w:val="0"/>
                <w:sz w:val="21"/>
                <w:szCs w:val="21"/>
                <w:lang w:val="en-US" w:eastAsia="zh-CN"/>
              </w:rPr>
              <w:t>发现紧急状态，即将发生或者已经发生时，第一发现事故的员工应当初步评估确认事故发生，立即警告暴露于危险的第一人群，立即报告应急协调人，必要时，立即启动撤离信号报警装置等应急警报，如果可行，则应控制事故源，以防事故恶化。</w:t>
            </w:r>
          </w:p>
          <w:p w14:paraId="19BAE8D1">
            <w:pPr>
              <w:keepNext w:val="0"/>
              <w:keepLines w:val="0"/>
              <w:pageBreakBefore w:val="0"/>
              <w:widowControl w:val="0"/>
              <w:numPr>
                <w:ilvl w:val="0"/>
                <w:numId w:val="13"/>
              </w:numPr>
              <w:kinsoku/>
              <w:wordWrap/>
              <w:overflowPunct/>
              <w:topLinePunct w:val="0"/>
              <w:autoSpaceDE/>
              <w:autoSpaceDN/>
              <w:bidi w:val="0"/>
              <w:adjustRightInd/>
              <w:snapToGrid/>
              <w:spacing w:line="360" w:lineRule="auto"/>
              <w:ind w:leftChars="0"/>
              <w:jc w:val="left"/>
              <w:textAlignment w:val="auto"/>
              <w:rPr>
                <w:rFonts w:hint="default"/>
                <w:b w:val="0"/>
                <w:bCs w:val="0"/>
                <w:sz w:val="21"/>
                <w:szCs w:val="21"/>
                <w:lang w:val="en-US" w:eastAsia="zh-CN"/>
              </w:rPr>
            </w:pPr>
            <w:r>
              <w:rPr>
                <w:rFonts w:hint="eastAsia"/>
                <w:b w:val="0"/>
                <w:bCs w:val="0"/>
                <w:sz w:val="21"/>
                <w:szCs w:val="21"/>
                <w:lang w:val="en-US" w:eastAsia="zh-CN"/>
              </w:rPr>
              <w:t>应急协调人接到报警后应当立即赶赴现场，作出初始评估（事故性质、准确事故源，数量和泄露程度，事故可能对环境和人体健康的危害）确定应急响应级别，启动应急预案，通知单位可能受事故影响的人员和应急机构，如果需要外部救援，立即通知当地政府相关部门。</w:t>
            </w:r>
          </w:p>
          <w:p w14:paraId="1CEBDDBA">
            <w:pPr>
              <w:keepNext w:val="0"/>
              <w:keepLines w:val="0"/>
              <w:pageBreakBefore w:val="0"/>
              <w:widowControl w:val="0"/>
              <w:numPr>
                <w:ilvl w:val="0"/>
                <w:numId w:val="13"/>
              </w:numPr>
              <w:kinsoku/>
              <w:wordWrap/>
              <w:overflowPunct/>
              <w:topLinePunct w:val="0"/>
              <w:autoSpaceDE/>
              <w:autoSpaceDN/>
              <w:bidi w:val="0"/>
              <w:adjustRightInd/>
              <w:snapToGrid/>
              <w:spacing w:line="360" w:lineRule="auto"/>
              <w:ind w:leftChars="0"/>
              <w:jc w:val="left"/>
              <w:textAlignment w:val="auto"/>
              <w:rPr>
                <w:rFonts w:hint="default"/>
                <w:b w:val="0"/>
                <w:bCs w:val="0"/>
                <w:sz w:val="21"/>
                <w:szCs w:val="21"/>
                <w:lang w:val="en-US" w:eastAsia="zh-CN"/>
              </w:rPr>
            </w:pPr>
            <w:r>
              <w:rPr>
                <w:rFonts w:hint="eastAsia"/>
                <w:b w:val="0"/>
                <w:bCs w:val="0"/>
                <w:sz w:val="21"/>
                <w:szCs w:val="21"/>
                <w:lang w:val="en-US" w:eastAsia="zh-CN"/>
              </w:rPr>
              <w:t>事故发生时，立即组织公司安保人员维护现场治安。建立周围警戒区域，防止无关人员进入应急现场，保障救援队伍，物资运输和人群疏散的交通舒畅。</w:t>
            </w:r>
          </w:p>
          <w:p w14:paraId="10D0FA53">
            <w:pPr>
              <w:keepNext w:val="0"/>
              <w:keepLines w:val="0"/>
              <w:pageBreakBefore w:val="0"/>
              <w:widowControl w:val="0"/>
              <w:numPr>
                <w:ilvl w:val="0"/>
                <w:numId w:val="13"/>
              </w:numPr>
              <w:kinsoku/>
              <w:wordWrap/>
              <w:overflowPunct/>
              <w:topLinePunct w:val="0"/>
              <w:autoSpaceDE/>
              <w:autoSpaceDN/>
              <w:bidi w:val="0"/>
              <w:adjustRightInd/>
              <w:snapToGrid/>
              <w:spacing w:line="360" w:lineRule="auto"/>
              <w:ind w:leftChars="0"/>
              <w:jc w:val="left"/>
              <w:textAlignment w:val="auto"/>
              <w:rPr>
                <w:rFonts w:hint="default"/>
                <w:b w:val="0"/>
                <w:bCs w:val="0"/>
                <w:sz w:val="21"/>
                <w:szCs w:val="21"/>
                <w:lang w:val="en-US" w:eastAsia="zh-CN"/>
              </w:rPr>
            </w:pPr>
            <w:r>
              <w:rPr>
                <w:rFonts w:hint="eastAsia"/>
                <w:b w:val="0"/>
                <w:bCs w:val="0"/>
                <w:sz w:val="21"/>
                <w:szCs w:val="21"/>
                <w:lang w:val="en-US" w:eastAsia="zh-CN"/>
              </w:rPr>
              <w:t>安排设定危险区，隔离区、安全区，组织人员管理，切断污染源和处置污染物所采用的技术措施及操作程序，采取覆盖、收容、隔离、洗消、稀释、中和、消毒等措施，消除事故危害。</w:t>
            </w:r>
          </w:p>
          <w:p w14:paraId="64C21744">
            <w:pPr>
              <w:keepNext w:val="0"/>
              <w:keepLines w:val="0"/>
              <w:pageBreakBefore w:val="0"/>
              <w:widowControl w:val="0"/>
              <w:numPr>
                <w:ilvl w:val="0"/>
                <w:numId w:val="13"/>
              </w:numPr>
              <w:kinsoku/>
              <w:wordWrap/>
              <w:overflowPunct/>
              <w:topLinePunct w:val="0"/>
              <w:autoSpaceDE/>
              <w:autoSpaceDN/>
              <w:bidi w:val="0"/>
              <w:adjustRightInd/>
              <w:snapToGrid/>
              <w:spacing w:line="360" w:lineRule="auto"/>
              <w:ind w:leftChars="0"/>
              <w:jc w:val="left"/>
              <w:textAlignment w:val="auto"/>
              <w:rPr>
                <w:rFonts w:hint="default"/>
                <w:b w:val="0"/>
                <w:bCs w:val="0"/>
                <w:sz w:val="21"/>
                <w:szCs w:val="21"/>
                <w:lang w:val="en-US" w:eastAsia="zh-CN"/>
              </w:rPr>
            </w:pPr>
            <w:r>
              <w:rPr>
                <w:rFonts w:hint="eastAsia"/>
                <w:b w:val="0"/>
                <w:bCs w:val="0"/>
                <w:sz w:val="21"/>
                <w:szCs w:val="21"/>
                <w:lang w:val="en-US" w:eastAsia="zh-CN"/>
              </w:rPr>
              <w:t>事故报告。事故发生时，由应急协调指挥人第一时间报告当地环保局，事故后5到15日内，由应急协调指挥人以书面形式报告环境保护局，书面报告包括单位基本情况，人员救援情况及康复情况，环境污染及防治情况。</w:t>
            </w:r>
          </w:p>
          <w:p w14:paraId="7B47B35B">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0" w:firstLineChars="0"/>
              <w:jc w:val="left"/>
              <w:textAlignment w:val="auto"/>
              <w:rPr>
                <w:rFonts w:hint="eastAsia"/>
                <w:b w:val="0"/>
                <w:bCs w:val="0"/>
                <w:sz w:val="21"/>
                <w:szCs w:val="21"/>
                <w:lang w:val="en-US" w:eastAsia="zh-CN"/>
              </w:rPr>
            </w:pPr>
            <w:r>
              <w:rPr>
                <w:rFonts w:hint="eastAsia"/>
                <w:b w:val="0"/>
                <w:bCs w:val="0"/>
                <w:sz w:val="21"/>
                <w:szCs w:val="21"/>
                <w:lang w:val="en-US" w:eastAsia="zh-CN"/>
              </w:rPr>
              <w:t>事故善后处理</w:t>
            </w:r>
          </w:p>
          <w:p w14:paraId="0A55B90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eastAsia"/>
                <w:b w:val="0"/>
                <w:bCs w:val="0"/>
                <w:sz w:val="21"/>
                <w:szCs w:val="21"/>
                <w:lang w:val="en-US" w:eastAsia="zh-CN"/>
              </w:rPr>
            </w:pPr>
            <w:r>
              <w:rPr>
                <w:rFonts w:hint="eastAsia"/>
                <w:b w:val="0"/>
                <w:bCs w:val="0"/>
                <w:sz w:val="21"/>
                <w:szCs w:val="21"/>
                <w:lang w:val="en-US" w:eastAsia="zh-CN"/>
              </w:rPr>
              <w:t>待事故解除后，终止救援</w:t>
            </w:r>
          </w:p>
          <w:p w14:paraId="4BB6AB1B">
            <w:pPr>
              <w:keepNext w:val="0"/>
              <w:keepLines w:val="0"/>
              <w:pageBreakBefore w:val="0"/>
              <w:widowControl w:val="0"/>
              <w:numPr>
                <w:ilvl w:val="0"/>
                <w:numId w:val="14"/>
              </w:numPr>
              <w:kinsoku/>
              <w:wordWrap/>
              <w:overflowPunct/>
              <w:topLinePunct w:val="0"/>
              <w:autoSpaceDE/>
              <w:autoSpaceDN/>
              <w:bidi w:val="0"/>
              <w:adjustRightInd/>
              <w:snapToGrid/>
              <w:spacing w:line="360" w:lineRule="auto"/>
              <w:ind w:leftChars="0"/>
              <w:jc w:val="left"/>
              <w:textAlignment w:val="auto"/>
              <w:rPr>
                <w:rFonts w:hint="eastAsia"/>
                <w:b w:val="0"/>
                <w:bCs w:val="0"/>
                <w:sz w:val="21"/>
                <w:szCs w:val="21"/>
                <w:lang w:val="en-US" w:eastAsia="zh-CN"/>
              </w:rPr>
            </w:pPr>
            <w:r>
              <w:rPr>
                <w:rFonts w:hint="eastAsia"/>
                <w:b w:val="0"/>
                <w:bCs w:val="0"/>
                <w:sz w:val="21"/>
                <w:szCs w:val="21"/>
                <w:lang w:val="en-US" w:eastAsia="zh-CN"/>
              </w:rPr>
              <w:t>驾、押员工保护好现场，协助事故调查，单位主管人员根据事故等级的大小及时向上级有关部门汇报。</w:t>
            </w:r>
          </w:p>
          <w:p w14:paraId="34D3FF6C">
            <w:pPr>
              <w:keepNext w:val="0"/>
              <w:keepLines w:val="0"/>
              <w:pageBreakBefore w:val="0"/>
              <w:widowControl w:val="0"/>
              <w:numPr>
                <w:ilvl w:val="0"/>
                <w:numId w:val="14"/>
              </w:numPr>
              <w:kinsoku/>
              <w:wordWrap/>
              <w:overflowPunct/>
              <w:topLinePunct w:val="0"/>
              <w:autoSpaceDE/>
              <w:autoSpaceDN/>
              <w:bidi w:val="0"/>
              <w:adjustRightInd/>
              <w:snapToGrid/>
              <w:spacing w:line="360" w:lineRule="auto"/>
              <w:ind w:leftChars="0"/>
              <w:jc w:val="left"/>
              <w:textAlignment w:val="auto"/>
              <w:rPr>
                <w:rFonts w:hint="default"/>
                <w:b w:val="0"/>
                <w:bCs w:val="0"/>
                <w:sz w:val="21"/>
                <w:szCs w:val="21"/>
                <w:lang w:val="en-US" w:eastAsia="zh-CN"/>
              </w:rPr>
            </w:pPr>
            <w:r>
              <w:rPr>
                <w:rFonts w:hint="eastAsia"/>
                <w:b w:val="0"/>
                <w:bCs w:val="0"/>
                <w:sz w:val="21"/>
                <w:szCs w:val="21"/>
                <w:lang w:val="en-US" w:eastAsia="zh-CN"/>
              </w:rPr>
              <w:t>组织力量迅速恢复生产。</w:t>
            </w:r>
          </w:p>
          <w:p w14:paraId="6DC2B623">
            <w:pPr>
              <w:keepNext w:val="0"/>
              <w:keepLines w:val="0"/>
              <w:pageBreakBefore w:val="0"/>
              <w:widowControl w:val="0"/>
              <w:numPr>
                <w:ilvl w:val="0"/>
                <w:numId w:val="14"/>
              </w:numPr>
              <w:kinsoku/>
              <w:wordWrap/>
              <w:overflowPunct/>
              <w:topLinePunct w:val="0"/>
              <w:autoSpaceDE/>
              <w:autoSpaceDN/>
              <w:bidi w:val="0"/>
              <w:adjustRightInd/>
              <w:snapToGrid/>
              <w:spacing w:line="360" w:lineRule="auto"/>
              <w:ind w:leftChars="0"/>
              <w:jc w:val="left"/>
              <w:textAlignment w:val="auto"/>
              <w:rPr>
                <w:rFonts w:hint="default"/>
                <w:b w:val="0"/>
                <w:bCs w:val="0"/>
                <w:sz w:val="21"/>
                <w:szCs w:val="21"/>
                <w:lang w:val="en-US" w:eastAsia="zh-CN"/>
              </w:rPr>
            </w:pPr>
            <w:r>
              <w:rPr>
                <w:rFonts w:hint="eastAsia"/>
                <w:b w:val="0"/>
                <w:bCs w:val="0"/>
                <w:sz w:val="21"/>
                <w:szCs w:val="21"/>
                <w:lang w:val="en-US" w:eastAsia="zh-CN"/>
              </w:rPr>
              <w:t>落实“四不放过”原则。</w:t>
            </w:r>
          </w:p>
          <w:p w14:paraId="1F59B153">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b w:val="0"/>
                <w:bCs w:val="0"/>
                <w:sz w:val="21"/>
                <w:szCs w:val="21"/>
                <w:lang w:val="en-US" w:eastAsia="zh-CN"/>
              </w:rPr>
            </w:pPr>
            <w:r>
              <w:rPr>
                <w:rFonts w:hint="eastAsia"/>
                <w:b w:val="0"/>
                <w:bCs w:val="0"/>
                <w:sz w:val="21"/>
                <w:szCs w:val="21"/>
                <w:lang w:val="en-US" w:eastAsia="zh-CN"/>
              </w:rPr>
              <w:t xml:space="preserve">                                                                        温州市嘉为物流有限公司</w:t>
            </w:r>
          </w:p>
          <w:p w14:paraId="08339707">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b w:val="0"/>
                <w:bCs w:val="0"/>
                <w:sz w:val="21"/>
                <w:szCs w:val="21"/>
                <w:lang w:val="en-US" w:eastAsia="zh-CN"/>
              </w:rPr>
            </w:pPr>
            <w:r>
              <w:rPr>
                <w:rFonts w:hint="eastAsia"/>
                <w:b w:val="0"/>
                <w:bCs w:val="0"/>
                <w:sz w:val="21"/>
                <w:szCs w:val="21"/>
                <w:lang w:val="en-US" w:eastAsia="zh-CN"/>
              </w:rPr>
              <w:t xml:space="preserve">                                                                                   2022.01.01</w:t>
            </w:r>
          </w:p>
          <w:p w14:paraId="76176F07">
            <w:pPr>
              <w:widowControl w:val="0"/>
              <w:adjustRightInd/>
              <w:snapToGrid/>
              <w:spacing w:after="0"/>
              <w:ind w:firstLine="3740" w:firstLineChars="1700"/>
              <w:jc w:val="both"/>
              <w:rPr>
                <w:rFonts w:hint="default" w:ascii="Times New Roman"/>
                <w:bCs/>
                <w:szCs w:val="24"/>
                <w:lang w:val="en-US" w:eastAsia="zh-CN"/>
              </w:rPr>
            </w:pPr>
          </w:p>
          <w:p w14:paraId="4C689E25">
            <w:pPr>
              <w:widowControl w:val="0"/>
              <w:adjustRightInd/>
              <w:snapToGrid/>
              <w:spacing w:after="0"/>
              <w:ind w:firstLine="3740" w:firstLineChars="1700"/>
              <w:jc w:val="both"/>
              <w:rPr>
                <w:rFonts w:hint="default" w:ascii="Times New Roman"/>
                <w:bCs/>
                <w:szCs w:val="24"/>
                <w:lang w:val="en-US" w:eastAsia="zh-CN"/>
              </w:rPr>
            </w:pPr>
          </w:p>
          <w:p w14:paraId="67093592">
            <w:pPr>
              <w:widowControl w:val="0"/>
              <w:adjustRightInd/>
              <w:snapToGrid/>
              <w:spacing w:after="0"/>
              <w:ind w:firstLine="3740" w:firstLineChars="1700"/>
              <w:jc w:val="both"/>
              <w:rPr>
                <w:rFonts w:hint="default" w:ascii="Times New Roman"/>
                <w:bCs/>
                <w:szCs w:val="24"/>
                <w:lang w:val="en-US" w:eastAsia="zh-CN"/>
              </w:rPr>
            </w:pPr>
          </w:p>
          <w:p w14:paraId="7667E152">
            <w:pPr>
              <w:widowControl w:val="0"/>
              <w:adjustRightInd/>
              <w:snapToGrid/>
              <w:spacing w:after="0"/>
              <w:ind w:firstLine="3740" w:firstLineChars="1700"/>
              <w:jc w:val="both"/>
              <w:rPr>
                <w:rFonts w:hint="default" w:ascii="Times New Roman"/>
                <w:bCs/>
                <w:szCs w:val="24"/>
                <w:lang w:val="en-US" w:eastAsia="zh-CN"/>
              </w:rPr>
            </w:pPr>
          </w:p>
          <w:p w14:paraId="538C6478">
            <w:pPr>
              <w:widowControl w:val="0"/>
              <w:adjustRightInd/>
              <w:snapToGrid/>
              <w:spacing w:after="0"/>
              <w:ind w:firstLine="3740" w:firstLineChars="1700"/>
              <w:jc w:val="both"/>
              <w:rPr>
                <w:rFonts w:hint="default" w:ascii="Times New Roman"/>
                <w:bCs/>
                <w:szCs w:val="24"/>
                <w:lang w:val="en-US" w:eastAsia="zh-CN"/>
              </w:rPr>
            </w:pPr>
          </w:p>
          <w:p w14:paraId="4CA5BB7A">
            <w:pPr>
              <w:widowControl w:val="0"/>
              <w:adjustRightInd/>
              <w:snapToGrid/>
              <w:spacing w:after="0"/>
              <w:ind w:firstLine="3740" w:firstLineChars="1700"/>
              <w:jc w:val="both"/>
              <w:rPr>
                <w:rFonts w:hint="default" w:ascii="Times New Roman"/>
                <w:bCs/>
                <w:szCs w:val="24"/>
                <w:lang w:val="en-US" w:eastAsia="zh-CN"/>
              </w:rPr>
            </w:pPr>
          </w:p>
          <w:p w14:paraId="62939633">
            <w:pPr>
              <w:widowControl w:val="0"/>
              <w:adjustRightInd/>
              <w:snapToGrid/>
              <w:spacing w:after="0"/>
              <w:ind w:firstLine="3740" w:firstLineChars="1700"/>
              <w:jc w:val="both"/>
              <w:rPr>
                <w:rFonts w:hint="default" w:ascii="Times New Roman"/>
                <w:bCs/>
                <w:szCs w:val="24"/>
                <w:lang w:val="en-US" w:eastAsia="zh-CN"/>
              </w:rPr>
            </w:pPr>
          </w:p>
          <w:p w14:paraId="08A2C6B1">
            <w:pPr>
              <w:widowControl w:val="0"/>
              <w:adjustRightInd/>
              <w:snapToGrid/>
              <w:spacing w:after="0"/>
              <w:ind w:firstLine="3740" w:firstLineChars="1700"/>
              <w:jc w:val="both"/>
              <w:rPr>
                <w:rFonts w:hint="default" w:ascii="Times New Roman"/>
                <w:bCs/>
                <w:szCs w:val="24"/>
                <w:lang w:val="en-US" w:eastAsia="zh-CN"/>
              </w:rPr>
            </w:pPr>
          </w:p>
          <w:p w14:paraId="427F36A4">
            <w:pPr>
              <w:widowControl w:val="0"/>
              <w:adjustRightInd/>
              <w:snapToGrid/>
              <w:spacing w:after="0"/>
              <w:ind w:firstLine="3740" w:firstLineChars="1700"/>
              <w:jc w:val="both"/>
              <w:rPr>
                <w:rFonts w:hint="default" w:ascii="Times New Roman"/>
                <w:bCs/>
                <w:szCs w:val="24"/>
                <w:lang w:val="en-US" w:eastAsia="zh-CN"/>
              </w:rPr>
            </w:pPr>
          </w:p>
          <w:p w14:paraId="4D39E585">
            <w:pPr>
              <w:widowControl w:val="0"/>
              <w:adjustRightInd/>
              <w:snapToGrid/>
              <w:spacing w:after="0"/>
              <w:ind w:firstLine="3740" w:firstLineChars="1700"/>
              <w:jc w:val="both"/>
              <w:rPr>
                <w:rFonts w:hint="default" w:ascii="Times New Roman"/>
                <w:bCs/>
                <w:szCs w:val="24"/>
                <w:lang w:val="en-US" w:eastAsia="zh-CN"/>
              </w:rPr>
            </w:pPr>
          </w:p>
          <w:p w14:paraId="3ED42863">
            <w:pPr>
              <w:widowControl w:val="0"/>
              <w:adjustRightInd/>
              <w:snapToGrid/>
              <w:spacing w:after="0"/>
              <w:ind w:firstLine="3740" w:firstLineChars="1700"/>
              <w:jc w:val="both"/>
              <w:rPr>
                <w:rFonts w:hint="default" w:ascii="Times New Roman"/>
                <w:bCs/>
                <w:szCs w:val="24"/>
                <w:lang w:val="en-US" w:eastAsia="zh-CN"/>
              </w:rPr>
            </w:pPr>
          </w:p>
          <w:p w14:paraId="1B39ADC4">
            <w:pPr>
              <w:widowControl w:val="0"/>
              <w:adjustRightInd/>
              <w:snapToGrid/>
              <w:spacing w:after="0"/>
              <w:ind w:firstLine="3740" w:firstLineChars="1700"/>
              <w:jc w:val="both"/>
              <w:rPr>
                <w:rFonts w:hint="default" w:ascii="Times New Roman"/>
                <w:bCs/>
                <w:szCs w:val="24"/>
                <w:lang w:val="en-US" w:eastAsia="zh-CN"/>
              </w:rPr>
            </w:pPr>
          </w:p>
          <w:p w14:paraId="23EB1B38">
            <w:pPr>
              <w:widowControl w:val="0"/>
              <w:adjustRightInd/>
              <w:snapToGrid/>
              <w:spacing w:after="0"/>
              <w:ind w:firstLine="3740" w:firstLineChars="1700"/>
              <w:jc w:val="both"/>
              <w:rPr>
                <w:rFonts w:hint="default" w:ascii="Times New Roman"/>
                <w:bCs/>
                <w:szCs w:val="24"/>
                <w:lang w:val="en-US" w:eastAsia="zh-CN"/>
              </w:rPr>
            </w:pPr>
          </w:p>
          <w:p w14:paraId="32DB0622">
            <w:pPr>
              <w:widowControl w:val="0"/>
              <w:adjustRightInd/>
              <w:snapToGrid/>
              <w:spacing w:after="0"/>
              <w:ind w:firstLine="3740" w:firstLineChars="1700"/>
              <w:jc w:val="both"/>
              <w:rPr>
                <w:rFonts w:hint="default" w:ascii="Times New Roman"/>
                <w:bCs/>
                <w:szCs w:val="24"/>
                <w:lang w:val="en-US" w:eastAsia="zh-CN"/>
              </w:rPr>
            </w:pPr>
          </w:p>
          <w:p w14:paraId="578D9699">
            <w:pPr>
              <w:widowControl w:val="0"/>
              <w:adjustRightInd/>
              <w:snapToGrid/>
              <w:spacing w:after="0"/>
              <w:ind w:firstLine="3740" w:firstLineChars="1700"/>
              <w:jc w:val="both"/>
              <w:rPr>
                <w:rFonts w:hint="default" w:ascii="Times New Roman"/>
                <w:bCs/>
                <w:szCs w:val="24"/>
                <w:lang w:val="en-US" w:eastAsia="zh-CN"/>
              </w:rPr>
            </w:pPr>
          </w:p>
          <w:p w14:paraId="57CBB03B">
            <w:pPr>
              <w:widowControl w:val="0"/>
              <w:adjustRightInd/>
              <w:snapToGrid/>
              <w:spacing w:after="0"/>
              <w:ind w:firstLine="3740" w:firstLineChars="1700"/>
              <w:jc w:val="both"/>
              <w:rPr>
                <w:rFonts w:hint="default" w:ascii="Times New Roman"/>
                <w:bCs/>
                <w:szCs w:val="24"/>
                <w:lang w:val="en-US" w:eastAsia="zh-CN"/>
              </w:rPr>
            </w:pPr>
          </w:p>
          <w:p w14:paraId="22ACB32B">
            <w:pPr>
              <w:widowControl w:val="0"/>
              <w:adjustRightInd/>
              <w:snapToGrid/>
              <w:spacing w:after="0"/>
              <w:ind w:firstLine="3740" w:firstLineChars="1700"/>
              <w:jc w:val="both"/>
              <w:rPr>
                <w:rFonts w:hint="default" w:ascii="Times New Roman"/>
                <w:bCs/>
                <w:szCs w:val="24"/>
                <w:lang w:val="en-US" w:eastAsia="zh-CN"/>
              </w:rPr>
            </w:pPr>
          </w:p>
          <w:p w14:paraId="46479B1D">
            <w:pPr>
              <w:widowControl w:val="0"/>
              <w:adjustRightInd/>
              <w:snapToGrid/>
              <w:spacing w:after="0"/>
              <w:ind w:firstLine="3740" w:firstLineChars="1700"/>
              <w:jc w:val="both"/>
              <w:rPr>
                <w:rFonts w:hint="default" w:ascii="Times New Roman"/>
                <w:bCs/>
                <w:szCs w:val="24"/>
                <w:lang w:val="en-US" w:eastAsia="zh-CN"/>
              </w:rPr>
            </w:pPr>
          </w:p>
          <w:p w14:paraId="6C1906FD">
            <w:pPr>
              <w:widowControl w:val="0"/>
              <w:adjustRightInd/>
              <w:snapToGrid/>
              <w:spacing w:after="0"/>
              <w:ind w:firstLine="3740" w:firstLineChars="1700"/>
              <w:jc w:val="both"/>
              <w:rPr>
                <w:rFonts w:hint="default" w:ascii="Times New Roman"/>
                <w:bCs/>
                <w:szCs w:val="24"/>
                <w:lang w:val="en-US" w:eastAsia="zh-CN"/>
              </w:rPr>
            </w:pPr>
          </w:p>
          <w:p w14:paraId="645FE317">
            <w:pPr>
              <w:widowControl w:val="0"/>
              <w:adjustRightInd/>
              <w:snapToGrid/>
              <w:spacing w:after="0"/>
              <w:ind w:firstLine="3740" w:firstLineChars="1700"/>
              <w:jc w:val="both"/>
              <w:rPr>
                <w:rFonts w:hint="default" w:ascii="Times New Roman"/>
                <w:bCs/>
                <w:szCs w:val="24"/>
                <w:lang w:val="en-US" w:eastAsia="zh-CN"/>
              </w:rPr>
            </w:pPr>
          </w:p>
          <w:p w14:paraId="4881AF6E">
            <w:pPr>
              <w:jc w:val="center"/>
              <w:rPr>
                <w:rFonts w:hint="eastAsia"/>
                <w:b/>
                <w:sz w:val="44"/>
                <w:szCs w:val="44"/>
              </w:rPr>
            </w:pPr>
            <w:r>
              <w:rPr>
                <w:rFonts w:hint="eastAsia"/>
                <w:b/>
                <w:sz w:val="44"/>
                <w:szCs w:val="44"/>
              </w:rPr>
              <w:t>危险化学品运输事故应急</w:t>
            </w:r>
          </w:p>
          <w:p w14:paraId="7AC6B66A">
            <w:pPr>
              <w:jc w:val="center"/>
              <w:rPr>
                <w:rFonts w:hint="eastAsia"/>
                <w:b/>
                <w:sz w:val="44"/>
                <w:szCs w:val="44"/>
              </w:rPr>
            </w:pPr>
            <w:r>
              <w:rPr>
                <w:rFonts w:hint="eastAsia"/>
                <w:b/>
                <w:sz w:val="44"/>
                <w:szCs w:val="44"/>
              </w:rPr>
              <w:t>救援预案</w:t>
            </w:r>
          </w:p>
          <w:p w14:paraId="7E916CFF">
            <w:pPr>
              <w:jc w:val="center"/>
              <w:rPr>
                <w:rFonts w:hint="eastAsia"/>
                <w:b/>
                <w:sz w:val="44"/>
                <w:szCs w:val="44"/>
              </w:rPr>
            </w:pPr>
          </w:p>
          <w:p w14:paraId="19B40686">
            <w:pPr>
              <w:ind w:firstLine="560" w:firstLineChars="200"/>
              <w:outlineLvl w:val="0"/>
              <w:rPr>
                <w:sz w:val="28"/>
                <w:szCs w:val="28"/>
              </w:rPr>
            </w:pPr>
            <w:r>
              <w:rPr>
                <w:rFonts w:hint="eastAsia"/>
                <w:sz w:val="28"/>
                <w:szCs w:val="28"/>
              </w:rPr>
              <w:t>一、前言</w:t>
            </w:r>
          </w:p>
          <w:p w14:paraId="60921430">
            <w:pPr>
              <w:ind w:firstLine="560" w:firstLineChars="200"/>
              <w:rPr>
                <w:rFonts w:hint="eastAsia"/>
                <w:sz w:val="28"/>
                <w:szCs w:val="28"/>
              </w:rPr>
            </w:pPr>
            <w:r>
              <w:rPr>
                <w:rFonts w:hint="eastAsia"/>
                <w:sz w:val="28"/>
                <w:szCs w:val="28"/>
              </w:rPr>
              <w:t>危险化学品在运输途中若发生交通事故或泄漏事故，会引起燃烧、爆炸、腐蚀等严重的灾害，为提高本公司危化品运输事故应急救援能力，最的限度地减少事故造成的损失。依据《中华人民共和国安</w:t>
            </w:r>
            <w:r>
              <w:rPr>
                <w:rFonts w:hint="eastAsia"/>
                <w:sz w:val="28"/>
                <w:szCs w:val="28"/>
                <w:lang w:val="en-US" w:eastAsia="zh-CN"/>
              </w:rPr>
              <w:t>全</w:t>
            </w:r>
            <w:r>
              <w:rPr>
                <w:rFonts w:hint="eastAsia"/>
                <w:sz w:val="28"/>
                <w:szCs w:val="28"/>
              </w:rPr>
              <w:t>生产法》和《道路危险货物运输管理制度的规定》等法律法规规定，特编制本公司危货运输事故应急救援预案。</w:t>
            </w:r>
          </w:p>
          <w:p w14:paraId="40EAB46C">
            <w:pPr>
              <w:ind w:firstLine="570"/>
              <w:rPr>
                <w:rFonts w:hint="eastAsia"/>
                <w:sz w:val="28"/>
                <w:szCs w:val="28"/>
              </w:rPr>
            </w:pPr>
            <w:r>
              <w:rPr>
                <w:rFonts w:hint="eastAsia"/>
                <w:sz w:val="28"/>
                <w:szCs w:val="28"/>
              </w:rPr>
              <w:t>1、目的</w:t>
            </w:r>
          </w:p>
          <w:p w14:paraId="3C3C9C2B">
            <w:pPr>
              <w:ind w:firstLine="570"/>
              <w:rPr>
                <w:sz w:val="28"/>
                <w:szCs w:val="28"/>
              </w:rPr>
            </w:pPr>
            <w:r>
              <w:rPr>
                <w:rFonts w:hint="eastAsia"/>
                <w:sz w:val="28"/>
                <w:szCs w:val="28"/>
              </w:rPr>
              <w:t>为最大限度地减少因危化品运输过程中突发性事故带来的人员伤亡、财产损失和社会影响，制定本应急预案。</w:t>
            </w:r>
          </w:p>
          <w:p w14:paraId="39182588">
            <w:pPr>
              <w:rPr>
                <w:rFonts w:hint="eastAsia"/>
                <w:sz w:val="28"/>
                <w:szCs w:val="28"/>
              </w:rPr>
            </w:pPr>
            <w:r>
              <w:rPr>
                <w:sz w:val="28"/>
                <w:szCs w:val="28"/>
              </w:rPr>
              <w:tab/>
            </w:r>
            <w:r>
              <w:rPr>
                <w:rFonts w:hint="eastAsia"/>
                <w:sz w:val="28"/>
                <w:szCs w:val="28"/>
              </w:rPr>
              <w:t xml:space="preserve"> 2、依据</w:t>
            </w:r>
          </w:p>
          <w:p w14:paraId="3625322C">
            <w:pPr>
              <w:tabs>
                <w:tab w:val="left" w:pos="720"/>
              </w:tabs>
              <w:rPr>
                <w:sz w:val="28"/>
                <w:szCs w:val="28"/>
              </w:rPr>
            </w:pPr>
            <w:r>
              <w:rPr>
                <w:rFonts w:hint="eastAsia"/>
                <w:sz w:val="28"/>
                <w:szCs w:val="28"/>
              </w:rPr>
              <w:t xml:space="preserve">     （1）、《中华人民共和国安全生产法》；</w:t>
            </w:r>
          </w:p>
          <w:p w14:paraId="1AF09099">
            <w:pPr>
              <w:tabs>
                <w:tab w:val="left" w:pos="720"/>
              </w:tabs>
              <w:rPr>
                <w:sz w:val="28"/>
                <w:szCs w:val="28"/>
              </w:rPr>
            </w:pPr>
            <w:r>
              <w:rPr>
                <w:sz w:val="28"/>
                <w:szCs w:val="28"/>
              </w:rPr>
              <w:tab/>
            </w:r>
            <w:r>
              <w:rPr>
                <w:rFonts w:hint="eastAsia"/>
                <w:sz w:val="28"/>
                <w:szCs w:val="28"/>
              </w:rPr>
              <w:t>（2）、《中华人民共和国职业病防治法》；</w:t>
            </w:r>
          </w:p>
          <w:p w14:paraId="125C11C9">
            <w:pPr>
              <w:tabs>
                <w:tab w:val="left" w:pos="720"/>
              </w:tabs>
              <w:rPr>
                <w:rFonts w:hint="eastAsia"/>
                <w:sz w:val="28"/>
                <w:szCs w:val="28"/>
              </w:rPr>
            </w:pPr>
            <w:r>
              <w:rPr>
                <w:sz w:val="28"/>
                <w:szCs w:val="28"/>
              </w:rPr>
              <w:tab/>
            </w:r>
            <w:r>
              <w:rPr>
                <w:rFonts w:hint="eastAsia"/>
                <w:sz w:val="28"/>
                <w:szCs w:val="28"/>
              </w:rPr>
              <w:t>（3）、《中华人民共和国消防法》；</w:t>
            </w:r>
          </w:p>
          <w:p w14:paraId="0744594E">
            <w:pPr>
              <w:tabs>
                <w:tab w:val="left" w:pos="720"/>
              </w:tabs>
              <w:rPr>
                <w:sz w:val="28"/>
                <w:szCs w:val="28"/>
              </w:rPr>
            </w:pPr>
            <w:r>
              <w:rPr>
                <w:rFonts w:hint="eastAsia"/>
                <w:sz w:val="28"/>
                <w:szCs w:val="28"/>
              </w:rPr>
              <w:t xml:space="preserve">     （4）、《中华人民共和国道路交通安全法》；</w:t>
            </w:r>
          </w:p>
          <w:p w14:paraId="38DCAAFC">
            <w:pPr>
              <w:tabs>
                <w:tab w:val="left" w:pos="720"/>
              </w:tabs>
              <w:rPr>
                <w:sz w:val="28"/>
                <w:szCs w:val="28"/>
              </w:rPr>
            </w:pPr>
            <w:r>
              <w:rPr>
                <w:sz w:val="28"/>
                <w:szCs w:val="28"/>
              </w:rPr>
              <w:tab/>
            </w:r>
            <w:r>
              <w:rPr>
                <w:rFonts w:hint="eastAsia"/>
                <w:sz w:val="28"/>
                <w:szCs w:val="28"/>
              </w:rPr>
              <w:t>（5）、《道路危险货物运输管理规定》（2005年6月3日颁布）；</w:t>
            </w:r>
          </w:p>
          <w:p w14:paraId="39C09CB7">
            <w:pPr>
              <w:tabs>
                <w:tab w:val="left" w:pos="720"/>
              </w:tabs>
              <w:rPr>
                <w:sz w:val="28"/>
                <w:szCs w:val="28"/>
              </w:rPr>
            </w:pPr>
            <w:r>
              <w:rPr>
                <w:sz w:val="28"/>
                <w:szCs w:val="28"/>
              </w:rPr>
              <w:tab/>
            </w:r>
            <w:r>
              <w:rPr>
                <w:rFonts w:hint="eastAsia"/>
                <w:sz w:val="28"/>
                <w:szCs w:val="28"/>
              </w:rPr>
              <w:t>（6）、《危险化学品安全管理条例》（国务院令第344号）；</w:t>
            </w:r>
          </w:p>
          <w:p w14:paraId="2EEF45DA">
            <w:pPr>
              <w:tabs>
                <w:tab w:val="left" w:pos="720"/>
              </w:tabs>
              <w:rPr>
                <w:sz w:val="28"/>
                <w:szCs w:val="28"/>
              </w:rPr>
            </w:pPr>
            <w:r>
              <w:rPr>
                <w:sz w:val="28"/>
                <w:szCs w:val="28"/>
              </w:rPr>
              <w:tab/>
            </w:r>
            <w:r>
              <w:rPr>
                <w:rFonts w:hint="eastAsia"/>
                <w:sz w:val="28"/>
                <w:szCs w:val="28"/>
              </w:rPr>
              <w:t>（7）、《特种设备安全监察条例》（国务院</w:t>
            </w:r>
            <w:r>
              <w:rPr>
                <w:rFonts w:hint="eastAsia"/>
                <w:sz w:val="28"/>
                <w:szCs w:val="28"/>
                <w:lang w:val="en-US" w:eastAsia="zh-CN"/>
              </w:rPr>
              <w:t>令</w:t>
            </w:r>
            <w:r>
              <w:rPr>
                <w:rFonts w:hint="eastAsia"/>
                <w:sz w:val="28"/>
                <w:szCs w:val="28"/>
              </w:rPr>
              <w:t>第373号）；</w:t>
            </w:r>
          </w:p>
          <w:p w14:paraId="537728FD">
            <w:pPr>
              <w:tabs>
                <w:tab w:val="left" w:pos="720"/>
              </w:tabs>
              <w:rPr>
                <w:rFonts w:hint="eastAsia"/>
                <w:sz w:val="28"/>
                <w:szCs w:val="28"/>
              </w:rPr>
            </w:pPr>
            <w:r>
              <w:rPr>
                <w:sz w:val="28"/>
                <w:szCs w:val="28"/>
              </w:rPr>
              <w:tab/>
            </w:r>
            <w:r>
              <w:rPr>
                <w:rFonts w:hint="eastAsia"/>
                <w:sz w:val="28"/>
                <w:szCs w:val="28"/>
              </w:rPr>
              <w:t xml:space="preserve">（8）、《危险化学品名录》（国家安全监局人告2003第1号）；   </w:t>
            </w:r>
          </w:p>
          <w:p w14:paraId="42C6C6E0">
            <w:pPr>
              <w:tabs>
                <w:tab w:val="left" w:pos="3675"/>
              </w:tabs>
              <w:rPr>
                <w:rFonts w:hint="eastAsia"/>
                <w:sz w:val="28"/>
                <w:szCs w:val="28"/>
              </w:rPr>
            </w:pPr>
            <w:r>
              <w:rPr>
                <w:rFonts w:hint="eastAsia"/>
                <w:sz w:val="28"/>
                <w:szCs w:val="28"/>
              </w:rPr>
              <w:t xml:space="preserve">    （9）、《常用化学危险品贮存通则》（GB15603）;</w:t>
            </w:r>
          </w:p>
          <w:p w14:paraId="78A5E1D1">
            <w:pPr>
              <w:tabs>
                <w:tab w:val="left" w:pos="3675"/>
              </w:tabs>
              <w:ind w:firstLine="570"/>
              <w:rPr>
                <w:rFonts w:hint="eastAsia"/>
                <w:sz w:val="28"/>
                <w:szCs w:val="28"/>
              </w:rPr>
            </w:pPr>
            <w:r>
              <w:rPr>
                <w:rFonts w:hint="eastAsia"/>
                <w:sz w:val="28"/>
                <w:szCs w:val="28"/>
              </w:rPr>
              <w:t>（10）、《企业职工伤亡事故经济损失统计标准》（GB6720）;</w:t>
            </w:r>
          </w:p>
          <w:p w14:paraId="40BA6038">
            <w:pPr>
              <w:tabs>
                <w:tab w:val="left" w:pos="3675"/>
              </w:tabs>
              <w:ind w:firstLine="570"/>
              <w:rPr>
                <w:rFonts w:hint="eastAsia"/>
                <w:sz w:val="28"/>
                <w:szCs w:val="28"/>
              </w:rPr>
            </w:pPr>
            <w:r>
              <w:rPr>
                <w:rFonts w:hint="eastAsia"/>
                <w:sz w:val="28"/>
                <w:szCs w:val="28"/>
              </w:rPr>
              <w:t>（11）、《危险化学品事故应急救援预案编制导则（单位版）》</w:t>
            </w:r>
          </w:p>
          <w:p w14:paraId="4E86620A">
            <w:pPr>
              <w:tabs>
                <w:tab w:val="left" w:pos="650"/>
              </w:tabs>
              <w:ind w:firstLine="560" w:firstLineChars="200"/>
              <w:rPr>
                <w:sz w:val="28"/>
                <w:szCs w:val="28"/>
              </w:rPr>
            </w:pPr>
            <w:r>
              <w:rPr>
                <w:rFonts w:hint="eastAsia"/>
                <w:sz w:val="28"/>
                <w:szCs w:val="28"/>
              </w:rPr>
              <w:t>3、适用范围；</w:t>
            </w:r>
          </w:p>
          <w:p w14:paraId="47C5626F">
            <w:pPr>
              <w:tabs>
                <w:tab w:val="left" w:pos="650"/>
              </w:tabs>
              <w:rPr>
                <w:rFonts w:hint="eastAsia"/>
                <w:sz w:val="28"/>
                <w:szCs w:val="28"/>
              </w:rPr>
            </w:pPr>
            <w:r>
              <w:rPr>
                <w:sz w:val="28"/>
                <w:szCs w:val="28"/>
              </w:rPr>
              <w:tab/>
            </w:r>
            <w:r>
              <w:rPr>
                <w:rFonts w:hint="eastAsia"/>
                <w:sz w:val="28"/>
                <w:szCs w:val="28"/>
              </w:rPr>
              <w:t>本预案适用于本公司运输危化品车辆可能发生的翻车、危险品泄漏、火灾爆炸、撞车、坠河等事故。</w:t>
            </w:r>
          </w:p>
          <w:p w14:paraId="382A06D4">
            <w:pPr>
              <w:tabs>
                <w:tab w:val="left" w:pos="650"/>
              </w:tabs>
              <w:ind w:firstLine="560" w:firstLineChars="200"/>
              <w:rPr>
                <w:rFonts w:hint="eastAsia"/>
                <w:sz w:val="28"/>
                <w:szCs w:val="28"/>
              </w:rPr>
            </w:pPr>
            <w:r>
              <w:rPr>
                <w:rFonts w:hint="eastAsia"/>
                <w:sz w:val="28"/>
                <w:szCs w:val="28"/>
              </w:rPr>
              <w:t>4、 意义：</w:t>
            </w:r>
          </w:p>
          <w:p w14:paraId="6D4205DD">
            <w:pPr>
              <w:tabs>
                <w:tab w:val="left" w:pos="785"/>
              </w:tabs>
              <w:ind w:firstLine="570"/>
              <w:rPr>
                <w:rFonts w:hint="eastAsia"/>
                <w:sz w:val="28"/>
                <w:szCs w:val="28"/>
              </w:rPr>
            </w:pPr>
            <w:r>
              <w:rPr>
                <w:rFonts w:hint="eastAsia"/>
                <w:sz w:val="28"/>
                <w:szCs w:val="28"/>
              </w:rPr>
              <w:t>遵循“以防为主，防消结合”，追求最大限度地减少人员伤亡及财产损失，利用有限的人力、物力，把事故控制造成危害控制在最小范围之内。</w:t>
            </w:r>
          </w:p>
          <w:p w14:paraId="588C3829">
            <w:pPr>
              <w:numPr>
                <w:ilvl w:val="0"/>
                <w:numId w:val="15"/>
              </w:numPr>
              <w:tabs>
                <w:tab w:val="left" w:pos="785"/>
              </w:tabs>
              <w:ind w:firstLine="560" w:firstLineChars="200"/>
              <w:outlineLvl w:val="0"/>
              <w:rPr>
                <w:rFonts w:hint="eastAsia"/>
                <w:sz w:val="28"/>
                <w:szCs w:val="28"/>
              </w:rPr>
            </w:pPr>
            <w:r>
              <w:rPr>
                <w:rFonts w:hint="eastAsia"/>
                <w:sz w:val="28"/>
                <w:szCs w:val="28"/>
              </w:rPr>
              <w:t>公司概况</w:t>
            </w:r>
          </w:p>
          <w:p w14:paraId="373F79B9">
            <w:pPr>
              <w:ind w:firstLine="560" w:firstLineChars="200"/>
              <w:rPr>
                <w:rFonts w:hint="eastAsia" w:ascii="宋体" w:hAnsi="宋体" w:eastAsia="宋体"/>
                <w:kern w:val="2"/>
                <w:sz w:val="28"/>
                <w:szCs w:val="28"/>
                <w:lang w:val="en-US" w:eastAsia="zh-CN" w:bidi="ar-SA"/>
              </w:rPr>
            </w:pPr>
            <w:r>
              <w:rPr>
                <w:rFonts w:hint="eastAsia"/>
                <w:color w:val="FF0000"/>
                <w:sz w:val="28"/>
                <w:szCs w:val="28"/>
              </w:rPr>
              <w:t xml:space="preserve">  </w:t>
            </w:r>
            <w:r>
              <w:rPr>
                <w:rFonts w:hint="eastAsia" w:ascii="宋体" w:hAnsi="宋体" w:eastAsia="宋体"/>
                <w:kern w:val="2"/>
                <w:sz w:val="28"/>
                <w:szCs w:val="28"/>
                <w:lang w:val="en-US" w:eastAsia="zh-CN" w:bidi="ar-SA"/>
              </w:rPr>
              <w:t xml:space="preserve"> 开化盛翔物流有限公司位于开化县城关镇西子街17号—01</w:t>
            </w:r>
            <w:r>
              <w:rPr>
                <w:rFonts w:hint="eastAsia" w:ascii="宋体" w:hAnsi="宋体"/>
                <w:kern w:val="2"/>
                <w:sz w:val="28"/>
                <w:szCs w:val="28"/>
                <w:lang w:val="en-US" w:eastAsia="zh-CN" w:bidi="ar-SA"/>
              </w:rPr>
              <w:t>，</w:t>
            </w:r>
            <w:r>
              <w:rPr>
                <w:rFonts w:hint="eastAsia" w:ascii="宋体" w:hAnsi="宋体" w:eastAsia="宋体"/>
                <w:kern w:val="2"/>
                <w:sz w:val="28"/>
                <w:szCs w:val="28"/>
                <w:lang w:val="en-US" w:eastAsia="zh-CN" w:bidi="ar-SA"/>
              </w:rPr>
              <w:t>停车场位于开化县华埠镇旗峰路5号，占地面积1000平方米，法人代表王之君。开化盛翔物流有限公司成立于2013年，是一家经营性危险化学品运输公司，主要承担垃圾飞灰、电镀污泥、焦油等危险废物的运输配送业务。公司现有</w:t>
            </w:r>
            <w:r>
              <w:rPr>
                <w:rFonts w:hint="eastAsia" w:eastAsia="宋体"/>
                <w:kern w:val="2"/>
                <w:sz w:val="28"/>
                <w:szCs w:val="28"/>
                <w:lang w:val="en-US" w:eastAsia="zh-CN" w:bidi="ar-SA"/>
              </w:rPr>
              <w:t>24</w:t>
            </w:r>
            <w:r>
              <w:rPr>
                <w:rFonts w:hint="eastAsia" w:ascii="宋体" w:hAnsi="宋体" w:eastAsia="宋体"/>
                <w:kern w:val="2"/>
                <w:sz w:val="28"/>
                <w:szCs w:val="28"/>
                <w:lang w:val="en-US" w:eastAsia="zh-CN" w:bidi="ar-SA"/>
              </w:rPr>
              <w:t>辆运输车辆，总吨位427.35吨。从业人员2</w:t>
            </w:r>
            <w:r>
              <w:rPr>
                <w:rFonts w:hint="eastAsia" w:eastAsia="宋体"/>
                <w:kern w:val="2"/>
                <w:sz w:val="28"/>
                <w:szCs w:val="28"/>
                <w:lang w:val="en-US" w:eastAsia="zh-CN" w:bidi="ar-SA"/>
              </w:rPr>
              <w:t>4</w:t>
            </w:r>
            <w:r>
              <w:rPr>
                <w:rFonts w:hint="eastAsia" w:ascii="宋体" w:hAnsi="宋体" w:eastAsia="宋体"/>
                <w:kern w:val="2"/>
                <w:sz w:val="28"/>
                <w:szCs w:val="28"/>
                <w:lang w:val="en-US" w:eastAsia="zh-CN" w:bidi="ar-SA"/>
              </w:rPr>
              <w:t>名，管理人员6名。公司自成立到现在没有发生一起安全事故。</w:t>
            </w:r>
          </w:p>
          <w:p w14:paraId="2D0C806D">
            <w:pPr>
              <w:ind w:firstLine="560" w:firstLineChars="200"/>
              <w:rPr>
                <w:rFonts w:hint="eastAsia" w:ascii="宋体" w:hAnsi="宋体" w:eastAsia="宋体"/>
                <w:kern w:val="2"/>
                <w:sz w:val="28"/>
                <w:szCs w:val="28"/>
                <w:lang w:val="en-US" w:eastAsia="zh-CN" w:bidi="ar-SA"/>
              </w:rPr>
            </w:pPr>
            <w:r>
              <w:rPr>
                <w:rFonts w:hint="eastAsia" w:ascii="宋体" w:hAnsi="宋体" w:eastAsia="宋体"/>
                <w:kern w:val="2"/>
                <w:sz w:val="28"/>
                <w:szCs w:val="28"/>
                <w:lang w:val="en-US" w:eastAsia="zh-CN" w:bidi="ar-SA"/>
              </w:rPr>
              <w:t>公司根据《道路危险货物运输管理规定》制定安全生产管理办法，管理办法分五大部分：安全生产责任制；安全生产责任考核及奖惩制度；安全生产规章制度；岗位安全生产操作规程；生产安全事故应急预案，安全制度、岗位职责、应急预案完善。</w:t>
            </w:r>
          </w:p>
          <w:p w14:paraId="6449DE31">
            <w:pPr>
              <w:ind w:firstLine="560" w:firstLineChars="200"/>
              <w:rPr>
                <w:rFonts w:hint="eastAsia" w:ascii="宋体" w:hAnsi="宋体" w:eastAsia="宋体"/>
                <w:kern w:val="2"/>
                <w:sz w:val="28"/>
                <w:szCs w:val="28"/>
                <w:lang w:val="en-US" w:eastAsia="zh-CN" w:bidi="ar-SA"/>
              </w:rPr>
            </w:pPr>
            <w:r>
              <w:rPr>
                <w:rFonts w:hint="eastAsia" w:ascii="宋体" w:hAnsi="宋体" w:eastAsia="宋体"/>
                <w:kern w:val="2"/>
                <w:sz w:val="28"/>
                <w:szCs w:val="28"/>
                <w:lang w:val="en-US" w:eastAsia="zh-CN" w:bidi="ar-SA"/>
              </w:rPr>
              <w:t>公司为了更好对道路危运</w:t>
            </w:r>
            <w:bookmarkStart w:id="0" w:name="_GoBack"/>
            <w:bookmarkEnd w:id="0"/>
            <w:r>
              <w:rPr>
                <w:rFonts w:hint="eastAsia" w:ascii="宋体" w:hAnsi="宋体" w:eastAsia="宋体"/>
                <w:kern w:val="2"/>
                <w:sz w:val="28"/>
                <w:szCs w:val="28"/>
                <w:lang w:val="en-US" w:eastAsia="zh-CN" w:bidi="ar-SA"/>
              </w:rPr>
              <w:t>货物运输的安全：首先充分运用从严规范管理的的优势，加强了源头管理，对人员、车辆及货物不符合要求一律不得发货出车。其次是充分科技手段，加强对车辆的动态管理，车辆运行过程中，严格按照公安规定的线路运行。配专人对车辆实时监控，及时通知违章驾驶员，立即整改并做好记录，对违章驾驶员按奖惩制度处罚。做到制度、措施、人员、经费到位。</w:t>
            </w:r>
          </w:p>
          <w:p w14:paraId="015E3BE1">
            <w:pPr>
              <w:ind w:firstLine="560" w:firstLineChars="200"/>
              <w:rPr>
                <w:rFonts w:hint="eastAsia"/>
                <w:color w:val="FF0000"/>
                <w:sz w:val="28"/>
                <w:szCs w:val="28"/>
              </w:rPr>
            </w:pPr>
            <w:r>
              <w:rPr>
                <w:rFonts w:hint="eastAsia" w:ascii="宋体" w:hAnsi="宋体" w:eastAsia="宋体"/>
                <w:kern w:val="2"/>
                <w:sz w:val="28"/>
                <w:szCs w:val="28"/>
                <w:lang w:val="en-US" w:eastAsia="zh-CN" w:bidi="ar-SA"/>
              </w:rPr>
              <w:t>公司始终贯彻“安全第一、预防为主”的安全工作方针，严格执行行业管理的要求和规定，狠抓安全管理工作，不断完善安全运输管理制度，不断加大监督力度，正确处理好安全与生产、安全与效益等各方面的关系，在上级管理部门的指导下，一定能成为规范化、集约化的现代物流运输企业。</w:t>
            </w:r>
          </w:p>
          <w:p w14:paraId="2F422BBD">
            <w:pPr>
              <w:tabs>
                <w:tab w:val="left" w:pos="600"/>
              </w:tabs>
              <w:rPr>
                <w:rFonts w:hint="eastAsia"/>
                <w:sz w:val="28"/>
                <w:szCs w:val="28"/>
              </w:rPr>
            </w:pPr>
          </w:p>
          <w:p w14:paraId="7B675E0E">
            <w:pPr>
              <w:tabs>
                <w:tab w:val="left" w:pos="600"/>
              </w:tabs>
              <w:rPr>
                <w:rFonts w:hint="eastAsia"/>
                <w:b/>
                <w:bCs/>
                <w:sz w:val="28"/>
                <w:szCs w:val="28"/>
              </w:rPr>
            </w:pPr>
            <w:r>
              <w:rPr>
                <w:rFonts w:hint="eastAsia"/>
                <w:b/>
                <w:bCs/>
                <w:sz w:val="28"/>
                <w:szCs w:val="28"/>
              </w:rPr>
              <w:t>三、术语</w:t>
            </w:r>
          </w:p>
          <w:p w14:paraId="698D3114">
            <w:pPr>
              <w:tabs>
                <w:tab w:val="left" w:pos="735"/>
              </w:tabs>
              <w:ind w:firstLine="557" w:firstLineChars="199"/>
              <w:rPr>
                <w:rFonts w:hint="eastAsia"/>
                <w:b/>
                <w:sz w:val="28"/>
                <w:szCs w:val="28"/>
              </w:rPr>
            </w:pPr>
            <w:r>
              <w:rPr>
                <w:rFonts w:hint="eastAsia"/>
                <w:sz w:val="28"/>
                <w:szCs w:val="28"/>
              </w:rPr>
              <w:t>1、危化品</w:t>
            </w:r>
          </w:p>
          <w:p w14:paraId="24BB8DF4">
            <w:pPr>
              <w:ind w:firstLine="570"/>
              <w:rPr>
                <w:rFonts w:hint="eastAsia"/>
                <w:sz w:val="28"/>
                <w:szCs w:val="28"/>
              </w:rPr>
            </w:pPr>
            <w:r>
              <w:rPr>
                <w:rFonts w:hint="eastAsia"/>
                <w:sz w:val="28"/>
                <w:szCs w:val="28"/>
              </w:rPr>
              <w:t>是指有危险的化学品。</w:t>
            </w:r>
          </w:p>
          <w:p w14:paraId="41F2B27A">
            <w:pPr>
              <w:rPr>
                <w:sz w:val="28"/>
                <w:szCs w:val="28"/>
              </w:rPr>
            </w:pPr>
            <w:r>
              <w:rPr>
                <w:rFonts w:hint="eastAsia"/>
                <w:sz w:val="28"/>
                <w:szCs w:val="28"/>
              </w:rPr>
              <w:t xml:space="preserve">    2、危化品事故</w:t>
            </w:r>
          </w:p>
          <w:p w14:paraId="72EA5C78">
            <w:pPr>
              <w:tabs>
                <w:tab w:val="left" w:pos="600"/>
              </w:tabs>
              <w:rPr>
                <w:rFonts w:hint="eastAsia"/>
                <w:sz w:val="28"/>
                <w:szCs w:val="28"/>
              </w:rPr>
            </w:pPr>
            <w:r>
              <w:rPr>
                <w:sz w:val="28"/>
                <w:szCs w:val="28"/>
              </w:rPr>
              <w:tab/>
            </w:r>
            <w:r>
              <w:rPr>
                <w:rFonts w:hint="eastAsia"/>
                <w:sz w:val="28"/>
                <w:szCs w:val="28"/>
              </w:rPr>
              <w:t>是指危化品其量意外释放造成的人身伤亡，其意外泄漏造成燃烧、爆炸或环境污染事故。</w:t>
            </w:r>
          </w:p>
          <w:p w14:paraId="14B19892">
            <w:pPr>
              <w:tabs>
                <w:tab w:val="left" w:pos="600"/>
              </w:tabs>
              <w:ind w:firstLine="570"/>
              <w:rPr>
                <w:rFonts w:hint="eastAsia"/>
                <w:sz w:val="28"/>
                <w:szCs w:val="28"/>
              </w:rPr>
            </w:pPr>
            <w:r>
              <w:rPr>
                <w:rFonts w:hint="eastAsia"/>
                <w:sz w:val="28"/>
                <w:szCs w:val="28"/>
              </w:rPr>
              <w:t>3、应急救援</w:t>
            </w:r>
          </w:p>
          <w:p w14:paraId="6471132A">
            <w:pPr>
              <w:tabs>
                <w:tab w:val="left" w:pos="600"/>
              </w:tabs>
              <w:ind w:firstLine="570"/>
              <w:rPr>
                <w:rFonts w:hint="eastAsia"/>
                <w:sz w:val="28"/>
                <w:szCs w:val="28"/>
              </w:rPr>
            </w:pPr>
            <w:r>
              <w:rPr>
                <w:rFonts w:hint="eastAsia"/>
                <w:sz w:val="28"/>
                <w:szCs w:val="28"/>
              </w:rPr>
              <w:t>是指以发生事故时，采取的消除、减少事故危害和防止事故恶化，最大限度降低事故损失的措施。</w:t>
            </w:r>
          </w:p>
          <w:p w14:paraId="64D8A698">
            <w:pPr>
              <w:tabs>
                <w:tab w:val="left" w:pos="600"/>
              </w:tabs>
              <w:ind w:firstLine="570"/>
              <w:rPr>
                <w:rFonts w:hint="eastAsia"/>
                <w:sz w:val="28"/>
                <w:szCs w:val="28"/>
              </w:rPr>
            </w:pPr>
            <w:r>
              <w:rPr>
                <w:rFonts w:hint="eastAsia"/>
                <w:sz w:val="28"/>
                <w:szCs w:val="28"/>
              </w:rPr>
              <w:t>4、预案</w:t>
            </w:r>
          </w:p>
          <w:p w14:paraId="5C3775FE">
            <w:pPr>
              <w:tabs>
                <w:tab w:val="left" w:pos="600"/>
              </w:tabs>
              <w:ind w:firstLine="570"/>
              <w:rPr>
                <w:sz w:val="28"/>
                <w:szCs w:val="28"/>
              </w:rPr>
            </w:pPr>
            <w:r>
              <w:rPr>
                <w:rFonts w:hint="eastAsia"/>
                <w:sz w:val="28"/>
                <w:szCs w:val="28"/>
              </w:rPr>
              <w:t>是指预测危险源、危险目标可能发生事故的类别、危害程度、而制定的事故应急救援方案。充分考虑现有物质、人员及危险源的具体条件，使事故发生时能及时、有效地统筹指导事故应急救援行动。</w:t>
            </w:r>
          </w:p>
          <w:p w14:paraId="629D8C1D">
            <w:pPr>
              <w:ind w:firstLine="560" w:firstLineChars="200"/>
              <w:rPr>
                <w:sz w:val="28"/>
                <w:szCs w:val="28"/>
              </w:rPr>
            </w:pPr>
            <w:r>
              <w:rPr>
                <w:rFonts w:hint="eastAsia"/>
                <w:sz w:val="28"/>
                <w:szCs w:val="28"/>
              </w:rPr>
              <w:t>5、危险目标</w:t>
            </w:r>
          </w:p>
          <w:p w14:paraId="448035B8">
            <w:pPr>
              <w:ind w:firstLine="560" w:firstLineChars="200"/>
              <w:rPr>
                <w:rFonts w:hint="eastAsia"/>
                <w:sz w:val="28"/>
                <w:szCs w:val="28"/>
              </w:rPr>
            </w:pPr>
            <w:r>
              <w:rPr>
                <w:rFonts w:hint="eastAsia"/>
                <w:sz w:val="28"/>
                <w:szCs w:val="28"/>
              </w:rPr>
              <w:t>指危化品 性质、数量可能引起事故的场所和车载货物。</w:t>
            </w:r>
          </w:p>
          <w:p w14:paraId="2CD69777">
            <w:pPr>
              <w:ind w:firstLine="560" w:firstLineChars="200"/>
              <w:rPr>
                <w:rFonts w:hint="eastAsia"/>
                <w:sz w:val="28"/>
                <w:szCs w:val="28"/>
              </w:rPr>
            </w:pPr>
            <w:r>
              <w:rPr>
                <w:rFonts w:hint="eastAsia"/>
                <w:sz w:val="28"/>
                <w:szCs w:val="28"/>
              </w:rPr>
              <w:t>6、直接经济损失</w:t>
            </w:r>
          </w:p>
          <w:p w14:paraId="58E4DAD2">
            <w:pPr>
              <w:ind w:firstLine="560" w:firstLineChars="200"/>
              <w:rPr>
                <w:rFonts w:hint="eastAsia"/>
                <w:sz w:val="28"/>
                <w:szCs w:val="28"/>
              </w:rPr>
            </w:pPr>
            <w:r>
              <w:rPr>
                <w:rFonts w:hint="eastAsia"/>
                <w:sz w:val="28"/>
                <w:szCs w:val="28"/>
              </w:rPr>
              <w:t>指因事故导致产值减少、资源破坏和受到事故影响而造成其他损失的价值。</w:t>
            </w:r>
          </w:p>
          <w:p w14:paraId="0F5D75C6">
            <w:pPr>
              <w:ind w:firstLine="560" w:firstLineChars="200"/>
              <w:rPr>
                <w:sz w:val="28"/>
                <w:szCs w:val="28"/>
              </w:rPr>
            </w:pPr>
            <w:r>
              <w:rPr>
                <w:rFonts w:hint="eastAsia"/>
                <w:sz w:val="28"/>
                <w:szCs w:val="28"/>
              </w:rPr>
              <w:t>7、间接经济损失</w:t>
            </w:r>
          </w:p>
          <w:p w14:paraId="502B20B7">
            <w:pPr>
              <w:tabs>
                <w:tab w:val="left" w:pos="625"/>
              </w:tabs>
              <w:rPr>
                <w:rFonts w:hint="eastAsia"/>
                <w:sz w:val="28"/>
                <w:szCs w:val="28"/>
              </w:rPr>
            </w:pPr>
            <w:r>
              <w:rPr>
                <w:sz w:val="28"/>
                <w:szCs w:val="28"/>
              </w:rPr>
              <w:tab/>
            </w:r>
            <w:r>
              <w:rPr>
                <w:rFonts w:hint="eastAsia"/>
                <w:sz w:val="28"/>
                <w:szCs w:val="28"/>
              </w:rPr>
              <w:t>指因事故导致产值减少、资源破坏和受事故影响而造成的其他损失的价值。</w:t>
            </w:r>
          </w:p>
          <w:p w14:paraId="7869F729">
            <w:pPr>
              <w:tabs>
                <w:tab w:val="left" w:pos="625"/>
              </w:tabs>
              <w:ind w:firstLine="560" w:firstLineChars="200"/>
              <w:outlineLvl w:val="0"/>
              <w:rPr>
                <w:rFonts w:hint="eastAsia"/>
                <w:sz w:val="28"/>
                <w:szCs w:val="28"/>
              </w:rPr>
            </w:pPr>
            <w:r>
              <w:rPr>
                <w:rFonts w:hint="eastAsia"/>
                <w:sz w:val="28"/>
                <w:szCs w:val="28"/>
              </w:rPr>
              <w:t>四、危险目标</w:t>
            </w:r>
            <w:r>
              <w:rPr>
                <w:sz w:val="28"/>
                <w:szCs w:val="28"/>
              </w:rPr>
              <w:tab/>
            </w:r>
          </w:p>
          <w:p w14:paraId="5D1F4DF6">
            <w:pPr>
              <w:tabs>
                <w:tab w:val="left" w:pos="990"/>
              </w:tabs>
              <w:ind w:firstLine="560" w:firstLineChars="200"/>
              <w:rPr>
                <w:rFonts w:hint="eastAsia"/>
                <w:sz w:val="28"/>
                <w:szCs w:val="28"/>
              </w:rPr>
            </w:pPr>
            <w:r>
              <w:rPr>
                <w:rFonts w:hint="eastAsia"/>
                <w:sz w:val="28"/>
                <w:szCs w:val="28"/>
              </w:rPr>
              <w:t>1、危害种类。本公司确定运输的危险货物种类有：</w:t>
            </w:r>
          </w:p>
          <w:p w14:paraId="169CC671">
            <w:pPr>
              <w:tabs>
                <w:tab w:val="left" w:pos="990"/>
              </w:tabs>
              <w:ind w:firstLine="560" w:firstLineChars="200"/>
              <w:rPr>
                <w:rFonts w:hint="eastAsia"/>
                <w:sz w:val="28"/>
                <w:szCs w:val="28"/>
              </w:rPr>
            </w:pPr>
            <w:r>
              <w:rPr>
                <w:rFonts w:hint="eastAsia"/>
                <w:sz w:val="28"/>
                <w:szCs w:val="28"/>
              </w:rPr>
              <w:t>（1）</w:t>
            </w:r>
            <w:r>
              <w:rPr>
                <w:rFonts w:hint="eastAsia"/>
                <w:sz w:val="28"/>
                <w:szCs w:val="28"/>
                <w:lang w:eastAsia="zh-CN"/>
              </w:rPr>
              <w:t>危险废物：垃圾飞灰、电镀污泥</w:t>
            </w:r>
            <w:r>
              <w:rPr>
                <w:rFonts w:hint="eastAsia"/>
                <w:sz w:val="28"/>
                <w:szCs w:val="28"/>
              </w:rPr>
              <w:t>；（2）</w:t>
            </w:r>
            <w:r>
              <w:rPr>
                <w:rFonts w:hint="eastAsia"/>
                <w:sz w:val="28"/>
                <w:szCs w:val="28"/>
                <w:lang w:eastAsia="zh-CN"/>
              </w:rPr>
              <w:t>酚焦油</w:t>
            </w:r>
            <w:r>
              <w:rPr>
                <w:rFonts w:hint="eastAsia"/>
                <w:sz w:val="28"/>
                <w:szCs w:val="28"/>
              </w:rPr>
              <w:t>；共</w:t>
            </w:r>
            <w:r>
              <w:rPr>
                <w:rFonts w:hint="eastAsia"/>
                <w:sz w:val="28"/>
                <w:szCs w:val="28"/>
                <w:lang w:eastAsia="zh-CN"/>
              </w:rPr>
              <w:t>二</w:t>
            </w:r>
            <w:r>
              <w:rPr>
                <w:rFonts w:hint="eastAsia"/>
                <w:sz w:val="28"/>
                <w:szCs w:val="28"/>
              </w:rPr>
              <w:t>大类。</w:t>
            </w:r>
          </w:p>
          <w:p w14:paraId="48C53085">
            <w:pPr>
              <w:tabs>
                <w:tab w:val="left" w:pos="990"/>
              </w:tabs>
              <w:ind w:firstLine="560" w:firstLineChars="200"/>
              <w:rPr>
                <w:rFonts w:hint="eastAsia"/>
                <w:sz w:val="28"/>
                <w:szCs w:val="28"/>
              </w:rPr>
            </w:pPr>
            <w:r>
              <w:rPr>
                <w:rFonts w:hint="eastAsia"/>
                <w:sz w:val="28"/>
                <w:szCs w:val="28"/>
              </w:rPr>
              <w:t>2、 危险目标的危险特性及周边的影响</w:t>
            </w:r>
          </w:p>
          <w:p w14:paraId="14BD28EE">
            <w:pPr>
              <w:tabs>
                <w:tab w:val="left" w:pos="990"/>
              </w:tabs>
              <w:ind w:firstLine="560" w:firstLineChars="200"/>
              <w:rPr>
                <w:rFonts w:hint="eastAsia" w:eastAsia="微软雅黑"/>
                <w:sz w:val="28"/>
                <w:szCs w:val="28"/>
                <w:lang w:eastAsia="zh-CN"/>
              </w:rPr>
            </w:pPr>
            <w:r>
              <w:rPr>
                <w:rFonts w:hint="eastAsia"/>
                <w:sz w:val="28"/>
                <w:szCs w:val="28"/>
              </w:rPr>
              <w:t>（1）、a、</w:t>
            </w:r>
            <w:r>
              <w:rPr>
                <w:rFonts w:hint="eastAsia"/>
                <w:sz w:val="28"/>
                <w:szCs w:val="28"/>
                <w:lang w:eastAsia="zh-CN"/>
              </w:rPr>
              <w:t>垃圾飞灰</w:t>
            </w:r>
          </w:p>
          <w:p w14:paraId="5FA91E6F">
            <w:pPr>
              <w:tabs>
                <w:tab w:val="left" w:pos="990"/>
              </w:tabs>
              <w:ind w:firstLine="630"/>
              <w:rPr>
                <w:rFonts w:hint="eastAsia"/>
                <w:sz w:val="28"/>
                <w:szCs w:val="28"/>
              </w:rPr>
            </w:pPr>
            <w:r>
              <w:rPr>
                <w:rFonts w:hint="eastAsia"/>
                <w:sz w:val="28"/>
                <w:szCs w:val="28"/>
              </w:rPr>
              <w:t>危险性类别：</w:t>
            </w:r>
            <w:r>
              <w:rPr>
                <w:rFonts w:hint="eastAsia"/>
                <w:sz w:val="28"/>
                <w:szCs w:val="28"/>
                <w:lang w:eastAsia="zh-CN"/>
              </w:rPr>
              <w:t>危险废物</w:t>
            </w:r>
            <w:r>
              <w:rPr>
                <w:rFonts w:hint="eastAsia"/>
                <w:sz w:val="28"/>
                <w:szCs w:val="28"/>
              </w:rPr>
              <w:t>；危规号:</w:t>
            </w:r>
            <w:r>
              <w:rPr>
                <w:rFonts w:hint="eastAsia"/>
                <w:sz w:val="28"/>
                <w:szCs w:val="28"/>
                <w:lang w:val="en-US" w:eastAsia="zh-CN"/>
              </w:rPr>
              <w:t>HW18</w:t>
            </w:r>
            <w:r>
              <w:rPr>
                <w:rFonts w:hint="eastAsia"/>
                <w:sz w:val="28"/>
                <w:szCs w:val="28"/>
              </w:rPr>
              <w:t>;UN编号：；包装分类：包装标识：。</w:t>
            </w:r>
          </w:p>
          <w:p w14:paraId="3C7A9C00">
            <w:pPr>
              <w:tabs>
                <w:tab w:val="left" w:pos="990"/>
              </w:tabs>
              <w:ind w:firstLine="630"/>
              <w:rPr>
                <w:rFonts w:hint="eastAsia"/>
                <w:sz w:val="28"/>
                <w:szCs w:val="28"/>
              </w:rPr>
            </w:pPr>
            <w:r>
              <w:rPr>
                <w:rFonts w:hint="eastAsia"/>
                <w:sz w:val="28"/>
                <w:szCs w:val="28"/>
              </w:rPr>
              <w:t>危险特性：</w:t>
            </w:r>
            <w:r>
              <w:rPr>
                <w:rFonts w:hint="eastAsia"/>
                <w:sz w:val="28"/>
                <w:szCs w:val="28"/>
                <w:lang w:eastAsia="zh-CN"/>
              </w:rPr>
              <w:t>有害重金属和氯含量高，对人体健康有害</w:t>
            </w:r>
            <w:r>
              <w:rPr>
                <w:rFonts w:hint="eastAsia"/>
                <w:sz w:val="28"/>
                <w:szCs w:val="28"/>
              </w:rPr>
              <w:t>。</w:t>
            </w:r>
          </w:p>
          <w:p w14:paraId="7A008101">
            <w:pPr>
              <w:tabs>
                <w:tab w:val="left" w:pos="990"/>
              </w:tabs>
              <w:ind w:firstLine="630"/>
              <w:rPr>
                <w:rFonts w:hint="eastAsia"/>
                <w:sz w:val="28"/>
                <w:szCs w:val="28"/>
              </w:rPr>
            </w:pPr>
            <w:r>
              <w:rPr>
                <w:rFonts w:hint="eastAsia"/>
                <w:sz w:val="28"/>
                <w:szCs w:val="28"/>
              </w:rPr>
              <w:t>对周边的影响：工作现场</w:t>
            </w:r>
            <w:r>
              <w:rPr>
                <w:rFonts w:hint="eastAsia"/>
                <w:sz w:val="28"/>
                <w:szCs w:val="28"/>
                <w:lang w:eastAsia="zh-CN"/>
              </w:rPr>
              <w:t>佩戴防毒面罩</w:t>
            </w:r>
            <w:r>
              <w:rPr>
                <w:rFonts w:hint="eastAsia"/>
                <w:sz w:val="28"/>
                <w:szCs w:val="28"/>
              </w:rPr>
              <w:t>、保持良好的卫生习惯。</w:t>
            </w:r>
          </w:p>
          <w:p w14:paraId="7FC16FDC">
            <w:pPr>
              <w:numPr>
                <w:ilvl w:val="0"/>
                <w:numId w:val="0"/>
              </w:numPr>
              <w:tabs>
                <w:tab w:val="left" w:pos="990"/>
                <w:tab w:val="left" w:pos="1100"/>
              </w:tabs>
              <w:ind w:firstLine="560" w:firstLineChars="200"/>
              <w:rPr>
                <w:rFonts w:hint="eastAsia"/>
                <w:sz w:val="28"/>
                <w:szCs w:val="28"/>
                <w:lang w:eastAsia="zh-CN"/>
              </w:rPr>
            </w:pPr>
            <w:r>
              <w:rPr>
                <w:rFonts w:hint="eastAsia"/>
                <w:sz w:val="28"/>
                <w:szCs w:val="28"/>
                <w:lang w:eastAsia="zh-CN"/>
              </w:rPr>
              <w:t>（</w:t>
            </w:r>
            <w:r>
              <w:rPr>
                <w:rFonts w:hint="eastAsia"/>
                <w:sz w:val="28"/>
                <w:szCs w:val="28"/>
                <w:lang w:val="en-US" w:eastAsia="zh-CN"/>
              </w:rPr>
              <w:t>1）</w:t>
            </w:r>
            <w:r>
              <w:rPr>
                <w:rFonts w:hint="eastAsia"/>
                <w:sz w:val="28"/>
                <w:szCs w:val="28"/>
              </w:rPr>
              <w:t>、b、</w:t>
            </w:r>
            <w:r>
              <w:rPr>
                <w:rFonts w:hint="eastAsia"/>
                <w:sz w:val="28"/>
                <w:szCs w:val="28"/>
                <w:lang w:eastAsia="zh-CN"/>
              </w:rPr>
              <w:t>电镀污泥</w:t>
            </w:r>
          </w:p>
          <w:p w14:paraId="317CA786">
            <w:pPr>
              <w:tabs>
                <w:tab w:val="left" w:pos="990"/>
              </w:tabs>
              <w:ind w:firstLine="630"/>
              <w:rPr>
                <w:rFonts w:hint="eastAsia"/>
                <w:sz w:val="28"/>
                <w:szCs w:val="28"/>
              </w:rPr>
            </w:pPr>
            <w:r>
              <w:rPr>
                <w:rFonts w:hint="eastAsia"/>
                <w:sz w:val="28"/>
                <w:szCs w:val="28"/>
              </w:rPr>
              <w:t>危险性类别：</w:t>
            </w:r>
            <w:r>
              <w:rPr>
                <w:rFonts w:hint="eastAsia"/>
                <w:sz w:val="28"/>
                <w:szCs w:val="28"/>
                <w:lang w:eastAsia="zh-CN"/>
              </w:rPr>
              <w:t>危险废物</w:t>
            </w:r>
            <w:r>
              <w:rPr>
                <w:rFonts w:hint="eastAsia"/>
                <w:sz w:val="28"/>
                <w:szCs w:val="28"/>
              </w:rPr>
              <w:t>；危规号:</w:t>
            </w:r>
            <w:r>
              <w:rPr>
                <w:rFonts w:hint="eastAsia"/>
                <w:sz w:val="28"/>
                <w:szCs w:val="28"/>
                <w:lang w:val="en-US" w:eastAsia="zh-CN"/>
              </w:rPr>
              <w:t>HW17</w:t>
            </w:r>
            <w:r>
              <w:rPr>
                <w:rFonts w:hint="eastAsia"/>
                <w:sz w:val="28"/>
                <w:szCs w:val="28"/>
              </w:rPr>
              <w:t>;UN编号：；包装分类：包装标识：。</w:t>
            </w:r>
          </w:p>
          <w:p w14:paraId="5DABB5E9">
            <w:pPr>
              <w:tabs>
                <w:tab w:val="left" w:pos="990"/>
              </w:tabs>
              <w:ind w:firstLine="630"/>
              <w:rPr>
                <w:rFonts w:hint="eastAsia"/>
                <w:sz w:val="28"/>
                <w:szCs w:val="28"/>
              </w:rPr>
            </w:pPr>
            <w:r>
              <w:rPr>
                <w:rFonts w:hint="eastAsia"/>
                <w:sz w:val="28"/>
                <w:szCs w:val="28"/>
              </w:rPr>
              <w:t>危险特性：</w:t>
            </w:r>
            <w:r>
              <w:rPr>
                <w:rFonts w:hint="eastAsia"/>
                <w:sz w:val="28"/>
                <w:szCs w:val="28"/>
                <w:lang w:eastAsia="zh-CN"/>
              </w:rPr>
              <w:t>有害重金属含量高，对人体健康有害</w:t>
            </w:r>
            <w:r>
              <w:rPr>
                <w:rFonts w:hint="eastAsia"/>
                <w:sz w:val="28"/>
                <w:szCs w:val="28"/>
              </w:rPr>
              <w:t>。</w:t>
            </w:r>
          </w:p>
          <w:p w14:paraId="24C17433">
            <w:pPr>
              <w:tabs>
                <w:tab w:val="left" w:pos="990"/>
              </w:tabs>
              <w:ind w:firstLine="630"/>
              <w:rPr>
                <w:rFonts w:hint="eastAsia"/>
                <w:sz w:val="28"/>
                <w:szCs w:val="28"/>
              </w:rPr>
            </w:pPr>
            <w:r>
              <w:rPr>
                <w:rFonts w:hint="eastAsia"/>
                <w:sz w:val="28"/>
                <w:szCs w:val="28"/>
              </w:rPr>
              <w:t>对周边的影响：工作现场</w:t>
            </w:r>
            <w:r>
              <w:rPr>
                <w:rFonts w:hint="eastAsia"/>
                <w:sz w:val="28"/>
                <w:szCs w:val="28"/>
                <w:lang w:eastAsia="zh-CN"/>
              </w:rPr>
              <w:t>佩戴防毒面罩</w:t>
            </w:r>
            <w:r>
              <w:rPr>
                <w:rFonts w:hint="eastAsia"/>
                <w:sz w:val="28"/>
                <w:szCs w:val="28"/>
              </w:rPr>
              <w:t>、保持良好的卫生习惯。</w:t>
            </w:r>
          </w:p>
          <w:p w14:paraId="5CFCC250">
            <w:pPr>
              <w:tabs>
                <w:tab w:val="left" w:pos="990"/>
              </w:tabs>
              <w:ind w:firstLine="630"/>
              <w:rPr>
                <w:rFonts w:hint="eastAsia" w:eastAsia="微软雅黑"/>
                <w:sz w:val="28"/>
                <w:szCs w:val="28"/>
                <w:lang w:eastAsia="zh-CN"/>
              </w:rPr>
            </w:pPr>
            <w:r>
              <w:rPr>
                <w:rFonts w:hint="eastAsia"/>
                <w:sz w:val="28"/>
                <w:szCs w:val="28"/>
              </w:rPr>
              <w:t>（</w:t>
            </w:r>
            <w:r>
              <w:rPr>
                <w:rFonts w:hint="eastAsia"/>
                <w:sz w:val="28"/>
                <w:szCs w:val="28"/>
                <w:lang w:val="en-US" w:eastAsia="zh-CN"/>
              </w:rPr>
              <w:t>2</w:t>
            </w:r>
            <w:r>
              <w:rPr>
                <w:rFonts w:hint="eastAsia"/>
                <w:sz w:val="28"/>
                <w:szCs w:val="28"/>
              </w:rPr>
              <w:t>）、</w:t>
            </w:r>
            <w:r>
              <w:rPr>
                <w:rFonts w:hint="eastAsia"/>
                <w:sz w:val="28"/>
                <w:szCs w:val="28"/>
                <w:lang w:eastAsia="zh-CN"/>
              </w:rPr>
              <w:t>酚焦油</w:t>
            </w:r>
          </w:p>
          <w:p w14:paraId="22E4140B">
            <w:pPr>
              <w:tabs>
                <w:tab w:val="left" w:pos="990"/>
              </w:tabs>
              <w:ind w:firstLine="630"/>
              <w:rPr>
                <w:rFonts w:hint="eastAsia"/>
                <w:sz w:val="28"/>
                <w:szCs w:val="28"/>
              </w:rPr>
            </w:pPr>
            <w:r>
              <w:rPr>
                <w:rFonts w:hint="eastAsia"/>
                <w:sz w:val="28"/>
                <w:szCs w:val="28"/>
              </w:rPr>
              <w:t>危险性类别：第</w:t>
            </w:r>
            <w:r>
              <w:rPr>
                <w:rFonts w:hint="eastAsia"/>
                <w:sz w:val="28"/>
                <w:szCs w:val="28"/>
                <w:lang w:val="en-US" w:eastAsia="zh-CN"/>
              </w:rPr>
              <w:t>3</w:t>
            </w:r>
            <w:r>
              <w:rPr>
                <w:rFonts w:hint="eastAsia"/>
                <w:sz w:val="28"/>
                <w:szCs w:val="28"/>
              </w:rPr>
              <w:t>类</w:t>
            </w:r>
            <w:r>
              <w:rPr>
                <w:rFonts w:hint="eastAsia"/>
                <w:sz w:val="28"/>
                <w:szCs w:val="28"/>
                <w:lang w:eastAsia="zh-CN"/>
              </w:rPr>
              <w:t>易燃物品</w:t>
            </w:r>
            <w:r>
              <w:rPr>
                <w:rFonts w:hint="eastAsia"/>
                <w:sz w:val="28"/>
                <w:szCs w:val="28"/>
              </w:rPr>
              <w:t>；危规号：</w:t>
            </w:r>
            <w:r>
              <w:rPr>
                <w:rFonts w:hint="eastAsia"/>
                <w:sz w:val="28"/>
                <w:szCs w:val="28"/>
                <w:lang w:val="en-US" w:eastAsia="zh-CN"/>
              </w:rPr>
              <w:t>1999</w:t>
            </w:r>
            <w:r>
              <w:rPr>
                <w:rFonts w:hint="eastAsia"/>
                <w:sz w:val="28"/>
                <w:szCs w:val="28"/>
              </w:rPr>
              <w:t>；包装分类：III；包装标志：有毒。</w:t>
            </w:r>
          </w:p>
          <w:p w14:paraId="06535299">
            <w:pPr>
              <w:tabs>
                <w:tab w:val="left" w:pos="990"/>
              </w:tabs>
              <w:ind w:firstLine="630"/>
              <w:rPr>
                <w:rFonts w:hint="eastAsia"/>
                <w:sz w:val="28"/>
                <w:szCs w:val="28"/>
              </w:rPr>
            </w:pPr>
            <w:r>
              <w:rPr>
                <w:rFonts w:hint="eastAsia"/>
                <w:sz w:val="28"/>
                <w:szCs w:val="28"/>
              </w:rPr>
              <w:t>危险特性：遇明火</w:t>
            </w:r>
            <w:r>
              <w:rPr>
                <w:rFonts w:hint="eastAsia"/>
                <w:sz w:val="28"/>
                <w:szCs w:val="28"/>
                <w:lang w:eastAsia="zh-CN"/>
              </w:rPr>
              <w:t>可能会燃烧</w:t>
            </w:r>
            <w:r>
              <w:rPr>
                <w:rFonts w:hint="eastAsia"/>
                <w:sz w:val="28"/>
                <w:szCs w:val="28"/>
              </w:rPr>
              <w:t>。受高热</w:t>
            </w:r>
            <w:r>
              <w:rPr>
                <w:rFonts w:hint="eastAsia"/>
                <w:sz w:val="28"/>
                <w:szCs w:val="28"/>
                <w:lang w:eastAsia="zh-CN"/>
              </w:rPr>
              <w:t>有爆炸危险，其蒸汽与空气混合形成爆炸混合物</w:t>
            </w:r>
            <w:r>
              <w:rPr>
                <w:rFonts w:hint="eastAsia"/>
                <w:sz w:val="28"/>
                <w:szCs w:val="28"/>
              </w:rPr>
              <w:t>。</w:t>
            </w:r>
          </w:p>
          <w:p w14:paraId="1E324D67">
            <w:pPr>
              <w:tabs>
                <w:tab w:val="left" w:pos="990"/>
              </w:tabs>
              <w:ind w:firstLine="630"/>
              <w:rPr>
                <w:rFonts w:hint="eastAsia"/>
                <w:sz w:val="28"/>
                <w:szCs w:val="28"/>
              </w:rPr>
            </w:pPr>
            <w:r>
              <w:rPr>
                <w:rFonts w:hint="eastAsia"/>
                <w:sz w:val="28"/>
                <w:szCs w:val="28"/>
              </w:rPr>
              <w:t>对周边的影响：该物质对环境有危害。</w:t>
            </w:r>
          </w:p>
          <w:p w14:paraId="7F963512">
            <w:pPr>
              <w:ind w:firstLine="560" w:firstLineChars="200"/>
              <w:outlineLvl w:val="0"/>
              <w:rPr>
                <w:rFonts w:hint="eastAsia"/>
                <w:sz w:val="28"/>
                <w:szCs w:val="28"/>
              </w:rPr>
            </w:pPr>
            <w:r>
              <w:rPr>
                <w:rFonts w:hint="eastAsia"/>
                <w:sz w:val="28"/>
                <w:szCs w:val="28"/>
              </w:rPr>
              <w:t>五、应急救援组织机构、组成人员和职责</w:t>
            </w:r>
          </w:p>
          <w:p w14:paraId="259F6A30">
            <w:pPr>
              <w:ind w:firstLine="560" w:firstLineChars="200"/>
              <w:rPr>
                <w:sz w:val="28"/>
                <w:szCs w:val="28"/>
              </w:rPr>
            </w:pPr>
            <w:r>
              <w:rPr>
                <w:rFonts w:hint="eastAsia"/>
                <w:sz w:val="28"/>
                <w:szCs w:val="28"/>
              </w:rPr>
              <w:t>1、应急救援组织机构和组成人员</w:t>
            </w:r>
          </w:p>
          <w:p w14:paraId="7604EE88">
            <w:pPr>
              <w:ind w:firstLine="560" w:firstLineChars="200"/>
              <w:rPr>
                <w:rFonts w:hint="eastAsia"/>
                <w:sz w:val="28"/>
                <w:szCs w:val="28"/>
              </w:rPr>
            </w:pPr>
            <w:r>
              <w:rPr>
                <w:rFonts w:hint="eastAsia"/>
                <w:sz w:val="28"/>
                <w:szCs w:val="28"/>
              </w:rPr>
              <w:t>公司成立危险化学品运输事故应急救援指挥部，负责公司危险化学品运输事故应急处理的各项工作。承担危险化学品运输的车辆和驾驶员积极配合用车单位危险化学品运输事故的应急救援工作。</w:t>
            </w:r>
          </w:p>
          <w:p w14:paraId="11C42030">
            <w:pPr>
              <w:ind w:firstLine="560" w:firstLineChars="200"/>
              <w:rPr>
                <w:rFonts w:hint="eastAsia"/>
                <w:sz w:val="28"/>
                <w:szCs w:val="28"/>
              </w:rPr>
            </w:pPr>
            <w:r>
              <w:rPr>
                <w:rFonts w:hint="eastAsia"/>
                <w:sz w:val="28"/>
                <w:szCs w:val="28"/>
              </w:rPr>
              <w:t>公司危货运输事故应急救援指挥部：</w:t>
            </w:r>
          </w:p>
          <w:p w14:paraId="227B910F">
            <w:pPr>
              <w:ind w:firstLine="560" w:firstLineChars="200"/>
              <w:rPr>
                <w:rFonts w:hint="eastAsia"/>
                <w:color w:val="FF0000"/>
                <w:sz w:val="28"/>
                <w:szCs w:val="28"/>
              </w:rPr>
            </w:pPr>
            <w:r>
              <w:rPr>
                <w:rFonts w:hint="eastAsia"/>
                <w:color w:val="FF0000"/>
                <w:sz w:val="28"/>
                <w:szCs w:val="28"/>
              </w:rPr>
              <w:t>总 指 挥：</w:t>
            </w:r>
            <w:r>
              <w:rPr>
                <w:rFonts w:hint="eastAsia"/>
                <w:color w:val="FF0000"/>
                <w:sz w:val="28"/>
                <w:szCs w:val="28"/>
                <w:lang w:eastAsia="zh-CN"/>
              </w:rPr>
              <w:t>王之君</w:t>
            </w:r>
          </w:p>
          <w:p w14:paraId="2CD9FFEE">
            <w:pPr>
              <w:ind w:firstLine="560" w:firstLineChars="200"/>
              <w:rPr>
                <w:rFonts w:hint="eastAsia"/>
                <w:color w:val="FF0000"/>
                <w:sz w:val="28"/>
                <w:szCs w:val="28"/>
              </w:rPr>
            </w:pPr>
            <w:r>
              <w:rPr>
                <w:rFonts w:hint="eastAsia"/>
                <w:color w:val="FF0000"/>
                <w:sz w:val="28"/>
                <w:szCs w:val="28"/>
              </w:rPr>
              <w:t>副总指挥：</w:t>
            </w:r>
            <w:r>
              <w:rPr>
                <w:rFonts w:hint="eastAsia"/>
                <w:color w:val="FF0000"/>
                <w:sz w:val="28"/>
                <w:szCs w:val="28"/>
                <w:lang w:val="en-US" w:eastAsia="zh-CN"/>
              </w:rPr>
              <w:t>方夏忠</w:t>
            </w:r>
          </w:p>
          <w:p w14:paraId="6EAE816B">
            <w:pPr>
              <w:ind w:firstLine="560" w:firstLineChars="200"/>
              <w:rPr>
                <w:rFonts w:hint="default"/>
                <w:color w:val="FF0000"/>
                <w:sz w:val="28"/>
                <w:szCs w:val="28"/>
                <w:lang w:val="en-US" w:eastAsia="zh-CN"/>
              </w:rPr>
            </w:pPr>
            <w:r>
              <w:rPr>
                <w:rFonts w:hint="eastAsia"/>
                <w:color w:val="FF0000"/>
                <w:sz w:val="28"/>
                <w:szCs w:val="28"/>
              </w:rPr>
              <w:t>成</w:t>
            </w:r>
            <w:r>
              <w:rPr>
                <w:rFonts w:hint="eastAsia"/>
                <w:color w:val="FF0000"/>
                <w:sz w:val="28"/>
                <w:szCs w:val="28"/>
                <w:lang w:val="en-US" w:eastAsia="zh-CN"/>
              </w:rPr>
              <w:t xml:space="preserve">    </w:t>
            </w:r>
            <w:r>
              <w:rPr>
                <w:rFonts w:hint="eastAsia"/>
                <w:color w:val="FF0000"/>
                <w:sz w:val="28"/>
                <w:szCs w:val="28"/>
              </w:rPr>
              <w:t>员：</w:t>
            </w:r>
            <w:r>
              <w:rPr>
                <w:rFonts w:hint="eastAsia"/>
                <w:color w:val="FF0000"/>
                <w:sz w:val="28"/>
                <w:szCs w:val="28"/>
                <w:lang w:val="en-US" w:eastAsia="zh-CN"/>
              </w:rPr>
              <w:t>周铃儿、胡涵婧，汪时荣  汪莉</w:t>
            </w:r>
          </w:p>
          <w:p w14:paraId="224EB4F9">
            <w:pPr>
              <w:ind w:firstLine="560" w:firstLineChars="200"/>
              <w:rPr>
                <w:rFonts w:hint="eastAsia"/>
                <w:sz w:val="28"/>
                <w:szCs w:val="28"/>
              </w:rPr>
            </w:pPr>
            <w:r>
              <w:rPr>
                <w:rFonts w:hint="eastAsia"/>
                <w:sz w:val="28"/>
                <w:szCs w:val="28"/>
              </w:rPr>
              <w:t>应救援指挥部下设办公室：</w:t>
            </w:r>
          </w:p>
          <w:p w14:paraId="23248454">
            <w:pPr>
              <w:ind w:firstLine="560" w:firstLineChars="200"/>
              <w:rPr>
                <w:rFonts w:hint="default"/>
                <w:color w:val="FF0000"/>
                <w:sz w:val="28"/>
                <w:szCs w:val="28"/>
                <w:lang w:val="en-US"/>
              </w:rPr>
            </w:pPr>
            <w:r>
              <w:rPr>
                <w:rFonts w:hint="eastAsia"/>
                <w:color w:val="FF0000"/>
                <w:sz w:val="28"/>
                <w:szCs w:val="28"/>
              </w:rPr>
              <w:t>主任：</w:t>
            </w:r>
            <w:r>
              <w:rPr>
                <w:rFonts w:hint="eastAsia"/>
                <w:color w:val="FF0000"/>
                <w:sz w:val="28"/>
                <w:szCs w:val="28"/>
                <w:lang w:val="en-US" w:eastAsia="zh-CN"/>
              </w:rPr>
              <w:t>方夏忠</w:t>
            </w:r>
          </w:p>
          <w:p w14:paraId="0E257364">
            <w:pPr>
              <w:ind w:firstLine="560" w:firstLineChars="200"/>
              <w:rPr>
                <w:rFonts w:hint="default"/>
                <w:color w:val="FF0000"/>
                <w:sz w:val="28"/>
                <w:szCs w:val="28"/>
                <w:lang w:val="en-US" w:eastAsia="zh-CN"/>
              </w:rPr>
            </w:pPr>
            <w:r>
              <w:rPr>
                <w:rFonts w:hint="eastAsia"/>
                <w:color w:val="FF0000"/>
                <w:sz w:val="28"/>
                <w:szCs w:val="28"/>
              </w:rPr>
              <w:t>成员：</w:t>
            </w:r>
            <w:r>
              <w:rPr>
                <w:rFonts w:hint="eastAsia"/>
                <w:color w:val="FF0000"/>
                <w:sz w:val="28"/>
                <w:szCs w:val="28"/>
                <w:lang w:val="en-US" w:eastAsia="zh-CN"/>
              </w:rPr>
              <w:t>周铃儿、胡涵婧，汪时荣  汪莉</w:t>
            </w:r>
          </w:p>
          <w:p w14:paraId="4EAC3E9A">
            <w:pPr>
              <w:ind w:firstLine="560" w:firstLineChars="200"/>
              <w:rPr>
                <w:rFonts w:hint="eastAsia" w:eastAsia="宋体" w:cs="宋体"/>
                <w:sz w:val="28"/>
                <w:szCs w:val="28"/>
                <w:highlight w:val="yellow"/>
                <w:lang w:val="en-US" w:eastAsia="zh-CN"/>
              </w:rPr>
            </w:pPr>
            <w:r>
              <w:rPr>
                <w:rFonts w:hint="eastAsia"/>
                <w:sz w:val="28"/>
                <w:szCs w:val="28"/>
              </w:rPr>
              <w:t>办公室设在安全</w:t>
            </w:r>
            <w:r>
              <w:rPr>
                <w:rFonts w:hint="eastAsia"/>
                <w:sz w:val="28"/>
                <w:szCs w:val="28"/>
                <w:lang w:eastAsia="zh-CN"/>
              </w:rPr>
              <w:t>管理科</w:t>
            </w:r>
            <w:r>
              <w:rPr>
                <w:rFonts w:hint="eastAsia"/>
                <w:sz w:val="28"/>
                <w:szCs w:val="28"/>
              </w:rPr>
              <w:t>。</w:t>
            </w:r>
            <w:r>
              <w:rPr>
                <w:rFonts w:hint="eastAsia"/>
                <w:sz w:val="28"/>
                <w:szCs w:val="28"/>
                <w:highlight w:val="yellow"/>
              </w:rPr>
              <w:t>联系电话：</w:t>
            </w:r>
            <w:r>
              <w:rPr>
                <w:rFonts w:hint="eastAsia"/>
                <w:sz w:val="28"/>
                <w:szCs w:val="28"/>
                <w:highlight w:val="yellow"/>
                <w:lang w:val="en-US" w:eastAsia="zh-CN"/>
              </w:rPr>
              <w:t>0570-</w:t>
            </w:r>
            <w:r>
              <w:rPr>
                <w:rFonts w:hint="eastAsia" w:eastAsia="宋体" w:cs="宋体"/>
                <w:sz w:val="28"/>
                <w:szCs w:val="28"/>
                <w:highlight w:val="yellow"/>
                <w:lang w:val="en-US" w:eastAsia="zh-CN"/>
              </w:rPr>
              <w:t>6011088</w:t>
            </w:r>
          </w:p>
          <w:p w14:paraId="78C1FFD3">
            <w:pPr>
              <w:ind w:firstLine="560" w:firstLineChars="200"/>
              <w:rPr>
                <w:rFonts w:hint="eastAsia"/>
                <w:sz w:val="28"/>
                <w:szCs w:val="28"/>
              </w:rPr>
            </w:pPr>
            <w:r>
              <w:rPr>
                <w:rFonts w:hint="eastAsia"/>
                <w:sz w:val="28"/>
                <w:szCs w:val="28"/>
              </w:rPr>
              <w:t xml:space="preserve"> 2、职责</w:t>
            </w:r>
          </w:p>
          <w:p w14:paraId="3BA6C981">
            <w:pPr>
              <w:ind w:firstLine="560" w:firstLineChars="200"/>
              <w:rPr>
                <w:rFonts w:hint="eastAsia"/>
                <w:sz w:val="28"/>
                <w:szCs w:val="28"/>
              </w:rPr>
            </w:pPr>
            <w:r>
              <w:rPr>
                <w:rFonts w:hint="eastAsia"/>
                <w:sz w:val="28"/>
                <w:szCs w:val="28"/>
              </w:rPr>
              <w:t>（1）、应急指挥部职责：</w:t>
            </w:r>
          </w:p>
          <w:p w14:paraId="1613E499">
            <w:pPr>
              <w:ind w:firstLine="560" w:firstLineChars="200"/>
              <w:rPr>
                <w:rFonts w:hint="eastAsia"/>
                <w:sz w:val="28"/>
                <w:szCs w:val="28"/>
              </w:rPr>
            </w:pPr>
            <w:r>
              <w:rPr>
                <w:rFonts w:hint="eastAsia"/>
                <w:sz w:val="28"/>
                <w:szCs w:val="28"/>
              </w:rPr>
              <w:t>a、负责公司危货运输事故应急处理总体工作，是应急处理的指挥机构;</w:t>
            </w:r>
          </w:p>
          <w:p w14:paraId="2086E560">
            <w:pPr>
              <w:ind w:firstLine="560" w:firstLineChars="200"/>
              <w:rPr>
                <w:rFonts w:hint="eastAsia"/>
                <w:sz w:val="28"/>
                <w:szCs w:val="28"/>
              </w:rPr>
            </w:pPr>
            <w:r>
              <w:rPr>
                <w:rFonts w:hint="eastAsia"/>
                <w:sz w:val="28"/>
                <w:szCs w:val="28"/>
              </w:rPr>
              <w:t>b、平时负责、检查各车辆应急处理机构及预案的制定、完善、演练及监督各项安全措施的落实；</w:t>
            </w:r>
          </w:p>
          <w:p w14:paraId="0241EB0A">
            <w:pPr>
              <w:ind w:firstLine="560" w:firstLineChars="200"/>
              <w:rPr>
                <w:rFonts w:hint="eastAsia"/>
                <w:sz w:val="28"/>
                <w:szCs w:val="28"/>
              </w:rPr>
            </w:pPr>
            <w:r>
              <w:rPr>
                <w:rFonts w:hint="eastAsia"/>
                <w:sz w:val="28"/>
                <w:szCs w:val="28"/>
              </w:rPr>
              <w:t>c、负责危货运输事故发生后的重要事项的决策及向上一级部门汇报事宜；</w:t>
            </w:r>
          </w:p>
          <w:p w14:paraId="49218B45">
            <w:pPr>
              <w:ind w:firstLine="560" w:firstLineChars="200"/>
              <w:rPr>
                <w:rFonts w:hint="eastAsia"/>
                <w:sz w:val="28"/>
                <w:szCs w:val="28"/>
              </w:rPr>
            </w:pPr>
            <w:r>
              <w:rPr>
                <w:rFonts w:hint="eastAsia"/>
                <w:sz w:val="28"/>
                <w:szCs w:val="28"/>
              </w:rPr>
              <w:t>d、负责在事故发生后统一调度相关人员、设备，指挥应急处理工作；</w:t>
            </w:r>
          </w:p>
          <w:p w14:paraId="3D3603EE">
            <w:pPr>
              <w:ind w:firstLine="560" w:firstLineChars="200"/>
              <w:rPr>
                <w:rFonts w:hint="eastAsia"/>
                <w:sz w:val="28"/>
                <w:szCs w:val="28"/>
              </w:rPr>
            </w:pPr>
            <w:r>
              <w:rPr>
                <w:rFonts w:hint="eastAsia"/>
                <w:sz w:val="28"/>
                <w:szCs w:val="28"/>
              </w:rPr>
              <w:t>e、负责应急事故处理中贡献突出人员或违纪人员的奖励；</w:t>
            </w:r>
          </w:p>
          <w:p w14:paraId="10E82B92">
            <w:pPr>
              <w:ind w:firstLine="560" w:firstLineChars="200"/>
              <w:rPr>
                <w:rFonts w:hint="eastAsia"/>
                <w:sz w:val="28"/>
                <w:szCs w:val="28"/>
              </w:rPr>
            </w:pPr>
            <w:r>
              <w:rPr>
                <w:rFonts w:hint="eastAsia"/>
                <w:sz w:val="28"/>
                <w:szCs w:val="28"/>
              </w:rPr>
              <w:t>（2）、办公室职责</w:t>
            </w:r>
          </w:p>
          <w:p w14:paraId="614A096D">
            <w:pPr>
              <w:ind w:firstLine="560" w:firstLineChars="200"/>
              <w:rPr>
                <w:rFonts w:hint="eastAsia"/>
                <w:sz w:val="28"/>
                <w:szCs w:val="28"/>
              </w:rPr>
            </w:pPr>
            <w:r>
              <w:rPr>
                <w:rFonts w:hint="eastAsia"/>
                <w:sz w:val="28"/>
                <w:szCs w:val="28"/>
              </w:rPr>
              <w:t>a、掌握从事危货运输作业的种类、人数、地点；</w:t>
            </w:r>
          </w:p>
          <w:p w14:paraId="217E40D4">
            <w:pPr>
              <w:ind w:firstLine="560" w:firstLineChars="200"/>
              <w:rPr>
                <w:rFonts w:hint="eastAsia"/>
                <w:sz w:val="28"/>
                <w:szCs w:val="28"/>
              </w:rPr>
            </w:pPr>
            <w:r>
              <w:rPr>
                <w:rFonts w:hint="eastAsia"/>
                <w:sz w:val="28"/>
                <w:szCs w:val="28"/>
              </w:rPr>
              <w:t>b、危货运输事故发生后，迅速了解、汇总事故情况和应急工作的现状，及时向指挥部汇报；</w:t>
            </w:r>
          </w:p>
          <w:p w14:paraId="0E7A6F21">
            <w:pPr>
              <w:ind w:firstLine="560" w:firstLineChars="200"/>
              <w:rPr>
                <w:rFonts w:hint="eastAsia"/>
                <w:sz w:val="28"/>
                <w:szCs w:val="28"/>
              </w:rPr>
            </w:pPr>
            <w:r>
              <w:rPr>
                <w:rFonts w:hint="eastAsia"/>
                <w:sz w:val="28"/>
                <w:szCs w:val="28"/>
              </w:rPr>
              <w:t>c、传达指令，协调应急处理的相关事宜。</w:t>
            </w:r>
          </w:p>
          <w:p w14:paraId="756B251B">
            <w:pPr>
              <w:ind w:firstLine="560" w:firstLineChars="200"/>
              <w:outlineLvl w:val="0"/>
              <w:rPr>
                <w:sz w:val="28"/>
                <w:szCs w:val="28"/>
              </w:rPr>
            </w:pPr>
            <w:r>
              <w:rPr>
                <w:rFonts w:hint="eastAsia"/>
                <w:sz w:val="28"/>
                <w:szCs w:val="28"/>
              </w:rPr>
              <w:t>六、危险化学品运输车辆配置抢救器材表</w:t>
            </w:r>
          </w:p>
          <w:tbl>
            <w:tblPr>
              <w:tblStyle w:val="6"/>
              <w:tblW w:w="0" w:type="auto"/>
              <w:tblInd w:w="93" w:type="dxa"/>
              <w:tblLayout w:type="fixed"/>
              <w:tblCellMar>
                <w:top w:w="0" w:type="dxa"/>
                <w:left w:w="108" w:type="dxa"/>
                <w:bottom w:w="0" w:type="dxa"/>
                <w:right w:w="108" w:type="dxa"/>
              </w:tblCellMar>
            </w:tblPr>
            <w:tblGrid>
              <w:gridCol w:w="760"/>
              <w:gridCol w:w="2080"/>
              <w:gridCol w:w="1080"/>
              <w:gridCol w:w="780"/>
              <w:gridCol w:w="760"/>
              <w:gridCol w:w="1300"/>
              <w:gridCol w:w="1080"/>
              <w:gridCol w:w="700"/>
            </w:tblGrid>
            <w:tr w14:paraId="112C2BE1">
              <w:tblPrEx>
                <w:tblCellMar>
                  <w:top w:w="0" w:type="dxa"/>
                  <w:left w:w="108" w:type="dxa"/>
                  <w:bottom w:w="0" w:type="dxa"/>
                  <w:right w:w="108" w:type="dxa"/>
                </w:tblCellMar>
              </w:tblPrEx>
              <w:trPr>
                <w:trHeight w:val="285" w:hRule="atLeast"/>
              </w:trPr>
              <w:tc>
                <w:tcPr>
                  <w:tcW w:w="760" w:type="dxa"/>
                  <w:tcBorders>
                    <w:top w:val="single" w:color="auto" w:sz="4" w:space="0"/>
                    <w:left w:val="single" w:color="auto" w:sz="4" w:space="0"/>
                    <w:bottom w:val="single" w:color="auto" w:sz="4" w:space="0"/>
                    <w:right w:val="single" w:color="auto" w:sz="4" w:space="0"/>
                  </w:tcBorders>
                  <w:noWrap w:val="0"/>
                  <w:vAlign w:val="center"/>
                </w:tcPr>
                <w:p w14:paraId="4D136211">
                  <w:pPr>
                    <w:widowControl/>
                    <w:jc w:val="center"/>
                    <w:rPr>
                      <w:sz w:val="24"/>
                    </w:rPr>
                  </w:pPr>
                  <w:r>
                    <w:rPr>
                      <w:rFonts w:hint="eastAsia"/>
                      <w:sz w:val="24"/>
                    </w:rPr>
                    <w:t>序  号</w:t>
                  </w:r>
                </w:p>
              </w:tc>
              <w:tc>
                <w:tcPr>
                  <w:tcW w:w="2080" w:type="dxa"/>
                  <w:tcBorders>
                    <w:top w:val="single" w:color="auto" w:sz="4" w:space="0"/>
                    <w:left w:val="nil"/>
                    <w:bottom w:val="single" w:color="auto" w:sz="4" w:space="0"/>
                    <w:right w:val="single" w:color="auto" w:sz="4" w:space="0"/>
                  </w:tcBorders>
                  <w:noWrap w:val="0"/>
                  <w:vAlign w:val="center"/>
                </w:tcPr>
                <w:p w14:paraId="33A833A5">
                  <w:pPr>
                    <w:widowControl/>
                    <w:jc w:val="center"/>
                    <w:rPr>
                      <w:sz w:val="24"/>
                    </w:rPr>
                  </w:pPr>
                  <w:r>
                    <w:rPr>
                      <w:rFonts w:hint="eastAsia"/>
                      <w:sz w:val="24"/>
                    </w:rPr>
                    <w:t>品    名</w:t>
                  </w:r>
                </w:p>
              </w:tc>
              <w:tc>
                <w:tcPr>
                  <w:tcW w:w="1080" w:type="dxa"/>
                  <w:tcBorders>
                    <w:top w:val="single" w:color="auto" w:sz="4" w:space="0"/>
                    <w:left w:val="nil"/>
                    <w:bottom w:val="single" w:color="auto" w:sz="4" w:space="0"/>
                    <w:right w:val="single" w:color="auto" w:sz="4" w:space="0"/>
                  </w:tcBorders>
                  <w:noWrap w:val="0"/>
                  <w:vAlign w:val="center"/>
                </w:tcPr>
                <w:p w14:paraId="52C8FC3B">
                  <w:pPr>
                    <w:widowControl/>
                    <w:jc w:val="center"/>
                    <w:rPr>
                      <w:sz w:val="24"/>
                    </w:rPr>
                  </w:pPr>
                  <w:r>
                    <w:rPr>
                      <w:rFonts w:hint="eastAsia"/>
                      <w:sz w:val="24"/>
                    </w:rPr>
                    <w:t>存放地</w:t>
                  </w:r>
                </w:p>
              </w:tc>
              <w:tc>
                <w:tcPr>
                  <w:tcW w:w="780" w:type="dxa"/>
                  <w:tcBorders>
                    <w:top w:val="single" w:color="auto" w:sz="4" w:space="0"/>
                    <w:left w:val="nil"/>
                    <w:bottom w:val="single" w:color="auto" w:sz="4" w:space="0"/>
                    <w:right w:val="single" w:color="auto" w:sz="4" w:space="0"/>
                  </w:tcBorders>
                  <w:noWrap w:val="0"/>
                  <w:vAlign w:val="center"/>
                </w:tcPr>
                <w:p w14:paraId="40390005">
                  <w:pPr>
                    <w:widowControl/>
                    <w:jc w:val="center"/>
                    <w:rPr>
                      <w:sz w:val="24"/>
                    </w:rPr>
                  </w:pPr>
                  <w:r>
                    <w:rPr>
                      <w:rFonts w:hint="eastAsia"/>
                      <w:sz w:val="24"/>
                    </w:rPr>
                    <w:t>数  量</w:t>
                  </w:r>
                </w:p>
              </w:tc>
              <w:tc>
                <w:tcPr>
                  <w:tcW w:w="760" w:type="dxa"/>
                  <w:tcBorders>
                    <w:top w:val="single" w:color="auto" w:sz="4" w:space="0"/>
                    <w:left w:val="nil"/>
                    <w:bottom w:val="single" w:color="auto" w:sz="4" w:space="0"/>
                    <w:right w:val="single" w:color="auto" w:sz="4" w:space="0"/>
                  </w:tcBorders>
                  <w:noWrap w:val="0"/>
                  <w:vAlign w:val="center"/>
                </w:tcPr>
                <w:p w14:paraId="30728BB8">
                  <w:pPr>
                    <w:widowControl/>
                    <w:jc w:val="center"/>
                    <w:rPr>
                      <w:sz w:val="24"/>
                    </w:rPr>
                  </w:pPr>
                  <w:r>
                    <w:rPr>
                      <w:rFonts w:hint="eastAsia"/>
                      <w:sz w:val="24"/>
                    </w:rPr>
                    <w:t>序  号</w:t>
                  </w:r>
                </w:p>
              </w:tc>
              <w:tc>
                <w:tcPr>
                  <w:tcW w:w="1300" w:type="dxa"/>
                  <w:tcBorders>
                    <w:top w:val="single" w:color="auto" w:sz="4" w:space="0"/>
                    <w:left w:val="nil"/>
                    <w:bottom w:val="single" w:color="auto" w:sz="4" w:space="0"/>
                    <w:right w:val="single" w:color="auto" w:sz="4" w:space="0"/>
                  </w:tcBorders>
                  <w:noWrap w:val="0"/>
                  <w:vAlign w:val="center"/>
                </w:tcPr>
                <w:p w14:paraId="29C6ECB0">
                  <w:pPr>
                    <w:widowControl/>
                    <w:jc w:val="center"/>
                    <w:rPr>
                      <w:sz w:val="24"/>
                    </w:rPr>
                  </w:pPr>
                  <w:r>
                    <w:rPr>
                      <w:rFonts w:hint="eastAsia"/>
                      <w:sz w:val="24"/>
                    </w:rPr>
                    <w:t>品    名</w:t>
                  </w:r>
                </w:p>
              </w:tc>
              <w:tc>
                <w:tcPr>
                  <w:tcW w:w="1080" w:type="dxa"/>
                  <w:tcBorders>
                    <w:top w:val="single" w:color="auto" w:sz="4" w:space="0"/>
                    <w:left w:val="nil"/>
                    <w:bottom w:val="single" w:color="auto" w:sz="4" w:space="0"/>
                    <w:right w:val="single" w:color="auto" w:sz="4" w:space="0"/>
                  </w:tcBorders>
                  <w:noWrap w:val="0"/>
                  <w:vAlign w:val="center"/>
                </w:tcPr>
                <w:p w14:paraId="7AAB00A5">
                  <w:pPr>
                    <w:widowControl/>
                    <w:jc w:val="center"/>
                    <w:rPr>
                      <w:sz w:val="24"/>
                    </w:rPr>
                  </w:pPr>
                  <w:r>
                    <w:rPr>
                      <w:rFonts w:hint="eastAsia"/>
                      <w:sz w:val="24"/>
                    </w:rPr>
                    <w:t>存放地</w:t>
                  </w:r>
                </w:p>
              </w:tc>
              <w:tc>
                <w:tcPr>
                  <w:tcW w:w="700" w:type="dxa"/>
                  <w:tcBorders>
                    <w:top w:val="single" w:color="auto" w:sz="4" w:space="0"/>
                    <w:left w:val="nil"/>
                    <w:bottom w:val="single" w:color="auto" w:sz="4" w:space="0"/>
                    <w:right w:val="single" w:color="auto" w:sz="4" w:space="0"/>
                  </w:tcBorders>
                  <w:noWrap w:val="0"/>
                  <w:vAlign w:val="center"/>
                </w:tcPr>
                <w:p w14:paraId="26B0C83B">
                  <w:pPr>
                    <w:widowControl/>
                    <w:jc w:val="center"/>
                    <w:rPr>
                      <w:sz w:val="24"/>
                    </w:rPr>
                  </w:pPr>
                  <w:r>
                    <w:rPr>
                      <w:rFonts w:hint="eastAsia"/>
                      <w:sz w:val="24"/>
                    </w:rPr>
                    <w:t>数量</w:t>
                  </w:r>
                </w:p>
              </w:tc>
            </w:tr>
            <w:tr w14:paraId="6821D1C1">
              <w:tblPrEx>
                <w:tblCellMar>
                  <w:top w:w="0" w:type="dxa"/>
                  <w:left w:w="108" w:type="dxa"/>
                  <w:bottom w:w="0" w:type="dxa"/>
                  <w:right w:w="108" w:type="dxa"/>
                </w:tblCellMar>
              </w:tblPrEx>
              <w:trPr>
                <w:trHeight w:val="285" w:hRule="atLeast"/>
              </w:trPr>
              <w:tc>
                <w:tcPr>
                  <w:tcW w:w="760" w:type="dxa"/>
                  <w:tcBorders>
                    <w:top w:val="nil"/>
                    <w:left w:val="single" w:color="auto" w:sz="4" w:space="0"/>
                    <w:bottom w:val="single" w:color="auto" w:sz="4" w:space="0"/>
                    <w:right w:val="single" w:color="auto" w:sz="4" w:space="0"/>
                  </w:tcBorders>
                  <w:noWrap w:val="0"/>
                  <w:vAlign w:val="center"/>
                </w:tcPr>
                <w:p w14:paraId="0A728DE7">
                  <w:pPr>
                    <w:widowControl/>
                    <w:jc w:val="center"/>
                    <w:rPr>
                      <w:sz w:val="24"/>
                    </w:rPr>
                  </w:pPr>
                  <w:r>
                    <w:rPr>
                      <w:rFonts w:hint="eastAsia"/>
                      <w:sz w:val="24"/>
                    </w:rPr>
                    <w:t>1</w:t>
                  </w:r>
                </w:p>
              </w:tc>
              <w:tc>
                <w:tcPr>
                  <w:tcW w:w="2080" w:type="dxa"/>
                  <w:tcBorders>
                    <w:top w:val="nil"/>
                    <w:left w:val="nil"/>
                    <w:bottom w:val="single" w:color="auto" w:sz="4" w:space="0"/>
                    <w:right w:val="single" w:color="auto" w:sz="4" w:space="0"/>
                  </w:tcBorders>
                  <w:noWrap w:val="0"/>
                  <w:vAlign w:val="center"/>
                </w:tcPr>
                <w:p w14:paraId="38C161AE">
                  <w:pPr>
                    <w:widowControl/>
                    <w:jc w:val="center"/>
                    <w:rPr>
                      <w:sz w:val="24"/>
                    </w:rPr>
                  </w:pPr>
                  <w:r>
                    <w:rPr>
                      <w:rFonts w:hint="eastAsia"/>
                      <w:sz w:val="24"/>
                    </w:rPr>
                    <w:t>防爆手电筒</w:t>
                  </w:r>
                </w:p>
              </w:tc>
              <w:tc>
                <w:tcPr>
                  <w:tcW w:w="1080" w:type="dxa"/>
                  <w:tcBorders>
                    <w:top w:val="nil"/>
                    <w:left w:val="nil"/>
                    <w:bottom w:val="single" w:color="auto" w:sz="4" w:space="0"/>
                    <w:right w:val="single" w:color="auto" w:sz="4" w:space="0"/>
                  </w:tcBorders>
                  <w:noWrap w:val="0"/>
                  <w:vAlign w:val="center"/>
                </w:tcPr>
                <w:p w14:paraId="0DF257F7">
                  <w:pPr>
                    <w:widowControl/>
                    <w:jc w:val="center"/>
                    <w:rPr>
                      <w:sz w:val="24"/>
                    </w:rPr>
                  </w:pPr>
                  <w:r>
                    <w:rPr>
                      <w:rFonts w:hint="eastAsia"/>
                      <w:sz w:val="24"/>
                    </w:rPr>
                    <w:t>车载</w:t>
                  </w:r>
                </w:p>
              </w:tc>
              <w:tc>
                <w:tcPr>
                  <w:tcW w:w="780" w:type="dxa"/>
                  <w:tcBorders>
                    <w:top w:val="nil"/>
                    <w:left w:val="nil"/>
                    <w:bottom w:val="single" w:color="auto" w:sz="4" w:space="0"/>
                    <w:right w:val="single" w:color="auto" w:sz="4" w:space="0"/>
                  </w:tcBorders>
                  <w:noWrap w:val="0"/>
                  <w:vAlign w:val="center"/>
                </w:tcPr>
                <w:p w14:paraId="47E05E85">
                  <w:pPr>
                    <w:widowControl/>
                    <w:jc w:val="center"/>
                    <w:rPr>
                      <w:sz w:val="24"/>
                    </w:rPr>
                  </w:pPr>
                  <w:r>
                    <w:rPr>
                      <w:rFonts w:hint="eastAsia"/>
                      <w:sz w:val="24"/>
                    </w:rPr>
                    <w:t>1</w:t>
                  </w:r>
                </w:p>
              </w:tc>
              <w:tc>
                <w:tcPr>
                  <w:tcW w:w="760" w:type="dxa"/>
                  <w:tcBorders>
                    <w:top w:val="nil"/>
                    <w:left w:val="nil"/>
                    <w:bottom w:val="single" w:color="auto" w:sz="4" w:space="0"/>
                    <w:right w:val="single" w:color="auto" w:sz="4" w:space="0"/>
                  </w:tcBorders>
                  <w:noWrap w:val="0"/>
                  <w:vAlign w:val="center"/>
                </w:tcPr>
                <w:p w14:paraId="10A4280F">
                  <w:pPr>
                    <w:widowControl/>
                    <w:jc w:val="center"/>
                    <w:rPr>
                      <w:sz w:val="24"/>
                    </w:rPr>
                  </w:pPr>
                  <w:r>
                    <w:rPr>
                      <w:rFonts w:hint="eastAsia"/>
                      <w:sz w:val="24"/>
                    </w:rPr>
                    <w:t>6</w:t>
                  </w:r>
                </w:p>
              </w:tc>
              <w:tc>
                <w:tcPr>
                  <w:tcW w:w="1300" w:type="dxa"/>
                  <w:tcBorders>
                    <w:top w:val="nil"/>
                    <w:left w:val="nil"/>
                    <w:bottom w:val="single" w:color="auto" w:sz="4" w:space="0"/>
                    <w:right w:val="single" w:color="auto" w:sz="4" w:space="0"/>
                  </w:tcBorders>
                  <w:noWrap w:val="0"/>
                  <w:vAlign w:val="center"/>
                </w:tcPr>
                <w:p w14:paraId="78CD65EA">
                  <w:pPr>
                    <w:widowControl/>
                    <w:jc w:val="center"/>
                    <w:rPr>
                      <w:sz w:val="24"/>
                    </w:rPr>
                  </w:pPr>
                  <w:r>
                    <w:rPr>
                      <w:rFonts w:hint="eastAsia"/>
                      <w:sz w:val="24"/>
                    </w:rPr>
                    <w:t>撬    棍</w:t>
                  </w:r>
                </w:p>
              </w:tc>
              <w:tc>
                <w:tcPr>
                  <w:tcW w:w="1080" w:type="dxa"/>
                  <w:tcBorders>
                    <w:top w:val="nil"/>
                    <w:left w:val="nil"/>
                    <w:bottom w:val="single" w:color="auto" w:sz="4" w:space="0"/>
                    <w:right w:val="single" w:color="auto" w:sz="4" w:space="0"/>
                  </w:tcBorders>
                  <w:noWrap w:val="0"/>
                  <w:vAlign w:val="center"/>
                </w:tcPr>
                <w:p w14:paraId="4AD9678D">
                  <w:pPr>
                    <w:widowControl/>
                    <w:jc w:val="center"/>
                    <w:rPr>
                      <w:sz w:val="24"/>
                    </w:rPr>
                  </w:pPr>
                  <w:r>
                    <w:rPr>
                      <w:rFonts w:hint="eastAsia"/>
                      <w:sz w:val="24"/>
                    </w:rPr>
                    <w:t>车载</w:t>
                  </w:r>
                </w:p>
              </w:tc>
              <w:tc>
                <w:tcPr>
                  <w:tcW w:w="700" w:type="dxa"/>
                  <w:tcBorders>
                    <w:top w:val="nil"/>
                    <w:left w:val="nil"/>
                    <w:bottom w:val="single" w:color="auto" w:sz="4" w:space="0"/>
                    <w:right w:val="single" w:color="auto" w:sz="4" w:space="0"/>
                  </w:tcBorders>
                  <w:noWrap w:val="0"/>
                  <w:vAlign w:val="center"/>
                </w:tcPr>
                <w:p w14:paraId="5B93C71E">
                  <w:pPr>
                    <w:widowControl/>
                    <w:jc w:val="center"/>
                    <w:rPr>
                      <w:sz w:val="24"/>
                    </w:rPr>
                  </w:pPr>
                  <w:r>
                    <w:rPr>
                      <w:rFonts w:hint="eastAsia"/>
                      <w:sz w:val="24"/>
                    </w:rPr>
                    <w:t>1</w:t>
                  </w:r>
                </w:p>
              </w:tc>
            </w:tr>
            <w:tr w14:paraId="5F1327A8">
              <w:tblPrEx>
                <w:tblCellMar>
                  <w:top w:w="0" w:type="dxa"/>
                  <w:left w:w="108" w:type="dxa"/>
                  <w:bottom w:w="0" w:type="dxa"/>
                  <w:right w:w="108" w:type="dxa"/>
                </w:tblCellMar>
              </w:tblPrEx>
              <w:trPr>
                <w:trHeight w:val="285" w:hRule="atLeast"/>
              </w:trPr>
              <w:tc>
                <w:tcPr>
                  <w:tcW w:w="760" w:type="dxa"/>
                  <w:tcBorders>
                    <w:top w:val="nil"/>
                    <w:left w:val="single" w:color="auto" w:sz="4" w:space="0"/>
                    <w:bottom w:val="single" w:color="auto" w:sz="4" w:space="0"/>
                    <w:right w:val="single" w:color="auto" w:sz="4" w:space="0"/>
                  </w:tcBorders>
                  <w:noWrap w:val="0"/>
                  <w:vAlign w:val="center"/>
                </w:tcPr>
                <w:p w14:paraId="152E5CD4">
                  <w:pPr>
                    <w:widowControl/>
                    <w:jc w:val="center"/>
                    <w:rPr>
                      <w:sz w:val="24"/>
                    </w:rPr>
                  </w:pPr>
                  <w:r>
                    <w:rPr>
                      <w:rFonts w:hint="eastAsia"/>
                      <w:sz w:val="24"/>
                    </w:rPr>
                    <w:t>2</w:t>
                  </w:r>
                </w:p>
              </w:tc>
              <w:tc>
                <w:tcPr>
                  <w:tcW w:w="2080" w:type="dxa"/>
                  <w:tcBorders>
                    <w:top w:val="nil"/>
                    <w:left w:val="nil"/>
                    <w:bottom w:val="single" w:color="auto" w:sz="4" w:space="0"/>
                    <w:right w:val="single" w:color="auto" w:sz="4" w:space="0"/>
                  </w:tcBorders>
                  <w:noWrap w:val="0"/>
                  <w:vAlign w:val="center"/>
                </w:tcPr>
                <w:p w14:paraId="68A002C5">
                  <w:pPr>
                    <w:widowControl/>
                    <w:jc w:val="center"/>
                    <w:rPr>
                      <w:sz w:val="24"/>
                    </w:rPr>
                  </w:pPr>
                  <w:r>
                    <w:rPr>
                      <w:rFonts w:hint="eastAsia"/>
                      <w:sz w:val="24"/>
                    </w:rPr>
                    <w:t>千  斤  顶</w:t>
                  </w:r>
                </w:p>
              </w:tc>
              <w:tc>
                <w:tcPr>
                  <w:tcW w:w="1080" w:type="dxa"/>
                  <w:tcBorders>
                    <w:top w:val="nil"/>
                    <w:left w:val="nil"/>
                    <w:bottom w:val="single" w:color="auto" w:sz="4" w:space="0"/>
                    <w:right w:val="single" w:color="auto" w:sz="4" w:space="0"/>
                  </w:tcBorders>
                  <w:noWrap w:val="0"/>
                  <w:vAlign w:val="center"/>
                </w:tcPr>
                <w:p w14:paraId="54E800C7">
                  <w:pPr>
                    <w:widowControl/>
                    <w:jc w:val="center"/>
                    <w:rPr>
                      <w:sz w:val="24"/>
                    </w:rPr>
                  </w:pPr>
                  <w:r>
                    <w:rPr>
                      <w:rFonts w:hint="eastAsia"/>
                      <w:sz w:val="24"/>
                    </w:rPr>
                    <w:t>车载</w:t>
                  </w:r>
                </w:p>
              </w:tc>
              <w:tc>
                <w:tcPr>
                  <w:tcW w:w="780" w:type="dxa"/>
                  <w:tcBorders>
                    <w:top w:val="nil"/>
                    <w:left w:val="nil"/>
                    <w:bottom w:val="single" w:color="auto" w:sz="4" w:space="0"/>
                    <w:right w:val="single" w:color="auto" w:sz="4" w:space="0"/>
                  </w:tcBorders>
                  <w:noWrap w:val="0"/>
                  <w:vAlign w:val="center"/>
                </w:tcPr>
                <w:p w14:paraId="33B8419B">
                  <w:pPr>
                    <w:widowControl/>
                    <w:jc w:val="center"/>
                    <w:rPr>
                      <w:sz w:val="24"/>
                    </w:rPr>
                  </w:pPr>
                  <w:r>
                    <w:rPr>
                      <w:rFonts w:hint="eastAsia"/>
                      <w:sz w:val="24"/>
                    </w:rPr>
                    <w:t>1</w:t>
                  </w:r>
                </w:p>
              </w:tc>
              <w:tc>
                <w:tcPr>
                  <w:tcW w:w="760" w:type="dxa"/>
                  <w:tcBorders>
                    <w:top w:val="nil"/>
                    <w:left w:val="nil"/>
                    <w:bottom w:val="single" w:color="auto" w:sz="4" w:space="0"/>
                    <w:right w:val="single" w:color="auto" w:sz="4" w:space="0"/>
                  </w:tcBorders>
                  <w:noWrap w:val="0"/>
                  <w:vAlign w:val="center"/>
                </w:tcPr>
                <w:p w14:paraId="4316EB9D">
                  <w:pPr>
                    <w:widowControl/>
                    <w:jc w:val="center"/>
                    <w:rPr>
                      <w:sz w:val="24"/>
                    </w:rPr>
                  </w:pPr>
                  <w:r>
                    <w:rPr>
                      <w:rFonts w:hint="eastAsia"/>
                      <w:sz w:val="24"/>
                    </w:rPr>
                    <w:t>7</w:t>
                  </w:r>
                </w:p>
              </w:tc>
              <w:tc>
                <w:tcPr>
                  <w:tcW w:w="1300" w:type="dxa"/>
                  <w:tcBorders>
                    <w:top w:val="nil"/>
                    <w:left w:val="nil"/>
                    <w:bottom w:val="single" w:color="auto" w:sz="4" w:space="0"/>
                    <w:right w:val="single" w:color="auto" w:sz="4" w:space="0"/>
                  </w:tcBorders>
                  <w:noWrap w:val="0"/>
                  <w:vAlign w:val="center"/>
                </w:tcPr>
                <w:p w14:paraId="09E2E494">
                  <w:pPr>
                    <w:widowControl/>
                    <w:jc w:val="center"/>
                    <w:rPr>
                      <w:sz w:val="24"/>
                    </w:rPr>
                  </w:pPr>
                  <w:r>
                    <w:rPr>
                      <w:rFonts w:hint="eastAsia"/>
                      <w:sz w:val="24"/>
                    </w:rPr>
                    <w:t>铁    桶</w:t>
                  </w:r>
                </w:p>
              </w:tc>
              <w:tc>
                <w:tcPr>
                  <w:tcW w:w="1080" w:type="dxa"/>
                  <w:tcBorders>
                    <w:top w:val="nil"/>
                    <w:left w:val="nil"/>
                    <w:bottom w:val="single" w:color="auto" w:sz="4" w:space="0"/>
                    <w:right w:val="single" w:color="auto" w:sz="4" w:space="0"/>
                  </w:tcBorders>
                  <w:noWrap w:val="0"/>
                  <w:vAlign w:val="center"/>
                </w:tcPr>
                <w:p w14:paraId="7E18612F">
                  <w:pPr>
                    <w:widowControl/>
                    <w:jc w:val="center"/>
                    <w:rPr>
                      <w:sz w:val="24"/>
                    </w:rPr>
                  </w:pPr>
                  <w:r>
                    <w:rPr>
                      <w:rFonts w:hint="eastAsia"/>
                      <w:sz w:val="24"/>
                    </w:rPr>
                    <w:t>车载</w:t>
                  </w:r>
                </w:p>
              </w:tc>
              <w:tc>
                <w:tcPr>
                  <w:tcW w:w="700" w:type="dxa"/>
                  <w:tcBorders>
                    <w:top w:val="nil"/>
                    <w:left w:val="nil"/>
                    <w:bottom w:val="single" w:color="auto" w:sz="4" w:space="0"/>
                    <w:right w:val="single" w:color="auto" w:sz="4" w:space="0"/>
                  </w:tcBorders>
                  <w:noWrap w:val="0"/>
                  <w:vAlign w:val="center"/>
                </w:tcPr>
                <w:p w14:paraId="0871E064">
                  <w:pPr>
                    <w:widowControl/>
                    <w:jc w:val="center"/>
                    <w:rPr>
                      <w:sz w:val="24"/>
                    </w:rPr>
                  </w:pPr>
                  <w:r>
                    <w:rPr>
                      <w:rFonts w:hint="eastAsia"/>
                      <w:sz w:val="24"/>
                    </w:rPr>
                    <w:t>1</w:t>
                  </w:r>
                </w:p>
              </w:tc>
            </w:tr>
            <w:tr w14:paraId="534725FB">
              <w:tblPrEx>
                <w:tblCellMar>
                  <w:top w:w="0" w:type="dxa"/>
                  <w:left w:w="108" w:type="dxa"/>
                  <w:bottom w:w="0" w:type="dxa"/>
                  <w:right w:w="108" w:type="dxa"/>
                </w:tblCellMar>
              </w:tblPrEx>
              <w:trPr>
                <w:trHeight w:val="285" w:hRule="atLeast"/>
              </w:trPr>
              <w:tc>
                <w:tcPr>
                  <w:tcW w:w="760" w:type="dxa"/>
                  <w:tcBorders>
                    <w:top w:val="nil"/>
                    <w:left w:val="single" w:color="auto" w:sz="4" w:space="0"/>
                    <w:bottom w:val="single" w:color="auto" w:sz="4" w:space="0"/>
                    <w:right w:val="single" w:color="auto" w:sz="4" w:space="0"/>
                  </w:tcBorders>
                  <w:noWrap w:val="0"/>
                  <w:vAlign w:val="center"/>
                </w:tcPr>
                <w:p w14:paraId="52139391">
                  <w:pPr>
                    <w:widowControl/>
                    <w:jc w:val="center"/>
                    <w:rPr>
                      <w:sz w:val="24"/>
                    </w:rPr>
                  </w:pPr>
                  <w:r>
                    <w:rPr>
                      <w:rFonts w:hint="eastAsia"/>
                      <w:sz w:val="24"/>
                    </w:rPr>
                    <w:t>3</w:t>
                  </w:r>
                </w:p>
              </w:tc>
              <w:tc>
                <w:tcPr>
                  <w:tcW w:w="2080" w:type="dxa"/>
                  <w:tcBorders>
                    <w:top w:val="nil"/>
                    <w:left w:val="nil"/>
                    <w:bottom w:val="single" w:color="auto" w:sz="4" w:space="0"/>
                    <w:right w:val="single" w:color="auto" w:sz="4" w:space="0"/>
                  </w:tcBorders>
                  <w:noWrap w:val="0"/>
                  <w:vAlign w:val="center"/>
                </w:tcPr>
                <w:p w14:paraId="6E4221EB">
                  <w:pPr>
                    <w:widowControl/>
                    <w:jc w:val="center"/>
                    <w:rPr>
                      <w:sz w:val="24"/>
                    </w:rPr>
                  </w:pPr>
                  <w:r>
                    <w:rPr>
                      <w:rFonts w:hint="eastAsia"/>
                      <w:sz w:val="24"/>
                    </w:rPr>
                    <w:t>钢 丝 缆绳</w:t>
                  </w:r>
                </w:p>
              </w:tc>
              <w:tc>
                <w:tcPr>
                  <w:tcW w:w="1080" w:type="dxa"/>
                  <w:tcBorders>
                    <w:top w:val="nil"/>
                    <w:left w:val="nil"/>
                    <w:bottom w:val="single" w:color="auto" w:sz="4" w:space="0"/>
                    <w:right w:val="single" w:color="auto" w:sz="4" w:space="0"/>
                  </w:tcBorders>
                  <w:noWrap w:val="0"/>
                  <w:vAlign w:val="center"/>
                </w:tcPr>
                <w:p w14:paraId="0F4861D5">
                  <w:pPr>
                    <w:widowControl/>
                    <w:jc w:val="center"/>
                    <w:rPr>
                      <w:sz w:val="24"/>
                    </w:rPr>
                  </w:pPr>
                  <w:r>
                    <w:rPr>
                      <w:rFonts w:hint="eastAsia"/>
                      <w:sz w:val="24"/>
                    </w:rPr>
                    <w:t>车载</w:t>
                  </w:r>
                </w:p>
              </w:tc>
              <w:tc>
                <w:tcPr>
                  <w:tcW w:w="780" w:type="dxa"/>
                  <w:tcBorders>
                    <w:top w:val="nil"/>
                    <w:left w:val="nil"/>
                    <w:bottom w:val="single" w:color="auto" w:sz="4" w:space="0"/>
                    <w:right w:val="single" w:color="auto" w:sz="4" w:space="0"/>
                  </w:tcBorders>
                  <w:noWrap w:val="0"/>
                  <w:vAlign w:val="center"/>
                </w:tcPr>
                <w:p w14:paraId="1CDEC978">
                  <w:pPr>
                    <w:widowControl/>
                    <w:jc w:val="center"/>
                    <w:rPr>
                      <w:sz w:val="24"/>
                    </w:rPr>
                  </w:pPr>
                  <w:r>
                    <w:rPr>
                      <w:rFonts w:hint="eastAsia"/>
                      <w:sz w:val="24"/>
                    </w:rPr>
                    <w:t>1</w:t>
                  </w:r>
                </w:p>
              </w:tc>
              <w:tc>
                <w:tcPr>
                  <w:tcW w:w="760" w:type="dxa"/>
                  <w:tcBorders>
                    <w:top w:val="nil"/>
                    <w:left w:val="nil"/>
                    <w:bottom w:val="single" w:color="auto" w:sz="4" w:space="0"/>
                    <w:right w:val="single" w:color="auto" w:sz="4" w:space="0"/>
                  </w:tcBorders>
                  <w:noWrap w:val="0"/>
                  <w:vAlign w:val="center"/>
                </w:tcPr>
                <w:p w14:paraId="414BE55A">
                  <w:pPr>
                    <w:widowControl/>
                    <w:jc w:val="center"/>
                    <w:rPr>
                      <w:sz w:val="24"/>
                    </w:rPr>
                  </w:pPr>
                  <w:r>
                    <w:rPr>
                      <w:rFonts w:hint="eastAsia"/>
                      <w:sz w:val="24"/>
                    </w:rPr>
                    <w:t>8</w:t>
                  </w:r>
                </w:p>
              </w:tc>
              <w:tc>
                <w:tcPr>
                  <w:tcW w:w="1300" w:type="dxa"/>
                  <w:tcBorders>
                    <w:top w:val="nil"/>
                    <w:left w:val="nil"/>
                    <w:bottom w:val="single" w:color="auto" w:sz="4" w:space="0"/>
                    <w:right w:val="single" w:color="auto" w:sz="4" w:space="0"/>
                  </w:tcBorders>
                  <w:noWrap w:val="0"/>
                  <w:vAlign w:val="center"/>
                </w:tcPr>
                <w:p w14:paraId="575C8578">
                  <w:pPr>
                    <w:widowControl/>
                    <w:jc w:val="center"/>
                    <w:rPr>
                      <w:sz w:val="24"/>
                    </w:rPr>
                  </w:pPr>
                  <w:r>
                    <w:rPr>
                      <w:rFonts w:hint="eastAsia"/>
                      <w:sz w:val="24"/>
                    </w:rPr>
                    <w:t>灭 火 器</w:t>
                  </w:r>
                </w:p>
              </w:tc>
              <w:tc>
                <w:tcPr>
                  <w:tcW w:w="1080" w:type="dxa"/>
                  <w:tcBorders>
                    <w:top w:val="nil"/>
                    <w:left w:val="nil"/>
                    <w:bottom w:val="single" w:color="auto" w:sz="4" w:space="0"/>
                    <w:right w:val="single" w:color="auto" w:sz="4" w:space="0"/>
                  </w:tcBorders>
                  <w:noWrap w:val="0"/>
                  <w:vAlign w:val="center"/>
                </w:tcPr>
                <w:p w14:paraId="60F73DE5">
                  <w:pPr>
                    <w:widowControl/>
                    <w:jc w:val="center"/>
                    <w:rPr>
                      <w:sz w:val="24"/>
                    </w:rPr>
                  </w:pPr>
                  <w:r>
                    <w:rPr>
                      <w:rFonts w:hint="eastAsia"/>
                      <w:sz w:val="24"/>
                    </w:rPr>
                    <w:t>车载</w:t>
                  </w:r>
                </w:p>
              </w:tc>
              <w:tc>
                <w:tcPr>
                  <w:tcW w:w="700" w:type="dxa"/>
                  <w:tcBorders>
                    <w:top w:val="nil"/>
                    <w:left w:val="nil"/>
                    <w:bottom w:val="single" w:color="auto" w:sz="4" w:space="0"/>
                    <w:right w:val="single" w:color="auto" w:sz="4" w:space="0"/>
                  </w:tcBorders>
                  <w:noWrap w:val="0"/>
                  <w:vAlign w:val="center"/>
                </w:tcPr>
                <w:p w14:paraId="18943E8C">
                  <w:pPr>
                    <w:widowControl/>
                    <w:jc w:val="center"/>
                    <w:rPr>
                      <w:sz w:val="24"/>
                    </w:rPr>
                  </w:pPr>
                  <w:r>
                    <w:rPr>
                      <w:rFonts w:hint="eastAsia"/>
                      <w:sz w:val="24"/>
                    </w:rPr>
                    <w:t>1</w:t>
                  </w:r>
                </w:p>
              </w:tc>
            </w:tr>
            <w:tr w14:paraId="242E1E8C">
              <w:tblPrEx>
                <w:tblCellMar>
                  <w:top w:w="0" w:type="dxa"/>
                  <w:left w:w="108" w:type="dxa"/>
                  <w:bottom w:w="0" w:type="dxa"/>
                  <w:right w:w="108" w:type="dxa"/>
                </w:tblCellMar>
              </w:tblPrEx>
              <w:trPr>
                <w:trHeight w:val="285" w:hRule="atLeast"/>
              </w:trPr>
              <w:tc>
                <w:tcPr>
                  <w:tcW w:w="760" w:type="dxa"/>
                  <w:tcBorders>
                    <w:top w:val="nil"/>
                    <w:left w:val="single" w:color="auto" w:sz="4" w:space="0"/>
                    <w:bottom w:val="single" w:color="auto" w:sz="4" w:space="0"/>
                    <w:right w:val="single" w:color="auto" w:sz="4" w:space="0"/>
                  </w:tcBorders>
                  <w:noWrap w:val="0"/>
                  <w:vAlign w:val="center"/>
                </w:tcPr>
                <w:p w14:paraId="7C0FF1A1">
                  <w:pPr>
                    <w:widowControl/>
                    <w:jc w:val="center"/>
                    <w:rPr>
                      <w:sz w:val="24"/>
                    </w:rPr>
                  </w:pPr>
                  <w:r>
                    <w:rPr>
                      <w:rFonts w:hint="eastAsia"/>
                      <w:sz w:val="24"/>
                    </w:rPr>
                    <w:t>4</w:t>
                  </w:r>
                </w:p>
              </w:tc>
              <w:tc>
                <w:tcPr>
                  <w:tcW w:w="2080" w:type="dxa"/>
                  <w:tcBorders>
                    <w:top w:val="nil"/>
                    <w:left w:val="nil"/>
                    <w:bottom w:val="single" w:color="auto" w:sz="4" w:space="0"/>
                    <w:right w:val="single" w:color="auto" w:sz="4" w:space="0"/>
                  </w:tcBorders>
                  <w:noWrap w:val="0"/>
                  <w:vAlign w:val="center"/>
                </w:tcPr>
                <w:p w14:paraId="7B58B327">
                  <w:pPr>
                    <w:widowControl/>
                    <w:jc w:val="center"/>
                    <w:rPr>
                      <w:sz w:val="24"/>
                    </w:rPr>
                  </w:pPr>
                  <w:r>
                    <w:rPr>
                      <w:rFonts w:hint="eastAsia"/>
                      <w:sz w:val="24"/>
                    </w:rPr>
                    <w:t>警 告 标志</w:t>
                  </w:r>
                </w:p>
              </w:tc>
              <w:tc>
                <w:tcPr>
                  <w:tcW w:w="1080" w:type="dxa"/>
                  <w:tcBorders>
                    <w:top w:val="nil"/>
                    <w:left w:val="nil"/>
                    <w:bottom w:val="single" w:color="auto" w:sz="4" w:space="0"/>
                    <w:right w:val="single" w:color="auto" w:sz="4" w:space="0"/>
                  </w:tcBorders>
                  <w:noWrap w:val="0"/>
                  <w:vAlign w:val="center"/>
                </w:tcPr>
                <w:p w14:paraId="087D5309">
                  <w:pPr>
                    <w:widowControl/>
                    <w:jc w:val="center"/>
                    <w:rPr>
                      <w:sz w:val="24"/>
                    </w:rPr>
                  </w:pPr>
                  <w:r>
                    <w:rPr>
                      <w:rFonts w:hint="eastAsia"/>
                      <w:sz w:val="24"/>
                    </w:rPr>
                    <w:t>车载</w:t>
                  </w:r>
                </w:p>
              </w:tc>
              <w:tc>
                <w:tcPr>
                  <w:tcW w:w="780" w:type="dxa"/>
                  <w:tcBorders>
                    <w:top w:val="nil"/>
                    <w:left w:val="nil"/>
                    <w:bottom w:val="single" w:color="auto" w:sz="4" w:space="0"/>
                    <w:right w:val="single" w:color="auto" w:sz="4" w:space="0"/>
                  </w:tcBorders>
                  <w:noWrap w:val="0"/>
                  <w:vAlign w:val="center"/>
                </w:tcPr>
                <w:p w14:paraId="05D76520">
                  <w:pPr>
                    <w:widowControl/>
                    <w:jc w:val="center"/>
                    <w:rPr>
                      <w:sz w:val="24"/>
                    </w:rPr>
                  </w:pPr>
                  <w:r>
                    <w:rPr>
                      <w:rFonts w:hint="eastAsia"/>
                      <w:sz w:val="24"/>
                    </w:rPr>
                    <w:t>1</w:t>
                  </w:r>
                </w:p>
              </w:tc>
              <w:tc>
                <w:tcPr>
                  <w:tcW w:w="760" w:type="dxa"/>
                  <w:tcBorders>
                    <w:top w:val="nil"/>
                    <w:left w:val="nil"/>
                    <w:bottom w:val="single" w:color="auto" w:sz="4" w:space="0"/>
                    <w:right w:val="single" w:color="auto" w:sz="4" w:space="0"/>
                  </w:tcBorders>
                  <w:noWrap w:val="0"/>
                  <w:vAlign w:val="center"/>
                </w:tcPr>
                <w:p w14:paraId="53235C28">
                  <w:pPr>
                    <w:widowControl/>
                    <w:jc w:val="center"/>
                    <w:rPr>
                      <w:sz w:val="24"/>
                    </w:rPr>
                  </w:pPr>
                  <w:r>
                    <w:rPr>
                      <w:rFonts w:hint="eastAsia"/>
                      <w:sz w:val="24"/>
                    </w:rPr>
                    <w:t>9</w:t>
                  </w:r>
                </w:p>
              </w:tc>
              <w:tc>
                <w:tcPr>
                  <w:tcW w:w="1300" w:type="dxa"/>
                  <w:tcBorders>
                    <w:top w:val="nil"/>
                    <w:left w:val="nil"/>
                    <w:bottom w:val="single" w:color="auto" w:sz="4" w:space="0"/>
                    <w:right w:val="single" w:color="auto" w:sz="4" w:space="0"/>
                  </w:tcBorders>
                  <w:noWrap w:val="0"/>
                  <w:vAlign w:val="center"/>
                </w:tcPr>
                <w:p w14:paraId="74049611">
                  <w:pPr>
                    <w:widowControl/>
                    <w:jc w:val="center"/>
                    <w:rPr>
                      <w:sz w:val="24"/>
                    </w:rPr>
                  </w:pPr>
                  <w:r>
                    <w:rPr>
                      <w:rFonts w:hint="eastAsia"/>
                      <w:sz w:val="24"/>
                    </w:rPr>
                    <w:t>三 角 木</w:t>
                  </w:r>
                </w:p>
              </w:tc>
              <w:tc>
                <w:tcPr>
                  <w:tcW w:w="1080" w:type="dxa"/>
                  <w:tcBorders>
                    <w:top w:val="nil"/>
                    <w:left w:val="nil"/>
                    <w:bottom w:val="single" w:color="auto" w:sz="4" w:space="0"/>
                    <w:right w:val="single" w:color="auto" w:sz="4" w:space="0"/>
                  </w:tcBorders>
                  <w:noWrap w:val="0"/>
                  <w:vAlign w:val="center"/>
                </w:tcPr>
                <w:p w14:paraId="1F480D35">
                  <w:pPr>
                    <w:widowControl/>
                    <w:jc w:val="center"/>
                    <w:rPr>
                      <w:sz w:val="24"/>
                    </w:rPr>
                  </w:pPr>
                  <w:r>
                    <w:rPr>
                      <w:rFonts w:hint="eastAsia"/>
                      <w:sz w:val="24"/>
                    </w:rPr>
                    <w:t>车载</w:t>
                  </w:r>
                </w:p>
              </w:tc>
              <w:tc>
                <w:tcPr>
                  <w:tcW w:w="700" w:type="dxa"/>
                  <w:tcBorders>
                    <w:top w:val="nil"/>
                    <w:left w:val="nil"/>
                    <w:bottom w:val="single" w:color="auto" w:sz="4" w:space="0"/>
                    <w:right w:val="single" w:color="auto" w:sz="4" w:space="0"/>
                  </w:tcBorders>
                  <w:noWrap w:val="0"/>
                  <w:vAlign w:val="center"/>
                </w:tcPr>
                <w:p w14:paraId="5507E96A">
                  <w:pPr>
                    <w:widowControl/>
                    <w:jc w:val="center"/>
                    <w:rPr>
                      <w:sz w:val="24"/>
                    </w:rPr>
                  </w:pPr>
                  <w:r>
                    <w:rPr>
                      <w:rFonts w:hint="eastAsia"/>
                      <w:sz w:val="24"/>
                    </w:rPr>
                    <w:t>若干</w:t>
                  </w:r>
                </w:p>
              </w:tc>
            </w:tr>
            <w:tr w14:paraId="44F591FC">
              <w:tblPrEx>
                <w:tblCellMar>
                  <w:top w:w="0" w:type="dxa"/>
                  <w:left w:w="108" w:type="dxa"/>
                  <w:bottom w:w="0" w:type="dxa"/>
                  <w:right w:w="108" w:type="dxa"/>
                </w:tblCellMar>
              </w:tblPrEx>
              <w:trPr>
                <w:trHeight w:val="285" w:hRule="atLeast"/>
              </w:trPr>
              <w:tc>
                <w:tcPr>
                  <w:tcW w:w="760" w:type="dxa"/>
                  <w:tcBorders>
                    <w:top w:val="nil"/>
                    <w:left w:val="single" w:color="auto" w:sz="4" w:space="0"/>
                    <w:bottom w:val="single" w:color="auto" w:sz="4" w:space="0"/>
                    <w:right w:val="single" w:color="auto" w:sz="4" w:space="0"/>
                  </w:tcBorders>
                  <w:noWrap w:val="0"/>
                  <w:vAlign w:val="center"/>
                </w:tcPr>
                <w:p w14:paraId="3F1B361E">
                  <w:pPr>
                    <w:widowControl/>
                    <w:jc w:val="center"/>
                    <w:rPr>
                      <w:sz w:val="24"/>
                    </w:rPr>
                  </w:pPr>
                  <w:r>
                    <w:rPr>
                      <w:rFonts w:hint="eastAsia"/>
                      <w:sz w:val="24"/>
                    </w:rPr>
                    <w:t>5</w:t>
                  </w:r>
                </w:p>
              </w:tc>
              <w:tc>
                <w:tcPr>
                  <w:tcW w:w="2080" w:type="dxa"/>
                  <w:tcBorders>
                    <w:top w:val="nil"/>
                    <w:left w:val="nil"/>
                    <w:bottom w:val="single" w:color="auto" w:sz="4" w:space="0"/>
                    <w:right w:val="single" w:color="auto" w:sz="4" w:space="0"/>
                  </w:tcBorders>
                  <w:noWrap w:val="0"/>
                  <w:vAlign w:val="center"/>
                </w:tcPr>
                <w:p w14:paraId="517A15DF">
                  <w:pPr>
                    <w:widowControl/>
                    <w:jc w:val="center"/>
                    <w:rPr>
                      <w:sz w:val="24"/>
                    </w:rPr>
                  </w:pPr>
                  <w:r>
                    <w:rPr>
                      <w:rFonts w:hint="eastAsia"/>
                      <w:sz w:val="24"/>
                    </w:rPr>
                    <w:t>工      具</w:t>
                  </w:r>
                </w:p>
              </w:tc>
              <w:tc>
                <w:tcPr>
                  <w:tcW w:w="1080" w:type="dxa"/>
                  <w:tcBorders>
                    <w:top w:val="nil"/>
                    <w:left w:val="nil"/>
                    <w:bottom w:val="single" w:color="auto" w:sz="4" w:space="0"/>
                    <w:right w:val="single" w:color="auto" w:sz="4" w:space="0"/>
                  </w:tcBorders>
                  <w:noWrap w:val="0"/>
                  <w:vAlign w:val="center"/>
                </w:tcPr>
                <w:p w14:paraId="3C296850">
                  <w:pPr>
                    <w:widowControl/>
                    <w:jc w:val="center"/>
                    <w:rPr>
                      <w:sz w:val="24"/>
                    </w:rPr>
                  </w:pPr>
                  <w:r>
                    <w:rPr>
                      <w:rFonts w:hint="eastAsia"/>
                      <w:sz w:val="24"/>
                    </w:rPr>
                    <w:t>车载</w:t>
                  </w:r>
                </w:p>
              </w:tc>
              <w:tc>
                <w:tcPr>
                  <w:tcW w:w="780" w:type="dxa"/>
                  <w:tcBorders>
                    <w:top w:val="nil"/>
                    <w:left w:val="nil"/>
                    <w:bottom w:val="single" w:color="auto" w:sz="4" w:space="0"/>
                    <w:right w:val="single" w:color="auto" w:sz="4" w:space="0"/>
                  </w:tcBorders>
                  <w:noWrap w:val="0"/>
                  <w:vAlign w:val="center"/>
                </w:tcPr>
                <w:p w14:paraId="2514C13C">
                  <w:pPr>
                    <w:widowControl/>
                    <w:jc w:val="center"/>
                    <w:rPr>
                      <w:sz w:val="24"/>
                    </w:rPr>
                  </w:pPr>
                  <w:r>
                    <w:rPr>
                      <w:rFonts w:hint="eastAsia"/>
                      <w:sz w:val="24"/>
                    </w:rPr>
                    <w:t>若干</w:t>
                  </w:r>
                </w:p>
              </w:tc>
              <w:tc>
                <w:tcPr>
                  <w:tcW w:w="760" w:type="dxa"/>
                  <w:tcBorders>
                    <w:top w:val="nil"/>
                    <w:left w:val="nil"/>
                    <w:bottom w:val="single" w:color="auto" w:sz="4" w:space="0"/>
                    <w:right w:val="single" w:color="auto" w:sz="4" w:space="0"/>
                  </w:tcBorders>
                  <w:noWrap w:val="0"/>
                  <w:vAlign w:val="center"/>
                </w:tcPr>
                <w:p w14:paraId="3FE74607">
                  <w:pPr>
                    <w:widowControl/>
                    <w:jc w:val="center"/>
                    <w:rPr>
                      <w:sz w:val="24"/>
                    </w:rPr>
                  </w:pPr>
                  <w:r>
                    <w:rPr>
                      <w:rFonts w:hint="eastAsia"/>
                      <w:sz w:val="24"/>
                    </w:rPr>
                    <w:t>　</w:t>
                  </w:r>
                </w:p>
              </w:tc>
              <w:tc>
                <w:tcPr>
                  <w:tcW w:w="1300" w:type="dxa"/>
                  <w:tcBorders>
                    <w:top w:val="nil"/>
                    <w:left w:val="nil"/>
                    <w:bottom w:val="single" w:color="auto" w:sz="4" w:space="0"/>
                    <w:right w:val="single" w:color="auto" w:sz="4" w:space="0"/>
                  </w:tcBorders>
                  <w:noWrap w:val="0"/>
                  <w:vAlign w:val="center"/>
                </w:tcPr>
                <w:p w14:paraId="2B5CDF98">
                  <w:pPr>
                    <w:widowControl/>
                    <w:jc w:val="center"/>
                    <w:rPr>
                      <w:sz w:val="24"/>
                    </w:rPr>
                  </w:pPr>
                  <w:r>
                    <w:rPr>
                      <w:rFonts w:hint="eastAsia"/>
                      <w:sz w:val="24"/>
                    </w:rPr>
                    <w:t>　</w:t>
                  </w:r>
                </w:p>
              </w:tc>
              <w:tc>
                <w:tcPr>
                  <w:tcW w:w="1080" w:type="dxa"/>
                  <w:tcBorders>
                    <w:top w:val="nil"/>
                    <w:left w:val="nil"/>
                    <w:bottom w:val="single" w:color="auto" w:sz="4" w:space="0"/>
                    <w:right w:val="single" w:color="auto" w:sz="4" w:space="0"/>
                  </w:tcBorders>
                  <w:noWrap w:val="0"/>
                  <w:vAlign w:val="center"/>
                </w:tcPr>
                <w:p w14:paraId="655E2184">
                  <w:pPr>
                    <w:widowControl/>
                    <w:jc w:val="center"/>
                    <w:rPr>
                      <w:sz w:val="24"/>
                    </w:rPr>
                  </w:pPr>
                  <w:r>
                    <w:rPr>
                      <w:rFonts w:hint="eastAsia"/>
                      <w:sz w:val="24"/>
                    </w:rPr>
                    <w:t>　</w:t>
                  </w:r>
                </w:p>
              </w:tc>
              <w:tc>
                <w:tcPr>
                  <w:tcW w:w="700" w:type="dxa"/>
                  <w:tcBorders>
                    <w:top w:val="nil"/>
                    <w:left w:val="nil"/>
                    <w:bottom w:val="single" w:color="auto" w:sz="4" w:space="0"/>
                    <w:right w:val="single" w:color="auto" w:sz="4" w:space="0"/>
                  </w:tcBorders>
                  <w:noWrap w:val="0"/>
                  <w:vAlign w:val="center"/>
                </w:tcPr>
                <w:p w14:paraId="6F421522">
                  <w:pPr>
                    <w:widowControl/>
                    <w:jc w:val="center"/>
                    <w:rPr>
                      <w:sz w:val="24"/>
                    </w:rPr>
                  </w:pPr>
                  <w:r>
                    <w:rPr>
                      <w:rFonts w:hint="eastAsia"/>
                      <w:sz w:val="24"/>
                    </w:rPr>
                    <w:t>　</w:t>
                  </w:r>
                </w:p>
              </w:tc>
            </w:tr>
          </w:tbl>
          <w:p w14:paraId="3FD37180">
            <w:pPr>
              <w:ind w:firstLine="560" w:firstLineChars="200"/>
              <w:rPr>
                <w:sz w:val="28"/>
                <w:szCs w:val="28"/>
              </w:rPr>
            </w:pPr>
            <w:r>
              <w:rPr>
                <w:rFonts w:hint="eastAsia"/>
                <w:sz w:val="28"/>
                <w:szCs w:val="28"/>
              </w:rPr>
              <w:t>七、预案的启动</w:t>
            </w:r>
          </w:p>
          <w:p w14:paraId="323C5497">
            <w:pPr>
              <w:ind w:firstLine="560" w:firstLineChars="200"/>
              <w:rPr>
                <w:rFonts w:hint="eastAsia"/>
                <w:sz w:val="28"/>
                <w:szCs w:val="28"/>
              </w:rPr>
            </w:pPr>
            <w:r>
              <w:rPr>
                <w:rFonts w:hint="eastAsia"/>
                <w:sz w:val="28"/>
                <w:szCs w:val="28"/>
              </w:rPr>
              <w:t>发生事故时驾驶员在第一时间准确的向当地消防、运管、安监及公司领导汇报事故发生的地点、时间、人员伤亡等情况，公司“危险化学品运输过程事故应急救援运营方（预）案”总指挥通知所有应急小组起动预案。</w:t>
            </w:r>
          </w:p>
          <w:p w14:paraId="477A8D1D">
            <w:pPr>
              <w:ind w:firstLine="560" w:firstLineChars="200"/>
              <w:outlineLvl w:val="0"/>
              <w:rPr>
                <w:sz w:val="28"/>
                <w:szCs w:val="28"/>
              </w:rPr>
            </w:pPr>
            <w:r>
              <w:rPr>
                <w:rFonts w:hint="eastAsia"/>
                <w:sz w:val="28"/>
                <w:szCs w:val="28"/>
              </w:rPr>
              <w:t>1、事故发生后驾、押运员应采取的紧急处理措施</w:t>
            </w:r>
          </w:p>
          <w:p w14:paraId="43BEF072">
            <w:pPr>
              <w:ind w:firstLine="560" w:firstLineChars="200"/>
              <w:rPr>
                <w:sz w:val="28"/>
                <w:szCs w:val="28"/>
              </w:rPr>
            </w:pPr>
            <w:r>
              <w:rPr>
                <w:rFonts w:hint="eastAsia"/>
                <w:sz w:val="28"/>
                <w:szCs w:val="28"/>
              </w:rPr>
              <w:t>（1）、驾驶员立即拉紧手制动器，固定车轮，熄灭发动机关报警。押运员根据所载货物的性质，釆取相应的急救措施，防止事故扩大。</w:t>
            </w:r>
          </w:p>
          <w:p w14:paraId="7CAA31BF">
            <w:pPr>
              <w:ind w:firstLine="560" w:firstLineChars="200"/>
              <w:rPr>
                <w:rFonts w:hint="eastAsia"/>
                <w:sz w:val="28"/>
                <w:szCs w:val="28"/>
              </w:rPr>
            </w:pPr>
            <w:r>
              <w:rPr>
                <w:rFonts w:hint="eastAsia"/>
                <w:sz w:val="28"/>
                <w:szCs w:val="28"/>
              </w:rPr>
              <w:t xml:space="preserve">（2）、指挥周围车辆及无关人员迅速离幵，现場隔离50米范围禁止明火，防止事态扩大； </w:t>
            </w:r>
          </w:p>
          <w:p w14:paraId="6EE775D2">
            <w:pPr>
              <w:ind w:firstLine="560" w:firstLineChars="200"/>
              <w:rPr>
                <w:rFonts w:hint="eastAsia"/>
                <w:sz w:val="28"/>
                <w:szCs w:val="28"/>
              </w:rPr>
            </w:pPr>
            <w:r>
              <w:rPr>
                <w:rFonts w:hint="eastAsia"/>
                <w:sz w:val="28"/>
                <w:szCs w:val="28"/>
              </w:rPr>
              <w:t>（3）、疏散事故现场周围易燃易爆物品、防止二次事故发生；</w:t>
            </w:r>
          </w:p>
          <w:p w14:paraId="37545DD3">
            <w:pPr>
              <w:ind w:firstLine="560" w:firstLineChars="200"/>
              <w:rPr>
                <w:sz w:val="28"/>
                <w:szCs w:val="28"/>
              </w:rPr>
            </w:pPr>
            <w:r>
              <w:rPr>
                <w:rFonts w:hint="eastAsia"/>
                <w:sz w:val="28"/>
                <w:szCs w:val="28"/>
              </w:rPr>
              <w:t>（4）、立即到路口设置警戒标志，并迎接救援车的到来。</w:t>
            </w:r>
          </w:p>
          <w:p w14:paraId="32A895F0">
            <w:pPr>
              <w:ind w:firstLine="560" w:firstLineChars="200"/>
              <w:outlineLvl w:val="0"/>
              <w:rPr>
                <w:sz w:val="28"/>
                <w:szCs w:val="28"/>
              </w:rPr>
            </w:pPr>
            <w:r>
              <w:rPr>
                <w:rFonts w:hint="eastAsia"/>
                <w:sz w:val="28"/>
                <w:szCs w:val="28"/>
              </w:rPr>
              <w:t>2、人员紧急疏散、撤离</w:t>
            </w:r>
          </w:p>
          <w:p w14:paraId="5BBE5304">
            <w:pPr>
              <w:ind w:firstLine="560" w:firstLineChars="200"/>
              <w:rPr>
                <w:sz w:val="28"/>
                <w:szCs w:val="28"/>
              </w:rPr>
            </w:pPr>
            <w:r>
              <w:rPr>
                <w:rFonts w:hint="eastAsia"/>
                <w:sz w:val="28"/>
                <w:szCs w:val="28"/>
              </w:rPr>
              <w:t>驾驶员和押运员在紧急救援时，要按危险品性质和事故严重程度进行分析，决定是否对周边人员紧急撤离以及撤离方式；在当地救援部门到来后,人员的疏散与撤离决定权移交给政府部门履行。</w:t>
            </w:r>
          </w:p>
          <w:p w14:paraId="74EC171F">
            <w:pPr>
              <w:ind w:firstLine="560" w:firstLineChars="200"/>
              <w:outlineLvl w:val="0"/>
              <w:rPr>
                <w:sz w:val="28"/>
                <w:szCs w:val="28"/>
              </w:rPr>
            </w:pPr>
            <w:r>
              <w:rPr>
                <w:rFonts w:hint="eastAsia"/>
                <w:sz w:val="28"/>
                <w:szCs w:val="28"/>
              </w:rPr>
              <w:t>3、危险区的隔离</w:t>
            </w:r>
          </w:p>
          <w:p w14:paraId="6E26AC3A">
            <w:pPr>
              <w:ind w:firstLine="560" w:firstLineChars="200"/>
              <w:rPr>
                <w:rFonts w:hint="eastAsia"/>
                <w:sz w:val="28"/>
                <w:szCs w:val="28"/>
              </w:rPr>
            </w:pPr>
            <w:r>
              <w:rPr>
                <w:rFonts w:hint="eastAsia"/>
                <w:sz w:val="28"/>
                <w:szCs w:val="28"/>
              </w:rPr>
              <w:t>事故发生后，驾押人员应对事故现场周围实行警戒，对无关人员及车辆进行紧急疏散，驾驶员要在危险区域放置“前方危险，车辆绕行”警示牌，协助相关部门做好交通管制工作。</w:t>
            </w:r>
          </w:p>
          <w:p w14:paraId="43CE670D">
            <w:pPr>
              <w:ind w:firstLine="560" w:firstLineChars="200"/>
              <w:outlineLvl w:val="0"/>
              <w:rPr>
                <w:rFonts w:hint="eastAsia"/>
                <w:sz w:val="28"/>
                <w:szCs w:val="28"/>
              </w:rPr>
            </w:pPr>
            <w:r>
              <w:rPr>
                <w:rFonts w:hint="eastAsia"/>
                <w:sz w:val="28"/>
                <w:szCs w:val="28"/>
              </w:rPr>
              <w:t>4、检测、抢救、救援及控制措施</w:t>
            </w:r>
          </w:p>
          <w:p w14:paraId="5E15F412">
            <w:pPr>
              <w:ind w:firstLine="560" w:firstLineChars="200"/>
              <w:rPr>
                <w:rFonts w:hint="eastAsia"/>
                <w:sz w:val="28"/>
                <w:szCs w:val="28"/>
              </w:rPr>
            </w:pPr>
            <w:r>
              <w:rPr>
                <w:rFonts w:hint="eastAsia"/>
                <w:sz w:val="28"/>
                <w:szCs w:val="28"/>
              </w:rPr>
              <w:t>（1）、 驾、押人员应落实危化品污染事故监测工作。</w:t>
            </w:r>
          </w:p>
          <w:p w14:paraId="1A68EB89">
            <w:pPr>
              <w:ind w:firstLine="560" w:firstLineChars="200"/>
              <w:rPr>
                <w:rFonts w:hint="eastAsia"/>
                <w:sz w:val="28"/>
                <w:szCs w:val="28"/>
              </w:rPr>
            </w:pPr>
            <w:r>
              <w:rPr>
                <w:rFonts w:hint="eastAsia"/>
                <w:sz w:val="28"/>
                <w:szCs w:val="28"/>
              </w:rPr>
              <w:t>（2）、抢险、救援方式、方法及人员的防护、监护措施。</w:t>
            </w:r>
          </w:p>
          <w:p w14:paraId="270DFC80">
            <w:pPr>
              <w:ind w:firstLine="560" w:firstLineChars="200"/>
              <w:rPr>
                <w:rFonts w:hint="eastAsia"/>
                <w:sz w:val="28"/>
                <w:szCs w:val="28"/>
              </w:rPr>
            </w:pPr>
            <w:r>
              <w:rPr>
                <w:rFonts w:hint="eastAsia"/>
                <w:sz w:val="28"/>
                <w:szCs w:val="28"/>
              </w:rPr>
              <w:t>a、运输易燃、易爆气瓶发生事故的处理方式。</w:t>
            </w:r>
          </w:p>
          <w:p w14:paraId="6413E2D3">
            <w:pPr>
              <w:ind w:firstLine="560" w:firstLineChars="200"/>
              <w:rPr>
                <w:rFonts w:hint="eastAsia"/>
                <w:sz w:val="28"/>
                <w:szCs w:val="28"/>
              </w:rPr>
            </w:pPr>
            <w:r>
              <w:rPr>
                <w:rFonts w:hint="eastAsia"/>
                <w:sz w:val="28"/>
                <w:szCs w:val="28"/>
              </w:rPr>
              <w:t>关闭钢瓶阀门，如果无法拧紧阀门，迅速将车辆开至空旷无人区域任其泄露尽。车辆无法开动时应向气瓶大时浇水，使其冷却并移出危险区域。安全转移气瓶，逐个卸车，严禁踢、倾、摔、碰、溜放卸车，注意防止气瓶安全帽脱落，气瓶竖放时必须稳妥。</w:t>
            </w:r>
          </w:p>
          <w:p w14:paraId="159F9A7F">
            <w:pPr>
              <w:ind w:firstLine="560" w:firstLineChars="200"/>
              <w:rPr>
                <w:rFonts w:hint="eastAsia"/>
                <w:sz w:val="28"/>
                <w:szCs w:val="28"/>
              </w:rPr>
            </w:pPr>
            <w:r>
              <w:rPr>
                <w:rFonts w:hint="eastAsia"/>
                <w:sz w:val="28"/>
                <w:szCs w:val="28"/>
              </w:rPr>
              <w:t>b、运输易燃液体发生事故的处理方式</w:t>
            </w:r>
          </w:p>
          <w:p w14:paraId="63C405CF">
            <w:pPr>
              <w:ind w:firstLine="560" w:firstLineChars="200"/>
              <w:rPr>
                <w:rFonts w:hint="eastAsia"/>
                <w:sz w:val="28"/>
                <w:szCs w:val="28"/>
              </w:rPr>
            </w:pPr>
            <w:r>
              <w:rPr>
                <w:rFonts w:hint="eastAsia"/>
                <w:sz w:val="28"/>
                <w:szCs w:val="28"/>
              </w:rPr>
              <w:t>轻装容器，有渗漏现象时，应及时将渗透部位朝上，并移至安全通风处，进行粘补和更换包装，已经泄露的物品用纱布覆盖后扫净，发现中毒，应立即将中毒人员移至空气流通处。</w:t>
            </w:r>
          </w:p>
          <w:p w14:paraId="60ACAFB3">
            <w:pPr>
              <w:ind w:firstLine="560" w:firstLineChars="200"/>
              <w:rPr>
                <w:rFonts w:hint="eastAsia"/>
                <w:sz w:val="28"/>
                <w:szCs w:val="28"/>
              </w:rPr>
            </w:pPr>
            <w:r>
              <w:rPr>
                <w:rFonts w:hint="eastAsia"/>
                <w:sz w:val="28"/>
                <w:szCs w:val="28"/>
              </w:rPr>
              <w:t>c、运输易燃液体、自燃物品、遇温易燃物品发生事故的处理方式妥善收集、更换或处理包装。</w:t>
            </w:r>
          </w:p>
          <w:p w14:paraId="2B451C5A">
            <w:pPr>
              <w:ind w:firstLine="560" w:firstLineChars="200"/>
              <w:rPr>
                <w:rFonts w:hint="eastAsia"/>
                <w:sz w:val="28"/>
                <w:szCs w:val="28"/>
              </w:rPr>
            </w:pPr>
            <w:r>
              <w:rPr>
                <w:rFonts w:hint="eastAsia"/>
                <w:sz w:val="28"/>
                <w:szCs w:val="28"/>
              </w:rPr>
              <w:t>d、运输腐蚀品发生事故的处理方式</w:t>
            </w:r>
          </w:p>
          <w:p w14:paraId="5F12662E">
            <w:pPr>
              <w:ind w:firstLine="560" w:firstLineChars="200"/>
              <w:rPr>
                <w:rFonts w:hint="eastAsia"/>
                <w:sz w:val="28"/>
                <w:szCs w:val="28"/>
              </w:rPr>
            </w:pPr>
            <w:r>
              <w:rPr>
                <w:rFonts w:hint="eastAsia"/>
                <w:sz w:val="28"/>
                <w:szCs w:val="28"/>
              </w:rPr>
              <w:t>腐蚀品货物发生泄露时用砂土覆盖吸收，对遇水发生剧烈反应的，不得用水直接喷射扑救，以防腐蚀物品飞溅。扑救人员必须穿戴防护用品，对散发腐蚀性蒸汽的危化品，必须使用防毒面具。扑救人员应站在上风处。人体被腐蚀品灼伤处，应立即用大量水冲洗，必要时送医院就诊。</w:t>
            </w:r>
          </w:p>
          <w:p w14:paraId="32EBC366">
            <w:pPr>
              <w:rPr>
                <w:rFonts w:hint="eastAsia"/>
                <w:sz w:val="28"/>
                <w:szCs w:val="28"/>
              </w:rPr>
            </w:pPr>
            <w:r>
              <w:rPr>
                <w:rFonts w:hint="eastAsia"/>
                <w:sz w:val="28"/>
                <w:szCs w:val="28"/>
              </w:rPr>
              <w:t>事故预案</w:t>
            </w:r>
          </w:p>
          <w:p w14:paraId="6E70E64E">
            <w:pPr>
              <w:ind w:firstLine="560" w:firstLineChars="200"/>
              <w:outlineLvl w:val="0"/>
              <w:rPr>
                <w:rFonts w:hint="eastAsia"/>
                <w:sz w:val="28"/>
                <w:szCs w:val="28"/>
              </w:rPr>
            </w:pPr>
            <w:r>
              <w:rPr>
                <w:rFonts w:hint="eastAsia"/>
                <w:sz w:val="28"/>
                <w:szCs w:val="28"/>
              </w:rPr>
              <w:t>（3）、 翻车的应对措施</w:t>
            </w:r>
          </w:p>
          <w:p w14:paraId="6DD4ADB2">
            <w:pPr>
              <w:ind w:firstLine="560" w:firstLineChars="200"/>
              <w:rPr>
                <w:rFonts w:hint="eastAsia"/>
                <w:sz w:val="28"/>
                <w:szCs w:val="28"/>
              </w:rPr>
            </w:pPr>
            <w:r>
              <w:rPr>
                <w:rFonts w:hint="eastAsia"/>
                <w:sz w:val="28"/>
                <w:szCs w:val="28"/>
              </w:rPr>
              <w:t>a、发生 翻车事故，驾驶员、押运员应立即自救，离开驾驶室。</w:t>
            </w:r>
          </w:p>
          <w:p w14:paraId="233DA25D">
            <w:pPr>
              <w:ind w:firstLine="560" w:firstLineChars="200"/>
              <w:rPr>
                <w:rFonts w:hint="eastAsia"/>
                <w:sz w:val="28"/>
                <w:szCs w:val="28"/>
              </w:rPr>
            </w:pPr>
            <w:r>
              <w:rPr>
                <w:rFonts w:hint="eastAsia"/>
                <w:sz w:val="28"/>
                <w:szCs w:val="28"/>
              </w:rPr>
              <w:t>b、根据车辆翻车点的地形和车辆重心，就地取材稳定车辆重心，防止车辆继续滚滑，扩大险情。</w:t>
            </w:r>
          </w:p>
          <w:p w14:paraId="4F4F9F86">
            <w:pPr>
              <w:ind w:firstLine="560" w:firstLineChars="200"/>
              <w:rPr>
                <w:rFonts w:hint="eastAsia"/>
                <w:sz w:val="28"/>
                <w:szCs w:val="28"/>
              </w:rPr>
            </w:pPr>
            <w:r>
              <w:rPr>
                <w:rFonts w:hint="eastAsia"/>
                <w:sz w:val="28"/>
                <w:szCs w:val="28"/>
              </w:rPr>
              <w:t>c、发生泄漏立即向消防119、救护120、交通事故122、治安110报警求援，向公司领导报告。在消防人员未到达前，做好保护现场看护工作，警告闲杂人员离开，现场隔离50米范围禁止明火；</w:t>
            </w:r>
          </w:p>
          <w:p w14:paraId="344909BA">
            <w:pPr>
              <w:ind w:firstLine="560" w:firstLineChars="200"/>
              <w:rPr>
                <w:rFonts w:hint="eastAsia"/>
                <w:sz w:val="28"/>
                <w:szCs w:val="28"/>
              </w:rPr>
            </w:pPr>
            <w:r>
              <w:rPr>
                <w:rFonts w:hint="eastAsia"/>
                <w:sz w:val="28"/>
                <w:szCs w:val="28"/>
              </w:rPr>
              <w:t>d、公安、消防人员到达现场后，听从指挥，协调调查处理，若有伤员立即设法抢救。</w:t>
            </w:r>
          </w:p>
          <w:p w14:paraId="3927123A">
            <w:pPr>
              <w:ind w:firstLine="560" w:firstLineChars="200"/>
              <w:outlineLvl w:val="0"/>
              <w:rPr>
                <w:rFonts w:hint="eastAsia"/>
                <w:sz w:val="28"/>
                <w:szCs w:val="28"/>
              </w:rPr>
            </w:pPr>
            <w:r>
              <w:rPr>
                <w:rFonts w:hint="eastAsia"/>
                <w:sz w:val="28"/>
                <w:szCs w:val="28"/>
              </w:rPr>
              <w:t>(4)、泄漏的应对措施</w:t>
            </w:r>
          </w:p>
          <w:p w14:paraId="60ED2938">
            <w:pPr>
              <w:ind w:firstLine="560" w:firstLineChars="200"/>
              <w:rPr>
                <w:rFonts w:hint="eastAsia"/>
                <w:sz w:val="28"/>
                <w:szCs w:val="28"/>
              </w:rPr>
            </w:pPr>
            <w:r>
              <w:rPr>
                <w:rFonts w:hint="eastAsia"/>
                <w:sz w:val="28"/>
                <w:szCs w:val="28"/>
              </w:rPr>
              <w:t>a、尽快驶离（拖主）人群密集地，到空旷区域。将发生动机熄火，并切断车辆电源总电源。尽快堵塞、倒桶或卸料作业，并向公司领导报告泄漏原因、泄漏数量。</w:t>
            </w:r>
          </w:p>
          <w:p w14:paraId="6A4322B8">
            <w:pPr>
              <w:ind w:firstLine="560" w:firstLineChars="200"/>
              <w:rPr>
                <w:rFonts w:hint="eastAsia"/>
                <w:sz w:val="28"/>
                <w:szCs w:val="28"/>
              </w:rPr>
            </w:pPr>
            <w:r>
              <w:rPr>
                <w:rFonts w:hint="eastAsia"/>
                <w:sz w:val="28"/>
                <w:szCs w:val="28"/>
              </w:rPr>
              <w:t>b、泄漏量较大时，立即向消防119、救护120、交通事故122、治安110报警求援；现场隔离，要在泄漏点50米范围内设置禁火区域，禁止车辆驶入，明火进入或其它可能产生火花的作业；119、110、122到现场后，服从指挥，配合抢险；</w:t>
            </w:r>
          </w:p>
          <w:p w14:paraId="20D72845">
            <w:pPr>
              <w:ind w:firstLine="560" w:firstLineChars="200"/>
              <w:rPr>
                <w:rFonts w:hint="eastAsia"/>
                <w:sz w:val="28"/>
                <w:szCs w:val="28"/>
              </w:rPr>
            </w:pPr>
            <w:r>
              <w:rPr>
                <w:rFonts w:hint="eastAsia"/>
                <w:sz w:val="28"/>
                <w:szCs w:val="28"/>
              </w:rPr>
              <w:t>c、因交通事故造成的泄漏，待交警到场后，要主动接受事故据调查。</w:t>
            </w:r>
          </w:p>
          <w:p w14:paraId="2525B510">
            <w:pPr>
              <w:ind w:firstLine="560" w:firstLineChars="200"/>
              <w:outlineLvl w:val="0"/>
              <w:rPr>
                <w:rFonts w:hint="eastAsia"/>
                <w:sz w:val="28"/>
                <w:szCs w:val="28"/>
              </w:rPr>
            </w:pPr>
            <w:r>
              <w:rPr>
                <w:rFonts w:hint="eastAsia"/>
                <w:sz w:val="28"/>
                <w:szCs w:val="28"/>
              </w:rPr>
              <w:t>(5)、火灾、爆炸事故的应对措施</w:t>
            </w:r>
          </w:p>
          <w:p w14:paraId="26B8C72E">
            <w:pPr>
              <w:ind w:firstLine="560" w:firstLineChars="200"/>
              <w:rPr>
                <w:rFonts w:hint="eastAsia"/>
                <w:sz w:val="28"/>
                <w:szCs w:val="28"/>
              </w:rPr>
            </w:pPr>
            <w:r>
              <w:rPr>
                <w:rFonts w:hint="eastAsia"/>
                <w:sz w:val="28"/>
                <w:szCs w:val="28"/>
              </w:rPr>
              <w:t>a、当火势可以控制的情况下，应迅速将车辆驶离（拖离）至空旷区域，以中断灾情的进一步扩大；</w:t>
            </w:r>
          </w:p>
          <w:p w14:paraId="53438971">
            <w:pPr>
              <w:ind w:firstLine="560" w:firstLineChars="200"/>
              <w:rPr>
                <w:rFonts w:hint="eastAsia"/>
                <w:sz w:val="28"/>
                <w:szCs w:val="28"/>
              </w:rPr>
            </w:pPr>
            <w:r>
              <w:rPr>
                <w:rFonts w:hint="eastAsia"/>
                <w:sz w:val="28"/>
                <w:szCs w:val="28"/>
              </w:rPr>
              <w:t>b、火灾初始，押运员和驾驭员立即用随身携带的灭火器对准火焰根部灭火，或用其他方法中断燃烧。当火势猛烈灭火无效时，应立即撤离人员中断交通，并立即向消防119、交通122、治安110报警，同时向公司领导泄报；</w:t>
            </w:r>
          </w:p>
          <w:p w14:paraId="5DEC15FF">
            <w:pPr>
              <w:ind w:firstLine="560" w:firstLineChars="200"/>
              <w:rPr>
                <w:rFonts w:hint="eastAsia"/>
                <w:sz w:val="28"/>
                <w:szCs w:val="28"/>
              </w:rPr>
            </w:pPr>
            <w:r>
              <w:rPr>
                <w:rFonts w:hint="eastAsia"/>
                <w:sz w:val="28"/>
                <w:szCs w:val="28"/>
              </w:rPr>
              <w:t>c、发生爆炸和爆炸后燃烧，所有人员应立即撤离，如有人员伤亡应通知120急救中心；</w:t>
            </w:r>
          </w:p>
          <w:p w14:paraId="02FA89F4">
            <w:pPr>
              <w:ind w:firstLine="560" w:firstLineChars="200"/>
              <w:rPr>
                <w:rFonts w:hint="eastAsia"/>
                <w:sz w:val="28"/>
                <w:szCs w:val="28"/>
              </w:rPr>
            </w:pPr>
            <w:r>
              <w:rPr>
                <w:rFonts w:hint="eastAsia"/>
                <w:sz w:val="28"/>
                <w:szCs w:val="28"/>
              </w:rPr>
              <w:t xml:space="preserve">d、事故救援人员到场后，做好配合并协助进行事故调查。  </w:t>
            </w:r>
          </w:p>
          <w:p w14:paraId="29A6594A">
            <w:pPr>
              <w:ind w:firstLine="560" w:firstLineChars="200"/>
              <w:outlineLvl w:val="0"/>
              <w:rPr>
                <w:rFonts w:hint="eastAsia"/>
                <w:sz w:val="28"/>
                <w:szCs w:val="28"/>
              </w:rPr>
            </w:pPr>
            <w:r>
              <w:rPr>
                <w:rFonts w:hint="eastAsia"/>
                <w:sz w:val="28"/>
                <w:szCs w:val="28"/>
              </w:rPr>
              <w:t>（6）、 撞车的应对措施</w:t>
            </w:r>
          </w:p>
          <w:p w14:paraId="01C81F04">
            <w:pPr>
              <w:ind w:firstLine="560" w:firstLineChars="200"/>
              <w:rPr>
                <w:rFonts w:hint="eastAsia"/>
                <w:sz w:val="28"/>
                <w:szCs w:val="28"/>
              </w:rPr>
            </w:pPr>
            <w:r>
              <w:rPr>
                <w:rFonts w:hint="eastAsia"/>
                <w:sz w:val="28"/>
                <w:szCs w:val="28"/>
              </w:rPr>
              <w:t>a、发生撞车事故后，应迅速拨交通事故122，协助调查；</w:t>
            </w:r>
          </w:p>
          <w:p w14:paraId="5830C70F">
            <w:pPr>
              <w:ind w:firstLine="560" w:firstLineChars="200"/>
              <w:rPr>
                <w:rFonts w:hint="eastAsia"/>
                <w:sz w:val="28"/>
                <w:szCs w:val="28"/>
              </w:rPr>
            </w:pPr>
            <w:r>
              <w:rPr>
                <w:rFonts w:hint="eastAsia"/>
                <w:sz w:val="28"/>
                <w:szCs w:val="28"/>
              </w:rPr>
              <w:t>b、当事故发生后双方有生命危险或货物剧烈反应的（污染环境、火灾爆炸等），驾驶员还应立即向消防119、120、110报警请求救援，同时保护现场，请求过路群众或车辆紧急抢救、抢险，已造成危化泄漏的按“泄漏预案”执行；造成火灾爆炸的按“火灾、爆炸预案”执行；</w:t>
            </w:r>
          </w:p>
          <w:p w14:paraId="08FC6E3B">
            <w:pPr>
              <w:ind w:firstLine="560" w:firstLineChars="200"/>
              <w:rPr>
                <w:rFonts w:hint="eastAsia"/>
                <w:sz w:val="28"/>
                <w:szCs w:val="28"/>
              </w:rPr>
            </w:pPr>
            <w:r>
              <w:rPr>
                <w:rFonts w:hint="eastAsia"/>
                <w:sz w:val="28"/>
                <w:szCs w:val="28"/>
              </w:rPr>
              <w:t>c、告诫围观和过路人群迅速撤离；</w:t>
            </w:r>
          </w:p>
          <w:p w14:paraId="33CC3B12">
            <w:pPr>
              <w:ind w:firstLine="560" w:firstLineChars="200"/>
              <w:rPr>
                <w:rFonts w:hint="eastAsia"/>
                <w:sz w:val="28"/>
                <w:szCs w:val="28"/>
              </w:rPr>
            </w:pPr>
            <w:r>
              <w:rPr>
                <w:rFonts w:hint="eastAsia"/>
                <w:sz w:val="28"/>
                <w:szCs w:val="28"/>
              </w:rPr>
              <w:t>d、救援人员到来后，报从指挥，配合做好善后处理工科调查取证工作。</w:t>
            </w:r>
          </w:p>
          <w:p w14:paraId="376380FF">
            <w:pPr>
              <w:ind w:firstLine="560" w:firstLineChars="200"/>
              <w:outlineLvl w:val="0"/>
              <w:rPr>
                <w:rFonts w:hint="eastAsia"/>
                <w:sz w:val="28"/>
                <w:szCs w:val="28"/>
              </w:rPr>
            </w:pPr>
            <w:r>
              <w:rPr>
                <w:rFonts w:hint="eastAsia"/>
                <w:sz w:val="28"/>
                <w:szCs w:val="28"/>
              </w:rPr>
              <w:t>（7）、车辆坠落的应对措施</w:t>
            </w:r>
          </w:p>
          <w:p w14:paraId="6C75A0D1">
            <w:pPr>
              <w:ind w:firstLine="560" w:firstLineChars="200"/>
              <w:rPr>
                <w:rFonts w:hint="eastAsia"/>
                <w:sz w:val="28"/>
                <w:szCs w:val="28"/>
              </w:rPr>
            </w:pPr>
            <w:r>
              <w:rPr>
                <w:rFonts w:hint="eastAsia"/>
                <w:sz w:val="28"/>
                <w:szCs w:val="28"/>
              </w:rPr>
              <w:t>a、当发生车辆坠落公路（坠河）时，驾驶员、押运员要迅速逃生。</w:t>
            </w:r>
          </w:p>
          <w:p w14:paraId="16EF490D">
            <w:pPr>
              <w:ind w:firstLine="560" w:firstLineChars="200"/>
              <w:rPr>
                <w:rFonts w:hint="eastAsia"/>
                <w:sz w:val="28"/>
                <w:szCs w:val="28"/>
              </w:rPr>
            </w:pPr>
            <w:r>
              <w:rPr>
                <w:rFonts w:hint="eastAsia"/>
                <w:sz w:val="28"/>
                <w:szCs w:val="28"/>
              </w:rPr>
              <w:t>b、逃生后及时向相关部门报告，请求急救。</w:t>
            </w:r>
          </w:p>
          <w:p w14:paraId="3F0594A2">
            <w:pPr>
              <w:ind w:firstLine="560" w:firstLineChars="200"/>
              <w:outlineLvl w:val="0"/>
              <w:rPr>
                <w:rFonts w:hint="eastAsia"/>
                <w:sz w:val="28"/>
                <w:szCs w:val="28"/>
              </w:rPr>
            </w:pPr>
            <w:r>
              <w:rPr>
                <w:rFonts w:hint="eastAsia"/>
                <w:sz w:val="28"/>
                <w:szCs w:val="28"/>
              </w:rPr>
              <w:t>5、 现场实时监测</w:t>
            </w:r>
          </w:p>
          <w:p w14:paraId="689720D7">
            <w:pPr>
              <w:ind w:firstLine="560" w:firstLineChars="200"/>
              <w:rPr>
                <w:rFonts w:hint="eastAsia"/>
                <w:sz w:val="28"/>
                <w:szCs w:val="28"/>
              </w:rPr>
            </w:pPr>
            <w:r>
              <w:rPr>
                <w:rFonts w:hint="eastAsia"/>
                <w:sz w:val="28"/>
                <w:szCs w:val="28"/>
              </w:rPr>
              <w:t>事故发生造成的污染，要通知环保部门，由环保部门决定采取应急对策。</w:t>
            </w:r>
          </w:p>
          <w:p w14:paraId="6F77EA7E">
            <w:pPr>
              <w:outlineLvl w:val="0"/>
              <w:rPr>
                <w:rFonts w:hint="eastAsia"/>
                <w:sz w:val="28"/>
                <w:szCs w:val="28"/>
              </w:rPr>
            </w:pPr>
            <w:r>
              <w:rPr>
                <w:rFonts w:hint="eastAsia"/>
                <w:sz w:val="28"/>
                <w:szCs w:val="28"/>
              </w:rPr>
              <w:t xml:space="preserve">     6、受作人员救治</w:t>
            </w:r>
          </w:p>
          <w:p w14:paraId="691745F7">
            <w:pPr>
              <w:ind w:firstLine="560" w:firstLineChars="200"/>
              <w:rPr>
                <w:rFonts w:hint="eastAsia"/>
                <w:sz w:val="28"/>
                <w:szCs w:val="28"/>
              </w:rPr>
            </w:pPr>
            <w:r>
              <w:rPr>
                <w:rFonts w:hint="eastAsia"/>
                <w:sz w:val="28"/>
                <w:szCs w:val="28"/>
              </w:rPr>
              <w:t>在事故中受伤的人员，视情况施以急救措施，同时向120急救中心救援，电话中要说清楚，事故发生地及产生伤害的原因，并作了什么应急处理。在救援车没有到达时，可拦截汽车将伤员送往医院，用手机与120急救中心保持联系，并听从救援指令。</w:t>
            </w:r>
          </w:p>
          <w:p w14:paraId="25695650">
            <w:pPr>
              <w:ind w:firstLine="560" w:firstLineChars="200"/>
              <w:rPr>
                <w:rFonts w:hint="eastAsia"/>
                <w:sz w:val="28"/>
                <w:szCs w:val="28"/>
              </w:rPr>
            </w:pPr>
            <w:r>
              <w:rPr>
                <w:rFonts w:hint="eastAsia"/>
                <w:sz w:val="28"/>
                <w:szCs w:val="28"/>
              </w:rPr>
              <w:t>7、现场保护与现场洗消</w:t>
            </w:r>
          </w:p>
          <w:p w14:paraId="676E882C">
            <w:pPr>
              <w:ind w:firstLine="560" w:firstLineChars="200"/>
              <w:rPr>
                <w:rFonts w:hint="eastAsia"/>
                <w:sz w:val="28"/>
                <w:szCs w:val="28"/>
              </w:rPr>
            </w:pPr>
            <w:r>
              <w:rPr>
                <w:rFonts w:hint="eastAsia"/>
                <w:sz w:val="28"/>
                <w:szCs w:val="28"/>
              </w:rPr>
              <w:t>（1）、现场保护</w:t>
            </w:r>
          </w:p>
          <w:p w14:paraId="7F84C438">
            <w:pPr>
              <w:ind w:firstLine="560" w:firstLineChars="200"/>
              <w:rPr>
                <w:rFonts w:hint="eastAsia"/>
                <w:sz w:val="28"/>
                <w:szCs w:val="28"/>
              </w:rPr>
            </w:pPr>
            <w:r>
              <w:rPr>
                <w:rFonts w:hint="eastAsia"/>
                <w:sz w:val="28"/>
                <w:szCs w:val="28"/>
              </w:rPr>
              <w:t>在事故发生后驾驶员、押运员应设立警报，划定安全区。疏散周围人群，保护好现场。</w:t>
            </w:r>
          </w:p>
          <w:p w14:paraId="1C2AB304">
            <w:pPr>
              <w:ind w:firstLine="560" w:firstLineChars="200"/>
              <w:outlineLvl w:val="0"/>
              <w:rPr>
                <w:rFonts w:hint="eastAsia"/>
                <w:sz w:val="28"/>
                <w:szCs w:val="28"/>
              </w:rPr>
            </w:pPr>
            <w:r>
              <w:rPr>
                <w:rFonts w:hint="eastAsia"/>
                <w:sz w:val="28"/>
                <w:szCs w:val="28"/>
              </w:rPr>
              <w:t>（2）、现场洗消</w:t>
            </w:r>
          </w:p>
          <w:p w14:paraId="0F901104">
            <w:pPr>
              <w:ind w:firstLine="560" w:firstLineChars="200"/>
              <w:rPr>
                <w:rFonts w:hint="eastAsia"/>
                <w:sz w:val="28"/>
                <w:szCs w:val="28"/>
              </w:rPr>
            </w:pPr>
            <w:r>
              <w:rPr>
                <w:rFonts w:hint="eastAsia"/>
                <w:sz w:val="28"/>
                <w:szCs w:val="28"/>
              </w:rPr>
              <w:t>洗消是消除化学污染的有效方法。要针对泄漏危化品的特性，及时搞好好现场洗消，车辆和设备的洗消，填写事故现场记录。</w:t>
            </w:r>
          </w:p>
          <w:p w14:paraId="075F003F">
            <w:pPr>
              <w:ind w:firstLine="560" w:firstLineChars="200"/>
              <w:outlineLvl w:val="0"/>
              <w:rPr>
                <w:rFonts w:hint="eastAsia"/>
                <w:sz w:val="28"/>
                <w:szCs w:val="28"/>
              </w:rPr>
            </w:pPr>
            <w:r>
              <w:rPr>
                <w:rFonts w:hint="eastAsia"/>
                <w:sz w:val="28"/>
                <w:szCs w:val="28"/>
              </w:rPr>
              <w:t>八、事故善后处理</w:t>
            </w:r>
          </w:p>
          <w:p w14:paraId="224E7523">
            <w:pPr>
              <w:ind w:firstLine="560" w:firstLineChars="200"/>
              <w:rPr>
                <w:rFonts w:hint="eastAsia"/>
                <w:sz w:val="28"/>
                <w:szCs w:val="28"/>
              </w:rPr>
            </w:pPr>
            <w:r>
              <w:rPr>
                <w:rFonts w:hint="eastAsia"/>
                <w:sz w:val="28"/>
                <w:szCs w:val="28"/>
              </w:rPr>
              <w:t>事故应急救援终止程序</w:t>
            </w:r>
          </w:p>
          <w:p w14:paraId="64B20711">
            <w:pPr>
              <w:ind w:firstLine="560" w:firstLineChars="200"/>
              <w:rPr>
                <w:rFonts w:hint="eastAsia"/>
                <w:sz w:val="28"/>
                <w:szCs w:val="28"/>
              </w:rPr>
            </w:pPr>
            <w:r>
              <w:rPr>
                <w:rFonts w:hint="eastAsia"/>
                <w:sz w:val="28"/>
                <w:szCs w:val="28"/>
              </w:rPr>
              <w:t>待事故解除后，终止救援。</w:t>
            </w:r>
          </w:p>
          <w:p w14:paraId="0CFB8E85">
            <w:pPr>
              <w:ind w:firstLine="560" w:firstLineChars="200"/>
              <w:rPr>
                <w:rFonts w:hint="eastAsia"/>
                <w:sz w:val="28"/>
                <w:szCs w:val="28"/>
              </w:rPr>
            </w:pPr>
            <w:r>
              <w:rPr>
                <w:rFonts w:hint="eastAsia"/>
                <w:sz w:val="28"/>
                <w:szCs w:val="28"/>
              </w:rPr>
              <w:t>（1）、驾、押员工保护好现场，协助事故调查，单位主管人员根据事故等级的大小及时向上级有关部门汇报。</w:t>
            </w:r>
          </w:p>
          <w:p w14:paraId="4677C5A3">
            <w:pPr>
              <w:ind w:firstLine="560" w:firstLineChars="200"/>
              <w:rPr>
                <w:rFonts w:hint="eastAsia"/>
                <w:sz w:val="28"/>
                <w:szCs w:val="28"/>
              </w:rPr>
            </w:pPr>
            <w:r>
              <w:rPr>
                <w:rFonts w:hint="eastAsia"/>
                <w:sz w:val="28"/>
                <w:szCs w:val="28"/>
              </w:rPr>
              <w:t>（2）、组织力量迅速恢复生产。</w:t>
            </w:r>
          </w:p>
          <w:p w14:paraId="2F873C67">
            <w:pPr>
              <w:ind w:firstLine="560" w:firstLineChars="200"/>
              <w:rPr>
                <w:rFonts w:hint="eastAsia"/>
                <w:sz w:val="28"/>
                <w:szCs w:val="28"/>
              </w:rPr>
            </w:pPr>
            <w:r>
              <w:rPr>
                <w:rFonts w:hint="eastAsia"/>
                <w:sz w:val="28"/>
                <w:szCs w:val="28"/>
              </w:rPr>
              <w:t>（3）、落实“四不放过”原则。</w:t>
            </w:r>
          </w:p>
          <w:p w14:paraId="699448EC">
            <w:pPr>
              <w:ind w:firstLine="560" w:firstLineChars="200"/>
              <w:outlineLvl w:val="0"/>
              <w:rPr>
                <w:rFonts w:hint="eastAsia"/>
                <w:sz w:val="28"/>
                <w:szCs w:val="28"/>
              </w:rPr>
            </w:pPr>
            <w:r>
              <w:rPr>
                <w:rFonts w:hint="eastAsia"/>
                <w:sz w:val="28"/>
                <w:szCs w:val="28"/>
              </w:rPr>
              <w:t>九、具体要求</w:t>
            </w:r>
          </w:p>
          <w:p w14:paraId="12987867">
            <w:pPr>
              <w:ind w:firstLine="560" w:firstLineChars="200"/>
              <w:rPr>
                <w:rFonts w:hint="eastAsia"/>
                <w:sz w:val="28"/>
                <w:szCs w:val="28"/>
              </w:rPr>
            </w:pPr>
            <w:r>
              <w:rPr>
                <w:rFonts w:hint="eastAsia"/>
                <w:sz w:val="28"/>
                <w:szCs w:val="28"/>
              </w:rPr>
              <w:t>1、办公室要对驾驶员及押运员进行应急技能、紧急逃生技能、救援技能的教育培训；</w:t>
            </w:r>
          </w:p>
          <w:p w14:paraId="555E09E3">
            <w:pPr>
              <w:ind w:firstLine="560" w:firstLineChars="200"/>
              <w:rPr>
                <w:rFonts w:hint="eastAsia"/>
                <w:sz w:val="28"/>
                <w:szCs w:val="28"/>
              </w:rPr>
            </w:pPr>
            <w:r>
              <w:rPr>
                <w:rFonts w:hint="eastAsia"/>
                <w:sz w:val="28"/>
                <w:szCs w:val="28"/>
              </w:rPr>
              <w:t>2、公司要对全体员工进行应急响应、应急响应知识的培训；</w:t>
            </w:r>
          </w:p>
          <w:p w14:paraId="11386E9D">
            <w:pPr>
              <w:ind w:firstLine="560" w:firstLineChars="200"/>
              <w:rPr>
                <w:rFonts w:hint="eastAsia"/>
                <w:sz w:val="28"/>
                <w:szCs w:val="28"/>
              </w:rPr>
            </w:pPr>
            <w:r>
              <w:rPr>
                <w:rFonts w:hint="eastAsia"/>
                <w:sz w:val="28"/>
                <w:szCs w:val="28"/>
              </w:rPr>
              <w:t>3、公司每年要组织两次应急演练，在短时间内要覆盖应急预案中的几种危险化学品的事故内容；</w:t>
            </w:r>
          </w:p>
          <w:p w14:paraId="36A2F75A">
            <w:pPr>
              <w:ind w:firstLine="560" w:firstLineChars="200"/>
              <w:rPr>
                <w:rFonts w:hint="eastAsia"/>
                <w:sz w:val="28"/>
                <w:szCs w:val="28"/>
              </w:rPr>
            </w:pPr>
            <w:r>
              <w:rPr>
                <w:rFonts w:hint="eastAsia"/>
                <w:sz w:val="28"/>
                <w:szCs w:val="28"/>
              </w:rPr>
              <w:t xml:space="preserve">4、公司要根据对演练中暴露的问题和对预案的可行性进行评估和分析。             </w:t>
            </w:r>
          </w:p>
          <w:p w14:paraId="456ECF3D">
            <w:pPr>
              <w:ind w:firstLine="440" w:firstLineChars="200"/>
              <w:rPr>
                <w:rFonts w:hint="eastAsia"/>
              </w:rPr>
            </w:pPr>
            <w:r>
              <w:rPr>
                <w:rFonts w:hint="eastAsia"/>
              </w:rPr>
              <w:t xml:space="preserve">                    </w:t>
            </w:r>
          </w:p>
          <w:p w14:paraId="2D8BE1B7">
            <w:pPr>
              <w:jc w:val="center"/>
              <w:rPr>
                <w:rFonts w:ascii="仿宋" w:hAnsi="仿宋" w:eastAsia="仿宋"/>
                <w:b/>
                <w:sz w:val="24"/>
                <w:szCs w:val="24"/>
              </w:rPr>
            </w:pPr>
          </w:p>
          <w:p w14:paraId="0399FFF4">
            <w:pPr>
              <w:widowControl w:val="0"/>
              <w:adjustRightInd/>
              <w:snapToGrid/>
              <w:spacing w:after="0"/>
              <w:ind w:firstLine="4760" w:firstLineChars="1700"/>
              <w:jc w:val="both"/>
              <w:rPr>
                <w:rFonts w:hint="eastAsia" w:ascii="Times New Roman"/>
                <w:bCs/>
                <w:sz w:val="28"/>
                <w:szCs w:val="28"/>
                <w:lang w:eastAsia="zh-CN"/>
              </w:rPr>
            </w:pPr>
            <w:r>
              <w:rPr>
                <w:rFonts w:hint="eastAsia" w:ascii="Times New Roman"/>
                <w:bCs/>
                <w:sz w:val="28"/>
                <w:szCs w:val="28"/>
                <w:lang w:eastAsia="zh-CN"/>
              </w:rPr>
              <w:t>编制单位：开化盛翔物流有限公司</w:t>
            </w:r>
          </w:p>
          <w:p w14:paraId="65E43EE4">
            <w:pPr>
              <w:widowControl w:val="0"/>
              <w:adjustRightInd/>
              <w:snapToGrid/>
              <w:spacing w:after="0"/>
              <w:ind w:firstLine="5040" w:firstLineChars="1800"/>
              <w:jc w:val="both"/>
              <w:rPr>
                <w:rFonts w:hint="default" w:ascii="Times New Roman"/>
                <w:bCs/>
                <w:szCs w:val="24"/>
                <w:lang w:val="en-US" w:eastAsia="zh-CN"/>
              </w:rPr>
            </w:pPr>
            <w:r>
              <w:rPr>
                <w:rFonts w:hint="eastAsia" w:ascii="Times New Roman"/>
                <w:bCs/>
                <w:sz w:val="28"/>
                <w:szCs w:val="28"/>
                <w:lang w:eastAsia="zh-CN"/>
              </w:rPr>
              <w:t>编制日期：</w:t>
            </w:r>
            <w:r>
              <w:rPr>
                <w:rFonts w:hint="eastAsia" w:ascii="Times New Roman"/>
                <w:bCs/>
                <w:sz w:val="28"/>
                <w:szCs w:val="28"/>
                <w:lang w:val="en-US" w:eastAsia="zh-CN"/>
              </w:rPr>
              <w:t>2021年12月1日</w:t>
            </w:r>
          </w:p>
        </w:tc>
      </w:tr>
      <w:tr w14:paraId="3DF418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60" w:hRule="atLeast"/>
        </w:trPr>
        <w:tc>
          <w:tcPr>
            <w:tcW w:w="9345" w:type="dxa"/>
          </w:tcPr>
          <w:p w14:paraId="6B047403">
            <w:pPr>
              <w:rPr>
                <w:rFonts w:ascii="Times New Roman" w:hAnsi="Times New Roman" w:eastAsia="黑体"/>
                <w:sz w:val="28"/>
                <w:szCs w:val="28"/>
              </w:rPr>
            </w:pPr>
            <w:r>
              <w:rPr>
                <w:rFonts w:hint="eastAsia" w:ascii="Times New Roman" w:eastAsia="黑体"/>
                <w:sz w:val="28"/>
                <w:szCs w:val="28"/>
              </w:rPr>
              <w:t>第三部分废物处理处置情况</w:t>
            </w:r>
          </w:p>
          <w:tbl>
            <w:tblPr>
              <w:tblStyle w:val="6"/>
              <w:tblW w:w="9345" w:type="dxa"/>
              <w:tblInd w:w="-41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45"/>
              <w:gridCol w:w="4200"/>
            </w:tblGrid>
            <w:tr w14:paraId="64C9EF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8" w:hRule="atLeast"/>
              </w:trPr>
              <w:tc>
                <w:tcPr>
                  <w:tcW w:w="9345" w:type="dxa"/>
                  <w:gridSpan w:val="2"/>
                  <w:vAlign w:val="center"/>
                </w:tcPr>
                <w:p w14:paraId="328029EA">
                  <w:pPr>
                    <w:rPr>
                      <w:rFonts w:ascii="Times New Roman" w:hAnsi="Times New Roman"/>
                      <w:b/>
                      <w:bCs/>
                    </w:rPr>
                  </w:pPr>
                  <w:r>
                    <w:rPr>
                      <w:rFonts w:hint="eastAsia" w:ascii="Times New Roman"/>
                      <w:b/>
                      <w:bCs/>
                    </w:rPr>
                    <w:t>表</w:t>
                  </w:r>
                  <w:r>
                    <w:rPr>
                      <w:rFonts w:ascii="Times New Roman" w:hAnsi="Times New Roman"/>
                      <w:b/>
                      <w:bCs/>
                    </w:rPr>
                    <w:t xml:space="preserve">1   </w:t>
                  </w:r>
                  <w:r>
                    <w:rPr>
                      <w:rFonts w:hint="eastAsia" w:ascii="Times New Roman"/>
                      <w:b/>
                      <w:bCs/>
                    </w:rPr>
                    <w:t>接受单位基本情况</w:t>
                  </w:r>
                </w:p>
              </w:tc>
            </w:tr>
            <w:tr w14:paraId="28A60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5" w:hRule="atLeast"/>
              </w:trPr>
              <w:tc>
                <w:tcPr>
                  <w:tcW w:w="9345" w:type="dxa"/>
                  <w:gridSpan w:val="2"/>
                  <w:vAlign w:val="center"/>
                </w:tcPr>
                <w:p w14:paraId="47D476AE">
                  <w:pPr>
                    <w:rPr>
                      <w:rFonts w:ascii="Times New Roman" w:hAnsi="Times New Roman"/>
                    </w:rPr>
                  </w:pPr>
                  <w:r>
                    <w:rPr>
                      <w:rFonts w:hint="eastAsia" w:ascii="Times New Roman"/>
                    </w:rPr>
                    <w:t>单位名称：浙江汇金</w:t>
                  </w:r>
                  <w:r>
                    <w:rPr>
                      <w:rFonts w:hint="eastAsia" w:ascii="Times New Roman"/>
                      <w:lang w:eastAsia="zh-CN"/>
                    </w:rPr>
                    <w:t>环保科技</w:t>
                  </w:r>
                  <w:r>
                    <w:rPr>
                      <w:rFonts w:hint="eastAsia" w:ascii="Times New Roman"/>
                    </w:rPr>
                    <w:t>有限公司</w:t>
                  </w:r>
                </w:p>
              </w:tc>
            </w:tr>
            <w:tr w14:paraId="6BEC81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68" w:hRule="atLeast"/>
              </w:trPr>
              <w:tc>
                <w:tcPr>
                  <w:tcW w:w="5145" w:type="dxa"/>
                  <w:vAlign w:val="center"/>
                </w:tcPr>
                <w:p w14:paraId="6B28B6D9">
                  <w:pPr>
                    <w:rPr>
                      <w:rFonts w:ascii="Times New Roman" w:hAnsi="Times New Roman"/>
                    </w:rPr>
                  </w:pPr>
                  <w:r>
                    <w:rPr>
                      <w:rFonts w:hint="eastAsia" w:ascii="Times New Roman"/>
                    </w:rPr>
                    <w:t>危废经营许可证编号：浙危废经第</w:t>
                  </w:r>
                  <w:r>
                    <w:rPr>
                      <w:rFonts w:hint="eastAsia" w:ascii="Times New Roman"/>
                      <w:lang w:val="en-US" w:eastAsia="zh-CN"/>
                    </w:rPr>
                    <w:t>3311000265</w:t>
                  </w:r>
                  <w:r>
                    <w:rPr>
                      <w:rFonts w:hint="eastAsia" w:ascii="Times New Roman"/>
                    </w:rPr>
                    <w:t>号</w:t>
                  </w:r>
                </w:p>
              </w:tc>
              <w:tc>
                <w:tcPr>
                  <w:tcW w:w="4200" w:type="dxa"/>
                  <w:vAlign w:val="center"/>
                </w:tcPr>
                <w:p w14:paraId="4F5A04C5">
                  <w:pPr>
                    <w:rPr>
                      <w:rFonts w:ascii="Times New Roman" w:hAnsi="Times New Roman"/>
                    </w:rPr>
                  </w:pPr>
                  <w:r>
                    <w:rPr>
                      <w:rFonts w:hint="eastAsia" w:ascii="Times New Roman"/>
                    </w:rPr>
                    <w:t>有效期：</w:t>
                  </w:r>
                  <w:r>
                    <w:rPr>
                      <w:rFonts w:ascii="Times New Roman"/>
                    </w:rPr>
                    <w:t>202</w:t>
                  </w:r>
                  <w:r>
                    <w:rPr>
                      <w:rFonts w:hint="eastAsia" w:ascii="Times New Roman"/>
                      <w:lang w:val="en-US" w:eastAsia="zh-CN"/>
                    </w:rPr>
                    <w:t>6</w:t>
                  </w:r>
                  <w:r>
                    <w:rPr>
                      <w:rFonts w:hint="eastAsia" w:ascii="Times New Roman"/>
                    </w:rPr>
                    <w:t>年</w:t>
                  </w:r>
                  <w:r>
                    <w:rPr>
                      <w:rFonts w:hint="eastAsia" w:ascii="Times New Roman"/>
                      <w:lang w:val="en-US" w:eastAsia="zh-CN"/>
                    </w:rPr>
                    <w:t>10</w:t>
                  </w:r>
                  <w:r>
                    <w:rPr>
                      <w:rFonts w:hint="eastAsia" w:ascii="Times New Roman"/>
                    </w:rPr>
                    <w:t>月</w:t>
                  </w:r>
                  <w:r>
                    <w:rPr>
                      <w:rFonts w:hint="eastAsia" w:ascii="Times New Roman"/>
                      <w:lang w:val="en-US" w:eastAsia="zh-CN"/>
                    </w:rPr>
                    <w:t>31</w:t>
                  </w:r>
                  <w:r>
                    <w:rPr>
                      <w:rFonts w:hint="eastAsia" w:ascii="Times New Roman"/>
                    </w:rPr>
                    <w:t>日</w:t>
                  </w:r>
                </w:p>
              </w:tc>
            </w:tr>
          </w:tbl>
          <w:p w14:paraId="363B2592">
            <w:pPr>
              <w:rPr>
                <w:rFonts w:ascii="Times New Roman"/>
              </w:rPr>
            </w:pPr>
            <w:r>
              <w:rPr>
                <w:rFonts w:hint="eastAsia" w:ascii="Times New Roman"/>
              </w:rPr>
              <w:t>经营核准内容（废物名称、类别、数量）：</w:t>
            </w:r>
          </w:p>
          <w:p w14:paraId="4EE8F181">
            <w:pPr>
              <w:rPr>
                <w:rFonts w:ascii="Times New Roman"/>
              </w:rPr>
            </w:pPr>
          </w:p>
          <w:p w14:paraId="7D864EA0">
            <w:pPr>
              <w:rPr>
                <w:rFonts w:ascii="Times New Roman"/>
              </w:rPr>
            </w:pPr>
            <w:r>
              <w:rPr>
                <w:rFonts w:hint="eastAsia" w:ascii="Times New Roman"/>
              </w:rPr>
              <w:t>收集﹑贮存﹑利用表面处理废物（HW17）、</w:t>
            </w:r>
            <w:r>
              <w:rPr>
                <w:rFonts w:hint="eastAsia" w:ascii="Times New Roman"/>
                <w:lang w:eastAsia="zh-CN"/>
              </w:rPr>
              <w:t>焚烧处置残渣（</w:t>
            </w:r>
            <w:r>
              <w:rPr>
                <w:rFonts w:hint="eastAsia" w:ascii="Times New Roman"/>
                <w:lang w:val="en-US" w:eastAsia="zh-CN"/>
              </w:rPr>
              <w:t>HW18)、</w:t>
            </w:r>
            <w:r>
              <w:rPr>
                <w:rFonts w:hint="eastAsia" w:ascii="Times New Roman"/>
              </w:rPr>
              <w:t>含铜污泥(HW22)</w:t>
            </w:r>
            <w:r>
              <w:rPr>
                <w:rFonts w:hint="eastAsia" w:ascii="Times New Roman"/>
                <w:lang w:val="en-US" w:eastAsia="zh-CN"/>
              </w:rPr>
              <w:t>、含镍废物（HW46)</w:t>
            </w:r>
            <w:r>
              <w:rPr>
                <w:rFonts w:hint="eastAsia" w:ascii="Times New Roman"/>
              </w:rPr>
              <w:t>)、有色金属冶炼废物(HW48)</w:t>
            </w:r>
            <w:r>
              <w:rPr>
                <w:rFonts w:hint="eastAsia" w:ascii="Times New Roman"/>
                <w:lang w:val="en-US" w:eastAsia="zh-CN"/>
              </w:rPr>
              <w:t>、</w:t>
            </w:r>
            <w:r>
              <w:rPr>
                <w:rFonts w:hint="eastAsia" w:ascii="Times New Roman"/>
                <w:lang w:eastAsia="zh-CN"/>
              </w:rPr>
              <w:t>废催化剂</w:t>
            </w:r>
            <w:r>
              <w:rPr>
                <w:rFonts w:hint="eastAsia" w:ascii="Times New Roman"/>
              </w:rPr>
              <w:t>(HW</w:t>
            </w:r>
            <w:r>
              <w:rPr>
                <w:rFonts w:hint="eastAsia" w:ascii="Times New Roman"/>
                <w:lang w:val="en-US" w:eastAsia="zh-CN"/>
              </w:rPr>
              <w:t>50</w:t>
            </w:r>
            <w:r>
              <w:rPr>
                <w:rFonts w:hint="eastAsia" w:ascii="Times New Roman"/>
              </w:rPr>
              <w:t>)共</w:t>
            </w:r>
            <w:r>
              <w:rPr>
                <w:rFonts w:hint="eastAsia" w:ascii="Times New Roman"/>
                <w:lang w:val="en-US" w:eastAsia="zh-CN"/>
              </w:rPr>
              <w:t>5</w:t>
            </w:r>
            <w:r>
              <w:rPr>
                <w:rFonts w:hint="eastAsia" w:ascii="Times New Roman"/>
              </w:rPr>
              <w:t>万吨。</w:t>
            </w:r>
          </w:p>
          <w:p w14:paraId="2A8E27A4">
            <w:pPr>
              <w:widowControl w:val="0"/>
              <w:adjustRightInd/>
              <w:snapToGrid/>
              <w:spacing w:after="0"/>
              <w:jc w:val="both"/>
              <w:rPr>
                <w:rFonts w:ascii="Times New Roman"/>
                <w:bCs/>
                <w:szCs w:val="24"/>
              </w:rPr>
            </w:pPr>
          </w:p>
        </w:tc>
      </w:tr>
    </w:tbl>
    <w:p w14:paraId="1C2F6696">
      <w:pPr>
        <w:rPr>
          <w:rFonts w:ascii="Times New Roman" w:eastAsia="黑体"/>
          <w:sz w:val="28"/>
          <w:szCs w:val="28"/>
        </w:rPr>
      </w:pPr>
    </w:p>
    <w:p w14:paraId="077D0B6D">
      <w:pPr>
        <w:rPr>
          <w:rFonts w:ascii="Times New Roman" w:eastAsia="黑体"/>
          <w:sz w:val="28"/>
          <w:szCs w:val="28"/>
        </w:rPr>
      </w:pPr>
    </w:p>
    <w:tbl>
      <w:tblPr>
        <w:tblStyle w:val="6"/>
        <w:tblW w:w="9363" w:type="dxa"/>
        <w:tblInd w:w="-41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63"/>
      </w:tblGrid>
      <w:tr w14:paraId="4F59BB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6" w:hRule="atLeast"/>
        </w:trPr>
        <w:tc>
          <w:tcPr>
            <w:tcW w:w="9363" w:type="dxa"/>
          </w:tcPr>
          <w:p w14:paraId="305C61B4">
            <w:pPr>
              <w:spacing w:line="300" w:lineRule="exact"/>
              <w:rPr>
                <w:rFonts w:hint="eastAsia" w:ascii="Times New Roman"/>
                <w:b/>
                <w:bCs/>
              </w:rPr>
            </w:pPr>
          </w:p>
          <w:p w14:paraId="2A586D0C">
            <w:pPr>
              <w:spacing w:line="300" w:lineRule="exact"/>
              <w:rPr>
                <w:rFonts w:hint="eastAsia" w:ascii="Times New Roman"/>
                <w:b/>
                <w:bCs/>
              </w:rPr>
            </w:pPr>
          </w:p>
          <w:p w14:paraId="701FBDC6">
            <w:pPr>
              <w:spacing w:line="300" w:lineRule="exact"/>
              <w:rPr>
                <w:rFonts w:ascii="Times New Roman"/>
                <w:szCs w:val="24"/>
              </w:rPr>
            </w:pPr>
            <w:r>
              <w:rPr>
                <w:rFonts w:hint="eastAsia" w:ascii="Times New Roman"/>
                <w:b/>
                <w:bCs/>
              </w:rPr>
              <w:t>表</w:t>
            </w:r>
            <w:r>
              <w:rPr>
                <w:rFonts w:ascii="Times New Roman" w:hAnsi="Times New Roman"/>
                <w:b/>
                <w:bCs/>
              </w:rPr>
              <w:t xml:space="preserve">2   </w:t>
            </w:r>
            <w:r>
              <w:rPr>
                <w:rFonts w:hint="eastAsia" w:ascii="Times New Roman"/>
                <w:b/>
                <w:bCs/>
              </w:rPr>
              <w:t>与接收废物相关的处理处置情况</w:t>
            </w:r>
          </w:p>
          <w:p w14:paraId="681369C8">
            <w:pPr>
              <w:spacing w:line="300" w:lineRule="exact"/>
              <w:rPr>
                <w:rFonts w:ascii="Times New Roman"/>
                <w:szCs w:val="24"/>
              </w:rPr>
            </w:pPr>
            <w:r>
              <w:rPr>
                <w:rFonts w:hint="eastAsia" w:ascii="Times New Roman"/>
                <w:szCs w:val="24"/>
              </w:rPr>
              <w:t>文字描述及工艺流程图</w:t>
            </w:r>
          </w:p>
          <w:p w14:paraId="63319847">
            <w:pPr>
              <w:rPr>
                <w:szCs w:val="21"/>
              </w:rPr>
            </w:pPr>
            <w:r>
              <w:rPr>
                <w:rFonts w:hint="eastAsia"/>
                <w:szCs w:val="21"/>
              </w:rPr>
              <w:t>处理处置工艺技术（文字说明）：</w:t>
            </w:r>
          </w:p>
          <w:p w14:paraId="63C90659">
            <w:pPr>
              <w:ind w:firstLine="420" w:firstLineChars="200"/>
              <w:rPr>
                <w:rFonts w:ascii="Calibri" w:hAnsi="Calibri" w:eastAsia="宋体"/>
                <w:kern w:val="2"/>
                <w:sz w:val="21"/>
                <w:szCs w:val="24"/>
              </w:rPr>
            </w:pPr>
            <w:r>
              <w:rPr>
                <w:rFonts w:hint="eastAsia"/>
                <w:sz w:val="21"/>
              </w:rPr>
              <w:t>将含金属危险废物于辅助材料按照一定的配比混合，投入烧结窑烧结，将烧结后的物料投入环保熔炼炉熔炼，产出的金属合金锭用于后续的深加工，炉渣作为一般固废进行统一处理，烟气进入除尘系统后通入脱硫系统监测达标后排入空中，除尘系统产生的烟灰返回到上游进行循环利用。</w:t>
            </w:r>
          </w:p>
          <w:p w14:paraId="45BFB030">
            <w:pPr>
              <w:spacing w:line="300" w:lineRule="exact"/>
              <w:rPr>
                <w:rFonts w:ascii="Times New Roman" w:hAnsi="Times New Roman"/>
                <w:szCs w:val="24"/>
              </w:rPr>
            </w:pPr>
          </w:p>
          <w:p w14:paraId="5494C723">
            <w:pPr>
              <w:rPr>
                <w:rFonts w:ascii="Times New Roman" w:hAnsi="Times New Roman"/>
                <w:b/>
                <w:bCs/>
              </w:rPr>
            </w:pPr>
            <w:r>
              <w:rPr>
                <w:rFonts w:ascii="Times New Roman" w:hAnsi="Times New Roman"/>
                <w:b/>
              </w:rPr>
              <w:drawing>
                <wp:inline distT="0" distB="0" distL="114300" distR="114300">
                  <wp:extent cx="4857750" cy="3781425"/>
                  <wp:effectExtent l="0" t="0" r="0" b="9525"/>
                  <wp:docPr id="2" name="图片 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descr="11"/>
                          <pic:cNvPicPr>
                            <a:picLocks noChangeAspect="1"/>
                          </pic:cNvPicPr>
                        </pic:nvPicPr>
                        <pic:blipFill>
                          <a:blip r:embed="rId8"/>
                          <a:stretch>
                            <a:fillRect/>
                          </a:stretch>
                        </pic:blipFill>
                        <pic:spPr>
                          <a:xfrm>
                            <a:off x="0" y="0"/>
                            <a:ext cx="4857750" cy="3781425"/>
                          </a:xfrm>
                          <a:prstGeom prst="rect">
                            <a:avLst/>
                          </a:prstGeom>
                          <a:noFill/>
                          <a:ln>
                            <a:noFill/>
                          </a:ln>
                        </pic:spPr>
                      </pic:pic>
                    </a:graphicData>
                  </a:graphic>
                </wp:inline>
              </w:drawing>
            </w:r>
          </w:p>
        </w:tc>
      </w:tr>
    </w:tbl>
    <w:p w14:paraId="70A3E063">
      <w:pPr>
        <w:rPr>
          <w:rFonts w:ascii="Times New Roman" w:hAnsi="Times New Roman"/>
        </w:rPr>
        <w:sectPr>
          <w:pgSz w:w="11906" w:h="16838"/>
          <w:pgMar w:top="1440" w:right="1797" w:bottom="1440" w:left="1797" w:header="851" w:footer="992" w:gutter="0"/>
          <w:cols w:space="425" w:num="1"/>
          <w:docGrid w:type="lines" w:linePitch="312" w:charSpace="0"/>
        </w:sectPr>
      </w:pPr>
    </w:p>
    <w:p w14:paraId="3F414EE7">
      <w:pPr>
        <w:rPr>
          <w:rFonts w:ascii="Times New Roman" w:hAnsi="Times New Roman" w:eastAsia="黑体"/>
          <w:sz w:val="28"/>
          <w:szCs w:val="28"/>
        </w:rPr>
      </w:pPr>
      <w:r>
        <w:rPr>
          <w:rFonts w:hint="eastAsia" w:ascii="Times New Roman" w:eastAsia="黑体"/>
          <w:sz w:val="28"/>
          <w:szCs w:val="28"/>
        </w:rPr>
        <w:t>第四部分上年度固体（危险）废物跨省转移情况</w:t>
      </w:r>
    </w:p>
    <w:tbl>
      <w:tblPr>
        <w:tblStyle w:val="6"/>
        <w:tblW w:w="15168" w:type="dxa"/>
        <w:tblInd w:w="-74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44"/>
        <w:gridCol w:w="1460"/>
        <w:gridCol w:w="1460"/>
        <w:gridCol w:w="1608"/>
        <w:gridCol w:w="1312"/>
        <w:gridCol w:w="1460"/>
        <w:gridCol w:w="1460"/>
        <w:gridCol w:w="1460"/>
        <w:gridCol w:w="1460"/>
        <w:gridCol w:w="1744"/>
      </w:tblGrid>
      <w:tr w14:paraId="110009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1744" w:type="dxa"/>
            <w:vAlign w:val="center"/>
          </w:tcPr>
          <w:p w14:paraId="5BCC3C4F">
            <w:pPr>
              <w:jc w:val="center"/>
              <w:rPr>
                <w:rFonts w:ascii="Times New Roman" w:hAnsi="Times New Roman"/>
              </w:rPr>
            </w:pPr>
            <w:r>
              <w:rPr>
                <w:rFonts w:hint="eastAsia" w:ascii="Times New Roman" w:hAnsi="宋体"/>
              </w:rPr>
              <w:t>出厂日期</w:t>
            </w:r>
          </w:p>
        </w:tc>
        <w:tc>
          <w:tcPr>
            <w:tcW w:w="1460" w:type="dxa"/>
            <w:vAlign w:val="center"/>
          </w:tcPr>
          <w:p w14:paraId="50570A8D">
            <w:pPr>
              <w:jc w:val="center"/>
              <w:rPr>
                <w:rFonts w:ascii="Times New Roman" w:hAnsi="Times New Roman"/>
              </w:rPr>
            </w:pPr>
            <w:r>
              <w:rPr>
                <w:rFonts w:hint="eastAsia" w:ascii="Times New Roman" w:hAnsi="宋体"/>
              </w:rPr>
              <w:t>转移批次</w:t>
            </w:r>
          </w:p>
        </w:tc>
        <w:tc>
          <w:tcPr>
            <w:tcW w:w="1460" w:type="dxa"/>
            <w:vAlign w:val="center"/>
          </w:tcPr>
          <w:p w14:paraId="430F3932">
            <w:pPr>
              <w:jc w:val="center"/>
              <w:rPr>
                <w:rFonts w:ascii="Times New Roman" w:hAnsi="Times New Roman"/>
              </w:rPr>
            </w:pPr>
            <w:r>
              <w:rPr>
                <w:rFonts w:hint="eastAsia" w:ascii="Times New Roman" w:hAnsi="宋体"/>
              </w:rPr>
              <w:t>联单编号</w:t>
            </w:r>
          </w:p>
        </w:tc>
        <w:tc>
          <w:tcPr>
            <w:tcW w:w="1608" w:type="dxa"/>
            <w:vAlign w:val="center"/>
          </w:tcPr>
          <w:p w14:paraId="4CEDFA23">
            <w:pPr>
              <w:jc w:val="center"/>
              <w:rPr>
                <w:rFonts w:ascii="Times New Roman" w:hAnsi="Times New Roman"/>
              </w:rPr>
            </w:pPr>
            <w:r>
              <w:rPr>
                <w:rFonts w:hint="eastAsia" w:ascii="Times New Roman" w:hAnsi="宋体"/>
              </w:rPr>
              <w:t>废物名称</w:t>
            </w:r>
          </w:p>
        </w:tc>
        <w:tc>
          <w:tcPr>
            <w:tcW w:w="1312" w:type="dxa"/>
            <w:vAlign w:val="center"/>
          </w:tcPr>
          <w:p w14:paraId="7D0D774A">
            <w:pPr>
              <w:jc w:val="center"/>
              <w:rPr>
                <w:rFonts w:ascii="Times New Roman" w:hAnsi="Times New Roman"/>
              </w:rPr>
            </w:pPr>
            <w:r>
              <w:rPr>
                <w:rFonts w:hint="eastAsia" w:ascii="Times New Roman" w:hAnsi="宋体"/>
              </w:rPr>
              <w:t>类别</w:t>
            </w:r>
            <w:r>
              <w:rPr>
                <w:rFonts w:ascii="Times New Roman" w:hAnsi="Times New Roman"/>
              </w:rPr>
              <w:t>/</w:t>
            </w:r>
            <w:r>
              <w:rPr>
                <w:rFonts w:hint="eastAsia" w:ascii="Times New Roman" w:hAnsi="宋体"/>
              </w:rPr>
              <w:t>代码</w:t>
            </w:r>
          </w:p>
        </w:tc>
        <w:tc>
          <w:tcPr>
            <w:tcW w:w="1460" w:type="dxa"/>
            <w:vAlign w:val="center"/>
          </w:tcPr>
          <w:p w14:paraId="47A1A52E">
            <w:pPr>
              <w:jc w:val="center"/>
              <w:rPr>
                <w:rFonts w:ascii="Times New Roman" w:hAnsi="Times New Roman"/>
              </w:rPr>
            </w:pPr>
            <w:r>
              <w:rPr>
                <w:rFonts w:hint="eastAsia" w:ascii="Times New Roman" w:hAnsi="宋体"/>
              </w:rPr>
              <w:t>转移量（吨）</w:t>
            </w:r>
          </w:p>
        </w:tc>
        <w:tc>
          <w:tcPr>
            <w:tcW w:w="1460" w:type="dxa"/>
            <w:vAlign w:val="center"/>
          </w:tcPr>
          <w:p w14:paraId="4A22C40E">
            <w:pPr>
              <w:jc w:val="center"/>
              <w:rPr>
                <w:rFonts w:ascii="Times New Roman" w:hAnsi="Times New Roman"/>
              </w:rPr>
            </w:pPr>
            <w:r>
              <w:rPr>
                <w:rFonts w:hint="eastAsia" w:ascii="Times New Roman"/>
              </w:rPr>
              <w:t>运输单位</w:t>
            </w:r>
          </w:p>
        </w:tc>
        <w:tc>
          <w:tcPr>
            <w:tcW w:w="1460" w:type="dxa"/>
            <w:vAlign w:val="center"/>
          </w:tcPr>
          <w:p w14:paraId="3C281597">
            <w:pPr>
              <w:jc w:val="center"/>
              <w:rPr>
                <w:rFonts w:ascii="Times New Roman" w:hAnsi="Times New Roman"/>
              </w:rPr>
            </w:pPr>
            <w:r>
              <w:rPr>
                <w:rFonts w:hint="eastAsia" w:ascii="Times New Roman"/>
              </w:rPr>
              <w:t>车号</w:t>
            </w:r>
          </w:p>
        </w:tc>
        <w:tc>
          <w:tcPr>
            <w:tcW w:w="1460" w:type="dxa"/>
            <w:vAlign w:val="center"/>
          </w:tcPr>
          <w:p w14:paraId="0DF4349D">
            <w:pPr>
              <w:jc w:val="center"/>
              <w:rPr>
                <w:rFonts w:ascii="Times New Roman" w:hAnsi="Times New Roman"/>
              </w:rPr>
            </w:pPr>
            <w:r>
              <w:rPr>
                <w:rFonts w:hint="eastAsia" w:ascii="Times New Roman" w:hAnsi="宋体"/>
              </w:rPr>
              <w:t>接收单位</w:t>
            </w:r>
          </w:p>
        </w:tc>
        <w:tc>
          <w:tcPr>
            <w:tcW w:w="1744" w:type="dxa"/>
            <w:vAlign w:val="center"/>
          </w:tcPr>
          <w:p w14:paraId="524596D4">
            <w:pPr>
              <w:jc w:val="center"/>
              <w:rPr>
                <w:rFonts w:ascii="Times New Roman" w:hAnsi="Times New Roman"/>
              </w:rPr>
            </w:pPr>
            <w:r>
              <w:rPr>
                <w:rFonts w:hint="eastAsia" w:ascii="Times New Roman" w:hAnsi="宋体"/>
              </w:rPr>
              <w:t>接收日期</w:t>
            </w:r>
          </w:p>
        </w:tc>
      </w:tr>
      <w:tr w14:paraId="2A8B20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1744" w:type="dxa"/>
          </w:tcPr>
          <w:p w14:paraId="0A266E4E">
            <w:pPr>
              <w:rPr>
                <w:rFonts w:hint="default" w:ascii="Times New Roman" w:hAnsi="Times New Roman"/>
                <w:lang w:val="en-US" w:eastAsia="zh-CN"/>
              </w:rPr>
            </w:pPr>
            <w:r>
              <w:rPr>
                <w:rFonts w:hint="eastAsia" w:ascii="Times New Roman" w:hAnsi="Times New Roman"/>
                <w:lang w:val="en-US" w:eastAsia="zh-CN"/>
              </w:rPr>
              <w:t>2022.5.5</w:t>
            </w:r>
          </w:p>
        </w:tc>
        <w:tc>
          <w:tcPr>
            <w:tcW w:w="1460" w:type="dxa"/>
          </w:tcPr>
          <w:p w14:paraId="06E8F969">
            <w:pPr>
              <w:rPr>
                <w:rFonts w:hint="default" w:ascii="Times New Roman" w:hAnsi="Times New Roman" w:eastAsia="微软雅黑"/>
                <w:lang w:val="en-US" w:eastAsia="zh-CN"/>
              </w:rPr>
            </w:pPr>
            <w:r>
              <w:rPr>
                <w:rFonts w:hint="eastAsia" w:ascii="Times New Roman" w:hAnsi="Times New Roman"/>
                <w:lang w:val="en-US" w:eastAsia="zh-CN"/>
              </w:rPr>
              <w:t>1</w:t>
            </w:r>
          </w:p>
        </w:tc>
        <w:tc>
          <w:tcPr>
            <w:tcW w:w="1460" w:type="dxa"/>
          </w:tcPr>
          <w:p w14:paraId="03090FA3">
            <w:pPr>
              <w:rPr>
                <w:rFonts w:hint="default" w:ascii="Times New Roman" w:hAnsi="Times New Roman" w:eastAsia="微软雅黑"/>
                <w:lang w:val="en-US" w:eastAsia="zh-CN"/>
              </w:rPr>
            </w:pPr>
            <w:r>
              <w:rPr>
                <w:rFonts w:hint="eastAsia" w:ascii="Times New Roman" w:hAnsi="Times New Roman"/>
                <w:lang w:val="en-US" w:eastAsia="zh-CN"/>
              </w:rPr>
              <w:t>20223204013507</w:t>
            </w:r>
          </w:p>
        </w:tc>
        <w:tc>
          <w:tcPr>
            <w:tcW w:w="1608" w:type="dxa"/>
          </w:tcPr>
          <w:p w14:paraId="2D90EC76">
            <w:pPr>
              <w:rPr>
                <w:rFonts w:hint="eastAsia" w:ascii="Times New Roman" w:hAnsi="Times New Roman" w:eastAsia="微软雅黑"/>
                <w:lang w:val="en-US" w:eastAsia="zh-CN"/>
              </w:rPr>
            </w:pPr>
            <w:r>
              <w:rPr>
                <w:rFonts w:hint="eastAsia" w:ascii="Times New Roman" w:hAnsi="Times New Roman"/>
                <w:lang w:val="en-US" w:eastAsia="zh-CN"/>
              </w:rPr>
              <w:t>一般废水污泥</w:t>
            </w:r>
          </w:p>
        </w:tc>
        <w:tc>
          <w:tcPr>
            <w:tcW w:w="1312" w:type="dxa"/>
          </w:tcPr>
          <w:p w14:paraId="622DD5A8">
            <w:pPr>
              <w:rPr>
                <w:rFonts w:hint="default" w:ascii="Times New Roman" w:hAnsi="Times New Roman" w:eastAsia="微软雅黑"/>
                <w:lang w:val="en-US" w:eastAsia="zh-CN"/>
              </w:rPr>
            </w:pPr>
            <w:r>
              <w:rPr>
                <w:rFonts w:hint="eastAsia" w:ascii="Times New Roman" w:hAnsi="Times New Roman"/>
                <w:lang w:val="en-US" w:eastAsia="zh-CN"/>
              </w:rPr>
              <w:t>336-064-17</w:t>
            </w:r>
          </w:p>
        </w:tc>
        <w:tc>
          <w:tcPr>
            <w:tcW w:w="1460" w:type="dxa"/>
          </w:tcPr>
          <w:p w14:paraId="6CCF78E2">
            <w:pPr>
              <w:rPr>
                <w:rFonts w:hint="default" w:ascii="Times New Roman" w:hAnsi="Times New Roman" w:eastAsia="微软雅黑"/>
                <w:lang w:val="en-US" w:eastAsia="zh-CN"/>
              </w:rPr>
            </w:pPr>
            <w:r>
              <w:rPr>
                <w:rFonts w:hint="eastAsia" w:ascii="Times New Roman" w:hAnsi="Times New Roman"/>
                <w:lang w:val="en-US" w:eastAsia="zh-CN"/>
              </w:rPr>
              <w:t>31.43</w:t>
            </w:r>
          </w:p>
        </w:tc>
        <w:tc>
          <w:tcPr>
            <w:tcW w:w="1460" w:type="dxa"/>
          </w:tcPr>
          <w:p w14:paraId="580CA491">
            <w:pPr>
              <w:rPr>
                <w:rFonts w:hint="eastAsia" w:ascii="Times New Roman" w:hAnsi="Times New Roman" w:eastAsia="微软雅黑"/>
                <w:lang w:eastAsia="zh-CN"/>
              </w:rPr>
            </w:pPr>
            <w:r>
              <w:rPr>
                <w:rFonts w:hint="eastAsia" w:ascii="Times New Roman" w:hAnsi="Times New Roman"/>
                <w:lang w:eastAsia="zh-CN"/>
              </w:rPr>
              <w:t>开化盛翔物流有限公司</w:t>
            </w:r>
          </w:p>
        </w:tc>
        <w:tc>
          <w:tcPr>
            <w:tcW w:w="1460" w:type="dxa"/>
          </w:tcPr>
          <w:p w14:paraId="63C11FFA">
            <w:pPr>
              <w:rPr>
                <w:rFonts w:hint="default" w:ascii="Times New Roman" w:hAnsi="Times New Roman" w:eastAsia="微软雅黑"/>
                <w:lang w:val="en-US" w:eastAsia="zh-CN"/>
              </w:rPr>
            </w:pPr>
            <w:r>
              <w:rPr>
                <w:rFonts w:hint="eastAsia" w:ascii="Times New Roman" w:hAnsi="Times New Roman"/>
                <w:lang w:val="en-US" w:eastAsia="zh-CN"/>
              </w:rPr>
              <w:t>浙H27290</w:t>
            </w:r>
          </w:p>
        </w:tc>
        <w:tc>
          <w:tcPr>
            <w:tcW w:w="1460" w:type="dxa"/>
          </w:tcPr>
          <w:p w14:paraId="5B071C22">
            <w:pPr>
              <w:rPr>
                <w:rFonts w:hint="default" w:ascii="Times New Roman" w:hAnsi="Times New Roman" w:eastAsia="微软雅黑"/>
                <w:lang w:val="en-US" w:eastAsia="zh-CN"/>
              </w:rPr>
            </w:pPr>
            <w:r>
              <w:rPr>
                <w:rFonts w:hint="eastAsia" w:ascii="Times New Roman" w:hAnsi="Times New Roman"/>
                <w:lang w:val="en-US" w:eastAsia="zh-CN"/>
              </w:rPr>
              <w:t>浙江汇金环保科技有限公司</w:t>
            </w:r>
          </w:p>
        </w:tc>
        <w:tc>
          <w:tcPr>
            <w:tcW w:w="1744" w:type="dxa"/>
          </w:tcPr>
          <w:p w14:paraId="363CF1F7">
            <w:pPr>
              <w:rPr>
                <w:rFonts w:hint="default" w:ascii="Times New Roman" w:hAnsi="Times New Roman" w:eastAsia="微软雅黑"/>
                <w:lang w:val="en-US" w:eastAsia="zh-CN"/>
              </w:rPr>
            </w:pPr>
            <w:r>
              <w:rPr>
                <w:rFonts w:hint="eastAsia" w:ascii="Times New Roman" w:hAnsi="Times New Roman"/>
                <w:lang w:val="en-US" w:eastAsia="zh-CN"/>
              </w:rPr>
              <w:t>2022.5.6</w:t>
            </w:r>
          </w:p>
        </w:tc>
      </w:tr>
      <w:tr w14:paraId="6374F5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1744" w:type="dxa"/>
          </w:tcPr>
          <w:p w14:paraId="3650A82D">
            <w:pPr>
              <w:rPr>
                <w:rFonts w:hint="default" w:ascii="Times New Roman" w:hAnsi="Times New Roman" w:eastAsia="微软雅黑"/>
                <w:lang w:val="en-US" w:eastAsia="zh-CN"/>
              </w:rPr>
            </w:pPr>
            <w:r>
              <w:rPr>
                <w:rFonts w:hint="eastAsia" w:ascii="Times New Roman" w:hAnsi="Times New Roman"/>
                <w:lang w:val="en-US" w:eastAsia="zh-CN"/>
              </w:rPr>
              <w:t>2022.6.15</w:t>
            </w:r>
          </w:p>
        </w:tc>
        <w:tc>
          <w:tcPr>
            <w:tcW w:w="1460" w:type="dxa"/>
          </w:tcPr>
          <w:p w14:paraId="4A51BC3E">
            <w:pPr>
              <w:rPr>
                <w:rFonts w:hint="eastAsia" w:ascii="Times New Roman" w:hAnsi="Times New Roman" w:eastAsia="微软雅黑"/>
                <w:lang w:val="en-US" w:eastAsia="zh-CN"/>
              </w:rPr>
            </w:pPr>
            <w:r>
              <w:rPr>
                <w:rFonts w:hint="eastAsia" w:ascii="Times New Roman" w:hAnsi="Times New Roman"/>
                <w:lang w:val="en-US" w:eastAsia="zh-CN"/>
              </w:rPr>
              <w:t>2</w:t>
            </w:r>
          </w:p>
        </w:tc>
        <w:tc>
          <w:tcPr>
            <w:tcW w:w="1460" w:type="dxa"/>
          </w:tcPr>
          <w:p w14:paraId="4F3E96AE">
            <w:pPr>
              <w:rPr>
                <w:rFonts w:hint="default" w:ascii="Times New Roman" w:hAnsi="Times New Roman"/>
                <w:lang w:val="en-US"/>
              </w:rPr>
            </w:pPr>
            <w:r>
              <w:rPr>
                <w:rFonts w:hint="eastAsia" w:ascii="Times New Roman" w:hAnsi="Times New Roman"/>
                <w:lang w:val="en-US" w:eastAsia="zh-CN"/>
              </w:rPr>
              <w:t>20223204020878</w:t>
            </w:r>
          </w:p>
        </w:tc>
        <w:tc>
          <w:tcPr>
            <w:tcW w:w="1608" w:type="dxa"/>
          </w:tcPr>
          <w:p w14:paraId="6E19DA2F">
            <w:pPr>
              <w:rPr>
                <w:rFonts w:ascii="Times New Roman" w:hAnsi="Times New Roman"/>
              </w:rPr>
            </w:pPr>
            <w:r>
              <w:rPr>
                <w:rFonts w:hint="eastAsia" w:ascii="Times New Roman" w:hAnsi="Times New Roman"/>
                <w:lang w:val="en-US" w:eastAsia="zh-CN"/>
              </w:rPr>
              <w:t>一般废水污泥</w:t>
            </w:r>
          </w:p>
        </w:tc>
        <w:tc>
          <w:tcPr>
            <w:tcW w:w="1312" w:type="dxa"/>
          </w:tcPr>
          <w:p w14:paraId="3ECDF43C">
            <w:pPr>
              <w:rPr>
                <w:rFonts w:ascii="Times New Roman" w:hAnsi="Times New Roman"/>
              </w:rPr>
            </w:pPr>
            <w:r>
              <w:rPr>
                <w:rFonts w:hint="eastAsia" w:ascii="Times New Roman" w:hAnsi="Times New Roman"/>
                <w:lang w:val="en-US" w:eastAsia="zh-CN"/>
              </w:rPr>
              <w:t>336-064-17</w:t>
            </w:r>
          </w:p>
        </w:tc>
        <w:tc>
          <w:tcPr>
            <w:tcW w:w="1460" w:type="dxa"/>
          </w:tcPr>
          <w:p w14:paraId="680D51F8">
            <w:pPr>
              <w:rPr>
                <w:rFonts w:hint="default" w:ascii="Times New Roman" w:hAnsi="Times New Roman" w:eastAsia="微软雅黑"/>
                <w:lang w:val="en-US" w:eastAsia="zh-CN"/>
              </w:rPr>
            </w:pPr>
            <w:r>
              <w:rPr>
                <w:rFonts w:hint="eastAsia" w:ascii="Times New Roman" w:hAnsi="Times New Roman"/>
                <w:lang w:val="en-US" w:eastAsia="zh-CN"/>
              </w:rPr>
              <w:t>30.94</w:t>
            </w:r>
          </w:p>
        </w:tc>
        <w:tc>
          <w:tcPr>
            <w:tcW w:w="1460" w:type="dxa"/>
          </w:tcPr>
          <w:p w14:paraId="112A9B6E">
            <w:pPr>
              <w:rPr>
                <w:rFonts w:ascii="Times New Roman" w:hAnsi="Times New Roman"/>
              </w:rPr>
            </w:pPr>
            <w:r>
              <w:rPr>
                <w:rFonts w:hint="eastAsia" w:ascii="Times New Roman" w:hAnsi="Times New Roman"/>
                <w:lang w:eastAsia="zh-CN"/>
              </w:rPr>
              <w:t>开化盛翔物流有限公司</w:t>
            </w:r>
          </w:p>
        </w:tc>
        <w:tc>
          <w:tcPr>
            <w:tcW w:w="1460" w:type="dxa"/>
          </w:tcPr>
          <w:p w14:paraId="4A808A93">
            <w:pPr>
              <w:rPr>
                <w:rFonts w:hint="default" w:ascii="Times New Roman" w:hAnsi="Times New Roman" w:eastAsia="微软雅黑"/>
                <w:lang w:val="en-US" w:eastAsia="zh-CN"/>
              </w:rPr>
            </w:pPr>
            <w:r>
              <w:rPr>
                <w:rFonts w:hint="eastAsia" w:ascii="Times New Roman" w:hAnsi="Times New Roman"/>
                <w:lang w:eastAsia="zh-CN"/>
              </w:rPr>
              <w:t>浙</w:t>
            </w:r>
            <w:r>
              <w:rPr>
                <w:rFonts w:hint="eastAsia" w:ascii="Times New Roman" w:hAnsi="Times New Roman"/>
                <w:lang w:val="en-US" w:eastAsia="zh-CN"/>
              </w:rPr>
              <w:t>H12909</w:t>
            </w:r>
          </w:p>
        </w:tc>
        <w:tc>
          <w:tcPr>
            <w:tcW w:w="1460" w:type="dxa"/>
          </w:tcPr>
          <w:p w14:paraId="24391CA1">
            <w:pPr>
              <w:rPr>
                <w:rFonts w:hint="default" w:ascii="Times New Roman" w:hAnsi="Times New Roman" w:eastAsia="微软雅黑"/>
                <w:lang w:val="en-US" w:eastAsia="zh-CN"/>
              </w:rPr>
            </w:pPr>
            <w:r>
              <w:rPr>
                <w:rFonts w:hint="eastAsia" w:ascii="Times New Roman" w:hAnsi="Times New Roman"/>
                <w:lang w:val="en-US" w:eastAsia="zh-CN"/>
              </w:rPr>
              <w:t>浙江汇金环保科技有限公司</w:t>
            </w:r>
          </w:p>
        </w:tc>
        <w:tc>
          <w:tcPr>
            <w:tcW w:w="1744" w:type="dxa"/>
          </w:tcPr>
          <w:p w14:paraId="0BAEE8C2">
            <w:pPr>
              <w:rPr>
                <w:rFonts w:ascii="Times New Roman" w:hAnsi="Times New Roman"/>
              </w:rPr>
            </w:pPr>
            <w:r>
              <w:rPr>
                <w:rFonts w:hint="eastAsia" w:ascii="Times New Roman" w:hAnsi="Times New Roman"/>
                <w:lang w:val="en-US" w:eastAsia="zh-CN"/>
              </w:rPr>
              <w:t>2022.6.16</w:t>
            </w:r>
          </w:p>
        </w:tc>
      </w:tr>
      <w:tr w14:paraId="362FA1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1744" w:type="dxa"/>
          </w:tcPr>
          <w:p w14:paraId="227C4E70">
            <w:pPr>
              <w:rPr>
                <w:rFonts w:hint="default" w:ascii="Times New Roman" w:hAnsi="Times New Roman" w:eastAsia="微软雅黑"/>
                <w:lang w:val="en-US" w:eastAsia="zh-CN"/>
              </w:rPr>
            </w:pPr>
            <w:r>
              <w:rPr>
                <w:rFonts w:hint="eastAsia" w:ascii="Times New Roman" w:hAnsi="Times New Roman"/>
                <w:lang w:val="en-US" w:eastAsia="zh-CN"/>
              </w:rPr>
              <w:t>2022.7.18</w:t>
            </w:r>
          </w:p>
        </w:tc>
        <w:tc>
          <w:tcPr>
            <w:tcW w:w="1460" w:type="dxa"/>
          </w:tcPr>
          <w:p w14:paraId="154CF76E">
            <w:pPr>
              <w:rPr>
                <w:rFonts w:hint="eastAsia" w:ascii="Times New Roman" w:hAnsi="Times New Roman" w:eastAsia="微软雅黑"/>
                <w:lang w:val="en-US" w:eastAsia="zh-CN"/>
              </w:rPr>
            </w:pPr>
            <w:r>
              <w:rPr>
                <w:rFonts w:hint="eastAsia" w:ascii="Times New Roman" w:hAnsi="Times New Roman"/>
                <w:lang w:val="en-US" w:eastAsia="zh-CN"/>
              </w:rPr>
              <w:t>3</w:t>
            </w:r>
          </w:p>
        </w:tc>
        <w:tc>
          <w:tcPr>
            <w:tcW w:w="1460" w:type="dxa"/>
          </w:tcPr>
          <w:p w14:paraId="02C178CE">
            <w:pPr>
              <w:rPr>
                <w:rFonts w:hint="default" w:ascii="Times New Roman" w:hAnsi="Times New Roman"/>
                <w:lang w:val="en-US"/>
              </w:rPr>
            </w:pPr>
            <w:r>
              <w:rPr>
                <w:rFonts w:hint="eastAsia" w:ascii="Times New Roman" w:hAnsi="Times New Roman"/>
                <w:lang w:val="en-US" w:eastAsia="zh-CN"/>
              </w:rPr>
              <w:t>20223204026271</w:t>
            </w:r>
          </w:p>
        </w:tc>
        <w:tc>
          <w:tcPr>
            <w:tcW w:w="1608" w:type="dxa"/>
          </w:tcPr>
          <w:p w14:paraId="6CB4323A">
            <w:pPr>
              <w:rPr>
                <w:rFonts w:ascii="Times New Roman" w:hAnsi="Times New Roman"/>
              </w:rPr>
            </w:pPr>
            <w:r>
              <w:rPr>
                <w:rFonts w:hint="eastAsia" w:ascii="Times New Roman" w:hAnsi="Times New Roman"/>
                <w:lang w:val="en-US" w:eastAsia="zh-CN"/>
              </w:rPr>
              <w:t>一般废水污泥</w:t>
            </w:r>
          </w:p>
        </w:tc>
        <w:tc>
          <w:tcPr>
            <w:tcW w:w="1312" w:type="dxa"/>
          </w:tcPr>
          <w:p w14:paraId="2820B900">
            <w:pPr>
              <w:rPr>
                <w:rFonts w:ascii="Times New Roman" w:hAnsi="Times New Roman"/>
              </w:rPr>
            </w:pPr>
            <w:r>
              <w:rPr>
                <w:rFonts w:hint="eastAsia" w:ascii="Times New Roman" w:hAnsi="Times New Roman"/>
                <w:lang w:val="en-US" w:eastAsia="zh-CN"/>
              </w:rPr>
              <w:t>336-064-17</w:t>
            </w:r>
          </w:p>
        </w:tc>
        <w:tc>
          <w:tcPr>
            <w:tcW w:w="1460" w:type="dxa"/>
          </w:tcPr>
          <w:p w14:paraId="3921AE1A">
            <w:pPr>
              <w:rPr>
                <w:rFonts w:hint="default" w:ascii="Times New Roman" w:hAnsi="Times New Roman" w:eastAsia="微软雅黑"/>
                <w:lang w:val="en-US" w:eastAsia="zh-CN"/>
              </w:rPr>
            </w:pPr>
            <w:r>
              <w:rPr>
                <w:rFonts w:hint="eastAsia" w:ascii="Times New Roman" w:hAnsi="Times New Roman"/>
                <w:lang w:val="en-US" w:eastAsia="zh-CN"/>
              </w:rPr>
              <w:t>31.67</w:t>
            </w:r>
          </w:p>
        </w:tc>
        <w:tc>
          <w:tcPr>
            <w:tcW w:w="1460" w:type="dxa"/>
          </w:tcPr>
          <w:p w14:paraId="41250BBE">
            <w:pPr>
              <w:rPr>
                <w:rFonts w:ascii="Times New Roman" w:hAnsi="Times New Roman"/>
              </w:rPr>
            </w:pPr>
            <w:r>
              <w:rPr>
                <w:rFonts w:hint="eastAsia" w:ascii="Times New Roman" w:hAnsi="Times New Roman"/>
                <w:lang w:eastAsia="zh-CN"/>
              </w:rPr>
              <w:t>开化盛翔物流有限公司</w:t>
            </w:r>
          </w:p>
        </w:tc>
        <w:tc>
          <w:tcPr>
            <w:tcW w:w="1460" w:type="dxa"/>
          </w:tcPr>
          <w:p w14:paraId="2310FE42">
            <w:pPr>
              <w:rPr>
                <w:rFonts w:hint="default" w:ascii="Times New Roman" w:hAnsi="Times New Roman" w:eastAsia="微软雅黑"/>
                <w:lang w:val="en-US" w:eastAsia="zh-CN"/>
              </w:rPr>
            </w:pPr>
            <w:r>
              <w:rPr>
                <w:rFonts w:hint="eastAsia" w:ascii="Times New Roman" w:hAnsi="Times New Roman"/>
                <w:lang w:eastAsia="zh-CN"/>
              </w:rPr>
              <w:t>浙</w:t>
            </w:r>
            <w:r>
              <w:rPr>
                <w:rFonts w:hint="eastAsia" w:ascii="Times New Roman" w:hAnsi="Times New Roman"/>
                <w:lang w:val="en-US" w:eastAsia="zh-CN"/>
              </w:rPr>
              <w:t>H23176</w:t>
            </w:r>
          </w:p>
        </w:tc>
        <w:tc>
          <w:tcPr>
            <w:tcW w:w="1460" w:type="dxa"/>
          </w:tcPr>
          <w:p w14:paraId="3A6B3FC1">
            <w:pPr>
              <w:rPr>
                <w:rFonts w:hint="default" w:ascii="Times New Roman" w:hAnsi="Times New Roman" w:eastAsia="微软雅黑"/>
                <w:lang w:val="en-US" w:eastAsia="zh-CN"/>
              </w:rPr>
            </w:pPr>
            <w:r>
              <w:rPr>
                <w:rFonts w:hint="eastAsia" w:ascii="Times New Roman" w:hAnsi="Times New Roman"/>
                <w:lang w:val="en-US" w:eastAsia="zh-CN"/>
              </w:rPr>
              <w:t>浙江汇金环保科技有限公司</w:t>
            </w:r>
          </w:p>
        </w:tc>
        <w:tc>
          <w:tcPr>
            <w:tcW w:w="1744" w:type="dxa"/>
          </w:tcPr>
          <w:p w14:paraId="4E01850C">
            <w:pPr>
              <w:rPr>
                <w:rFonts w:ascii="Times New Roman" w:hAnsi="Times New Roman"/>
              </w:rPr>
            </w:pPr>
            <w:r>
              <w:rPr>
                <w:rFonts w:hint="eastAsia" w:ascii="Times New Roman" w:hAnsi="Times New Roman"/>
                <w:lang w:val="en-US" w:eastAsia="zh-CN"/>
              </w:rPr>
              <w:t>2022.7.19</w:t>
            </w:r>
          </w:p>
        </w:tc>
      </w:tr>
      <w:tr w14:paraId="7257B8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1744" w:type="dxa"/>
          </w:tcPr>
          <w:p w14:paraId="1E5062CA">
            <w:pPr>
              <w:rPr>
                <w:rFonts w:hint="default" w:ascii="Times New Roman" w:hAnsi="Times New Roman" w:eastAsia="微软雅黑"/>
                <w:lang w:val="en-US" w:eastAsia="zh-CN"/>
              </w:rPr>
            </w:pPr>
            <w:r>
              <w:rPr>
                <w:rFonts w:hint="eastAsia" w:ascii="Times New Roman" w:hAnsi="Times New Roman"/>
                <w:lang w:val="en-US" w:eastAsia="zh-CN"/>
              </w:rPr>
              <w:t>2022.9.5</w:t>
            </w:r>
          </w:p>
        </w:tc>
        <w:tc>
          <w:tcPr>
            <w:tcW w:w="1460" w:type="dxa"/>
          </w:tcPr>
          <w:p w14:paraId="33D87ABD">
            <w:pPr>
              <w:rPr>
                <w:rFonts w:hint="default" w:ascii="Times New Roman" w:hAnsi="Times New Roman"/>
                <w:lang w:val="en-US" w:eastAsia="zh-CN"/>
              </w:rPr>
            </w:pPr>
            <w:r>
              <w:rPr>
                <w:rFonts w:hint="eastAsia" w:ascii="Times New Roman" w:hAnsi="Times New Roman"/>
                <w:lang w:val="en-US" w:eastAsia="zh-CN"/>
              </w:rPr>
              <w:t>4</w:t>
            </w:r>
          </w:p>
        </w:tc>
        <w:tc>
          <w:tcPr>
            <w:tcW w:w="1460" w:type="dxa"/>
          </w:tcPr>
          <w:p w14:paraId="03E36A98">
            <w:pPr>
              <w:rPr>
                <w:rFonts w:hint="default" w:ascii="Times New Roman" w:hAnsi="Times New Roman"/>
                <w:lang w:val="en-US"/>
              </w:rPr>
            </w:pPr>
            <w:r>
              <w:rPr>
                <w:rFonts w:hint="eastAsia" w:ascii="Times New Roman" w:hAnsi="Times New Roman"/>
                <w:lang w:val="en-US" w:eastAsia="zh-CN"/>
              </w:rPr>
              <w:t>20223204034107</w:t>
            </w:r>
          </w:p>
        </w:tc>
        <w:tc>
          <w:tcPr>
            <w:tcW w:w="1608" w:type="dxa"/>
          </w:tcPr>
          <w:p w14:paraId="0C07C325">
            <w:pPr>
              <w:rPr>
                <w:rFonts w:ascii="Times New Roman" w:hAnsi="Times New Roman"/>
              </w:rPr>
            </w:pPr>
            <w:r>
              <w:rPr>
                <w:rFonts w:hint="eastAsia" w:ascii="Times New Roman" w:hAnsi="Times New Roman"/>
                <w:lang w:val="en-US" w:eastAsia="zh-CN"/>
              </w:rPr>
              <w:t>一般废水污泥</w:t>
            </w:r>
          </w:p>
        </w:tc>
        <w:tc>
          <w:tcPr>
            <w:tcW w:w="1312" w:type="dxa"/>
          </w:tcPr>
          <w:p w14:paraId="663346C1">
            <w:pPr>
              <w:rPr>
                <w:rFonts w:ascii="Times New Roman" w:hAnsi="Times New Roman"/>
              </w:rPr>
            </w:pPr>
            <w:r>
              <w:rPr>
                <w:rFonts w:hint="eastAsia" w:ascii="Times New Roman" w:hAnsi="Times New Roman"/>
                <w:lang w:val="en-US" w:eastAsia="zh-CN"/>
              </w:rPr>
              <w:t>336-064-17</w:t>
            </w:r>
          </w:p>
        </w:tc>
        <w:tc>
          <w:tcPr>
            <w:tcW w:w="1460" w:type="dxa"/>
          </w:tcPr>
          <w:p w14:paraId="370DC503">
            <w:pPr>
              <w:rPr>
                <w:rFonts w:hint="default" w:ascii="Times New Roman" w:hAnsi="Times New Roman" w:eastAsia="微软雅黑"/>
                <w:lang w:val="en-US" w:eastAsia="zh-CN"/>
              </w:rPr>
            </w:pPr>
            <w:r>
              <w:rPr>
                <w:rFonts w:hint="eastAsia" w:ascii="Times New Roman" w:hAnsi="Times New Roman"/>
                <w:lang w:val="en-US" w:eastAsia="zh-CN"/>
              </w:rPr>
              <w:t>31.14</w:t>
            </w:r>
          </w:p>
        </w:tc>
        <w:tc>
          <w:tcPr>
            <w:tcW w:w="1460" w:type="dxa"/>
          </w:tcPr>
          <w:p w14:paraId="41AC74A5">
            <w:pPr>
              <w:rPr>
                <w:rFonts w:ascii="Times New Roman" w:hAnsi="Times New Roman"/>
              </w:rPr>
            </w:pPr>
            <w:r>
              <w:rPr>
                <w:rFonts w:hint="eastAsia" w:ascii="Times New Roman" w:hAnsi="Times New Roman"/>
                <w:lang w:eastAsia="zh-CN"/>
              </w:rPr>
              <w:t>开化盛翔物流有限公司</w:t>
            </w:r>
          </w:p>
        </w:tc>
        <w:tc>
          <w:tcPr>
            <w:tcW w:w="1460" w:type="dxa"/>
          </w:tcPr>
          <w:p w14:paraId="595CD46D">
            <w:pPr>
              <w:rPr>
                <w:rFonts w:hint="default" w:ascii="Times New Roman" w:hAnsi="Times New Roman" w:eastAsia="微软雅黑"/>
                <w:lang w:val="en-US" w:eastAsia="zh-CN"/>
              </w:rPr>
            </w:pPr>
            <w:r>
              <w:rPr>
                <w:rFonts w:hint="eastAsia" w:ascii="Times New Roman" w:hAnsi="Times New Roman"/>
                <w:lang w:eastAsia="zh-CN"/>
              </w:rPr>
              <w:t>浙</w:t>
            </w:r>
            <w:r>
              <w:rPr>
                <w:rFonts w:hint="eastAsia" w:ascii="Times New Roman" w:hAnsi="Times New Roman"/>
                <w:lang w:val="en-US" w:eastAsia="zh-CN"/>
              </w:rPr>
              <w:t>HL1010</w:t>
            </w:r>
          </w:p>
        </w:tc>
        <w:tc>
          <w:tcPr>
            <w:tcW w:w="1460" w:type="dxa"/>
          </w:tcPr>
          <w:p w14:paraId="62EAAF8A">
            <w:pPr>
              <w:rPr>
                <w:rFonts w:hint="default" w:ascii="Times New Roman" w:hAnsi="Times New Roman" w:eastAsia="微软雅黑"/>
                <w:lang w:val="en-US" w:eastAsia="zh-CN"/>
              </w:rPr>
            </w:pPr>
            <w:r>
              <w:rPr>
                <w:rFonts w:hint="eastAsia" w:ascii="Times New Roman" w:hAnsi="Times New Roman"/>
                <w:lang w:val="en-US" w:eastAsia="zh-CN"/>
              </w:rPr>
              <w:t>浙江汇金环保科技有限公司</w:t>
            </w:r>
          </w:p>
        </w:tc>
        <w:tc>
          <w:tcPr>
            <w:tcW w:w="1744" w:type="dxa"/>
          </w:tcPr>
          <w:p w14:paraId="45189F74">
            <w:pPr>
              <w:rPr>
                <w:rFonts w:ascii="Times New Roman" w:hAnsi="Times New Roman"/>
              </w:rPr>
            </w:pPr>
            <w:r>
              <w:rPr>
                <w:rFonts w:hint="eastAsia" w:ascii="Times New Roman" w:hAnsi="Times New Roman"/>
                <w:lang w:val="en-US" w:eastAsia="zh-CN"/>
              </w:rPr>
              <w:t>2022.9.6</w:t>
            </w:r>
          </w:p>
        </w:tc>
      </w:tr>
      <w:tr w14:paraId="41312F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1744" w:type="dxa"/>
          </w:tcPr>
          <w:p w14:paraId="126972F1">
            <w:pPr>
              <w:rPr>
                <w:rFonts w:hint="default" w:ascii="Times New Roman" w:hAnsi="Times New Roman" w:eastAsia="微软雅黑"/>
                <w:lang w:val="en-US" w:eastAsia="zh-CN"/>
              </w:rPr>
            </w:pPr>
            <w:r>
              <w:rPr>
                <w:rFonts w:hint="eastAsia" w:ascii="Times New Roman" w:hAnsi="Times New Roman"/>
                <w:lang w:val="en-US" w:eastAsia="zh-CN"/>
              </w:rPr>
              <w:t>2022.9.19</w:t>
            </w:r>
          </w:p>
        </w:tc>
        <w:tc>
          <w:tcPr>
            <w:tcW w:w="1460" w:type="dxa"/>
          </w:tcPr>
          <w:p w14:paraId="12F33EAE">
            <w:pPr>
              <w:rPr>
                <w:rFonts w:hint="default" w:ascii="Times New Roman" w:hAnsi="Times New Roman" w:eastAsia="微软雅黑"/>
                <w:lang w:val="en-US" w:eastAsia="zh-CN"/>
              </w:rPr>
            </w:pPr>
            <w:r>
              <w:rPr>
                <w:rFonts w:hint="eastAsia" w:ascii="Times New Roman" w:hAnsi="Times New Roman"/>
                <w:lang w:val="en-US" w:eastAsia="zh-CN"/>
              </w:rPr>
              <w:t>5</w:t>
            </w:r>
          </w:p>
        </w:tc>
        <w:tc>
          <w:tcPr>
            <w:tcW w:w="1460" w:type="dxa"/>
          </w:tcPr>
          <w:p w14:paraId="39B45C12">
            <w:pPr>
              <w:rPr>
                <w:rFonts w:hint="default" w:ascii="Times New Roman" w:hAnsi="Times New Roman"/>
                <w:lang w:val="en-US"/>
              </w:rPr>
            </w:pPr>
            <w:r>
              <w:rPr>
                <w:rFonts w:hint="eastAsia" w:ascii="Times New Roman" w:hAnsi="Times New Roman"/>
                <w:lang w:val="en-US" w:eastAsia="zh-CN"/>
              </w:rPr>
              <w:t>20223204036112</w:t>
            </w:r>
          </w:p>
        </w:tc>
        <w:tc>
          <w:tcPr>
            <w:tcW w:w="1608" w:type="dxa"/>
          </w:tcPr>
          <w:p w14:paraId="210252D7">
            <w:pPr>
              <w:rPr>
                <w:rFonts w:ascii="Times New Roman" w:hAnsi="Times New Roman"/>
              </w:rPr>
            </w:pPr>
            <w:r>
              <w:rPr>
                <w:rFonts w:hint="eastAsia" w:ascii="Times New Roman" w:hAnsi="Times New Roman"/>
                <w:lang w:val="en-US" w:eastAsia="zh-CN"/>
              </w:rPr>
              <w:t>一般废水污泥</w:t>
            </w:r>
          </w:p>
        </w:tc>
        <w:tc>
          <w:tcPr>
            <w:tcW w:w="1312" w:type="dxa"/>
          </w:tcPr>
          <w:p w14:paraId="19D4666A">
            <w:pPr>
              <w:rPr>
                <w:rFonts w:ascii="Times New Roman" w:hAnsi="Times New Roman"/>
              </w:rPr>
            </w:pPr>
            <w:r>
              <w:rPr>
                <w:rFonts w:hint="eastAsia" w:ascii="Times New Roman" w:hAnsi="Times New Roman"/>
                <w:lang w:val="en-US" w:eastAsia="zh-CN"/>
              </w:rPr>
              <w:t>336-064-17</w:t>
            </w:r>
          </w:p>
        </w:tc>
        <w:tc>
          <w:tcPr>
            <w:tcW w:w="1460" w:type="dxa"/>
          </w:tcPr>
          <w:p w14:paraId="0FFAD4EB">
            <w:pPr>
              <w:rPr>
                <w:rFonts w:hint="default" w:ascii="Times New Roman" w:hAnsi="Times New Roman" w:eastAsia="微软雅黑"/>
                <w:lang w:val="en-US" w:eastAsia="zh-CN"/>
              </w:rPr>
            </w:pPr>
            <w:r>
              <w:rPr>
                <w:rFonts w:hint="eastAsia" w:ascii="Times New Roman" w:hAnsi="Times New Roman"/>
                <w:lang w:val="en-US" w:eastAsia="zh-CN"/>
              </w:rPr>
              <w:t>30.82</w:t>
            </w:r>
          </w:p>
        </w:tc>
        <w:tc>
          <w:tcPr>
            <w:tcW w:w="1460" w:type="dxa"/>
          </w:tcPr>
          <w:p w14:paraId="1F18CA4B">
            <w:pPr>
              <w:rPr>
                <w:rFonts w:ascii="Times New Roman" w:hAnsi="Times New Roman"/>
              </w:rPr>
            </w:pPr>
            <w:r>
              <w:rPr>
                <w:rFonts w:hint="eastAsia" w:ascii="Times New Roman" w:hAnsi="Times New Roman"/>
                <w:lang w:eastAsia="zh-CN"/>
              </w:rPr>
              <w:t>开化盛翔物流有限公司</w:t>
            </w:r>
          </w:p>
        </w:tc>
        <w:tc>
          <w:tcPr>
            <w:tcW w:w="1460" w:type="dxa"/>
          </w:tcPr>
          <w:p w14:paraId="389BF10C">
            <w:pPr>
              <w:rPr>
                <w:rFonts w:hint="default" w:ascii="Times New Roman" w:hAnsi="Times New Roman" w:eastAsia="微软雅黑"/>
                <w:lang w:val="en-US" w:eastAsia="zh-CN"/>
              </w:rPr>
            </w:pPr>
            <w:r>
              <w:rPr>
                <w:rFonts w:hint="eastAsia" w:ascii="Times New Roman" w:hAnsi="Times New Roman"/>
                <w:lang w:val="en-US" w:eastAsia="zh-CN"/>
              </w:rPr>
              <w:t>浙H23176</w:t>
            </w:r>
          </w:p>
        </w:tc>
        <w:tc>
          <w:tcPr>
            <w:tcW w:w="1460" w:type="dxa"/>
          </w:tcPr>
          <w:p w14:paraId="3498FCAF">
            <w:pPr>
              <w:rPr>
                <w:rFonts w:hint="default" w:ascii="Times New Roman" w:hAnsi="Times New Roman" w:eastAsia="微软雅黑"/>
                <w:lang w:val="en-US" w:eastAsia="zh-CN"/>
              </w:rPr>
            </w:pPr>
            <w:r>
              <w:rPr>
                <w:rFonts w:hint="eastAsia" w:ascii="Times New Roman" w:hAnsi="Times New Roman"/>
                <w:lang w:val="en-US" w:eastAsia="zh-CN"/>
              </w:rPr>
              <w:t>浙江汇金环保科技有限公司</w:t>
            </w:r>
          </w:p>
        </w:tc>
        <w:tc>
          <w:tcPr>
            <w:tcW w:w="1744" w:type="dxa"/>
          </w:tcPr>
          <w:p w14:paraId="2BD51880">
            <w:pPr>
              <w:rPr>
                <w:rFonts w:ascii="Times New Roman" w:hAnsi="Times New Roman"/>
              </w:rPr>
            </w:pPr>
            <w:r>
              <w:rPr>
                <w:rFonts w:hint="eastAsia" w:ascii="Times New Roman" w:hAnsi="Times New Roman"/>
                <w:lang w:val="en-US" w:eastAsia="zh-CN"/>
              </w:rPr>
              <w:t>2022.9.20</w:t>
            </w:r>
          </w:p>
        </w:tc>
      </w:tr>
      <w:tr w14:paraId="0DBFCA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1744" w:type="dxa"/>
          </w:tcPr>
          <w:p w14:paraId="359D3B0F">
            <w:pPr>
              <w:rPr>
                <w:rFonts w:hint="default" w:ascii="Times New Roman" w:hAnsi="Times New Roman" w:eastAsia="微软雅黑"/>
                <w:lang w:val="en-US" w:eastAsia="zh-CN"/>
              </w:rPr>
            </w:pPr>
            <w:r>
              <w:rPr>
                <w:rFonts w:hint="eastAsia" w:ascii="Times New Roman"/>
                <w:lang w:val="en-US" w:eastAsia="zh-CN"/>
              </w:rPr>
              <w:t>2022.10.15</w:t>
            </w:r>
          </w:p>
        </w:tc>
        <w:tc>
          <w:tcPr>
            <w:tcW w:w="1460" w:type="dxa"/>
          </w:tcPr>
          <w:p w14:paraId="28E91037">
            <w:pPr>
              <w:rPr>
                <w:rFonts w:hint="default" w:ascii="Times New Roman" w:hAnsi="Times New Roman" w:eastAsia="微软雅黑"/>
                <w:lang w:val="en-US" w:eastAsia="zh-CN"/>
              </w:rPr>
            </w:pPr>
            <w:r>
              <w:rPr>
                <w:rFonts w:hint="eastAsia" w:ascii="Times New Roman" w:hAnsi="Times New Roman"/>
                <w:lang w:val="en-US" w:eastAsia="zh-CN"/>
              </w:rPr>
              <w:t>6</w:t>
            </w:r>
          </w:p>
        </w:tc>
        <w:tc>
          <w:tcPr>
            <w:tcW w:w="1460" w:type="dxa"/>
          </w:tcPr>
          <w:p w14:paraId="05A4A0B9">
            <w:pPr>
              <w:rPr>
                <w:rFonts w:hint="default" w:ascii="Times New Roman" w:hAnsi="Times New Roman"/>
                <w:lang w:val="en-US"/>
              </w:rPr>
            </w:pPr>
            <w:r>
              <w:rPr>
                <w:rFonts w:hint="eastAsia" w:ascii="Times New Roman" w:hAnsi="Times New Roman"/>
                <w:lang w:val="en-US" w:eastAsia="zh-CN"/>
              </w:rPr>
              <w:t>20223204040283</w:t>
            </w:r>
          </w:p>
        </w:tc>
        <w:tc>
          <w:tcPr>
            <w:tcW w:w="1608" w:type="dxa"/>
          </w:tcPr>
          <w:p w14:paraId="3F5149A8">
            <w:pPr>
              <w:rPr>
                <w:rFonts w:ascii="Times New Roman" w:hAnsi="Times New Roman"/>
              </w:rPr>
            </w:pPr>
            <w:r>
              <w:rPr>
                <w:rFonts w:hint="eastAsia" w:ascii="Times New Roman" w:hAnsi="Times New Roman"/>
                <w:lang w:val="en-US" w:eastAsia="zh-CN"/>
              </w:rPr>
              <w:t>一般废水污泥</w:t>
            </w:r>
          </w:p>
        </w:tc>
        <w:tc>
          <w:tcPr>
            <w:tcW w:w="1312" w:type="dxa"/>
          </w:tcPr>
          <w:p w14:paraId="6A3F7668">
            <w:pPr>
              <w:rPr>
                <w:rFonts w:ascii="Times New Roman" w:hAnsi="Times New Roman"/>
              </w:rPr>
            </w:pPr>
            <w:r>
              <w:rPr>
                <w:rFonts w:hint="eastAsia" w:ascii="Times New Roman" w:hAnsi="Times New Roman"/>
                <w:lang w:val="en-US" w:eastAsia="zh-CN"/>
              </w:rPr>
              <w:t>336-064-17</w:t>
            </w:r>
          </w:p>
        </w:tc>
        <w:tc>
          <w:tcPr>
            <w:tcW w:w="1460" w:type="dxa"/>
          </w:tcPr>
          <w:p w14:paraId="47CA4F3B">
            <w:pPr>
              <w:rPr>
                <w:rFonts w:hint="default" w:ascii="Times New Roman" w:hAnsi="Times New Roman" w:eastAsia="微软雅黑"/>
                <w:lang w:val="en-US" w:eastAsia="zh-CN"/>
              </w:rPr>
            </w:pPr>
            <w:r>
              <w:rPr>
                <w:rFonts w:hint="eastAsia" w:ascii="Times New Roman" w:hAnsi="Times New Roman"/>
                <w:lang w:val="en-US" w:eastAsia="zh-CN"/>
              </w:rPr>
              <w:t>31.13</w:t>
            </w:r>
          </w:p>
        </w:tc>
        <w:tc>
          <w:tcPr>
            <w:tcW w:w="1460" w:type="dxa"/>
          </w:tcPr>
          <w:p w14:paraId="5D9A3AC5">
            <w:pPr>
              <w:rPr>
                <w:rFonts w:ascii="Times New Roman" w:hAnsi="Times New Roman"/>
              </w:rPr>
            </w:pPr>
            <w:r>
              <w:rPr>
                <w:rFonts w:hint="eastAsia" w:ascii="Times New Roman" w:hAnsi="Times New Roman"/>
                <w:lang w:eastAsia="zh-CN"/>
              </w:rPr>
              <w:t>开化盛翔物流有限公司</w:t>
            </w:r>
          </w:p>
        </w:tc>
        <w:tc>
          <w:tcPr>
            <w:tcW w:w="1460" w:type="dxa"/>
          </w:tcPr>
          <w:p w14:paraId="38D05538">
            <w:pPr>
              <w:rPr>
                <w:rFonts w:hint="default" w:ascii="Times New Roman" w:hAnsi="Times New Roman" w:eastAsia="微软雅黑"/>
                <w:lang w:val="en-US" w:eastAsia="zh-CN"/>
              </w:rPr>
            </w:pPr>
            <w:r>
              <w:rPr>
                <w:rFonts w:hint="eastAsia" w:ascii="Times New Roman" w:hAnsi="Times New Roman"/>
                <w:lang w:eastAsia="zh-CN"/>
              </w:rPr>
              <w:t>浙</w:t>
            </w:r>
            <w:r>
              <w:rPr>
                <w:rFonts w:hint="eastAsia" w:ascii="Times New Roman" w:hAnsi="Times New Roman"/>
                <w:lang w:val="en-US" w:eastAsia="zh-CN"/>
              </w:rPr>
              <w:t>H27290</w:t>
            </w:r>
          </w:p>
        </w:tc>
        <w:tc>
          <w:tcPr>
            <w:tcW w:w="1460" w:type="dxa"/>
          </w:tcPr>
          <w:p w14:paraId="2CDEC5E1">
            <w:pPr>
              <w:rPr>
                <w:rFonts w:hint="default" w:ascii="Times New Roman" w:hAnsi="Times New Roman" w:eastAsia="微软雅黑"/>
                <w:lang w:val="en-US" w:eastAsia="zh-CN"/>
              </w:rPr>
            </w:pPr>
            <w:r>
              <w:rPr>
                <w:rFonts w:hint="eastAsia" w:ascii="Times New Roman" w:hAnsi="Times New Roman"/>
                <w:lang w:val="en-US" w:eastAsia="zh-CN"/>
              </w:rPr>
              <w:t>浙江汇金环保科技有限公司</w:t>
            </w:r>
          </w:p>
        </w:tc>
        <w:tc>
          <w:tcPr>
            <w:tcW w:w="1744" w:type="dxa"/>
          </w:tcPr>
          <w:p w14:paraId="26077F40">
            <w:pPr>
              <w:rPr>
                <w:rFonts w:ascii="Times New Roman" w:hAnsi="Times New Roman"/>
              </w:rPr>
            </w:pPr>
            <w:r>
              <w:rPr>
                <w:rFonts w:hint="eastAsia" w:ascii="Times New Roman" w:hAnsi="Times New Roman"/>
                <w:lang w:val="en-US" w:eastAsia="zh-CN"/>
              </w:rPr>
              <w:t>2022.10.16</w:t>
            </w:r>
          </w:p>
        </w:tc>
      </w:tr>
      <w:tr w14:paraId="6FA61E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1744" w:type="dxa"/>
          </w:tcPr>
          <w:p w14:paraId="6B2CCE96">
            <w:pPr>
              <w:rPr>
                <w:rFonts w:hint="default" w:ascii="Times New Roman" w:eastAsia="微软雅黑"/>
                <w:lang w:val="en-US" w:eastAsia="zh-CN"/>
              </w:rPr>
            </w:pPr>
            <w:r>
              <w:rPr>
                <w:rFonts w:hint="eastAsia" w:ascii="Times New Roman"/>
                <w:lang w:val="en-US" w:eastAsia="zh-CN"/>
              </w:rPr>
              <w:t>2022.11.4</w:t>
            </w:r>
          </w:p>
        </w:tc>
        <w:tc>
          <w:tcPr>
            <w:tcW w:w="1460" w:type="dxa"/>
          </w:tcPr>
          <w:p w14:paraId="155CD26E">
            <w:pPr>
              <w:rPr>
                <w:rFonts w:hint="default" w:ascii="Times New Roman" w:hAnsi="Times New Roman" w:eastAsia="微软雅黑"/>
                <w:lang w:val="en-US" w:eastAsia="zh-CN"/>
              </w:rPr>
            </w:pPr>
            <w:r>
              <w:rPr>
                <w:rFonts w:hint="eastAsia" w:ascii="Times New Roman" w:hAnsi="Times New Roman"/>
                <w:lang w:val="en-US" w:eastAsia="zh-CN"/>
              </w:rPr>
              <w:t>7</w:t>
            </w:r>
          </w:p>
        </w:tc>
        <w:tc>
          <w:tcPr>
            <w:tcW w:w="1460" w:type="dxa"/>
          </w:tcPr>
          <w:p w14:paraId="56E51438">
            <w:pPr>
              <w:rPr>
                <w:rFonts w:hint="default" w:ascii="Times New Roman" w:hAnsi="Times New Roman"/>
                <w:lang w:val="en-US"/>
              </w:rPr>
            </w:pPr>
            <w:r>
              <w:rPr>
                <w:rFonts w:hint="eastAsia" w:ascii="Times New Roman" w:hAnsi="Times New Roman"/>
                <w:lang w:val="en-US" w:eastAsia="zh-CN"/>
              </w:rPr>
              <w:t>20223204044266</w:t>
            </w:r>
          </w:p>
        </w:tc>
        <w:tc>
          <w:tcPr>
            <w:tcW w:w="1608" w:type="dxa"/>
          </w:tcPr>
          <w:p w14:paraId="51999392">
            <w:pPr>
              <w:rPr>
                <w:rFonts w:ascii="Times New Roman" w:hAnsi="Times New Roman"/>
              </w:rPr>
            </w:pPr>
            <w:r>
              <w:rPr>
                <w:rFonts w:hint="eastAsia" w:ascii="Times New Roman" w:hAnsi="Times New Roman"/>
                <w:lang w:val="en-US" w:eastAsia="zh-CN"/>
              </w:rPr>
              <w:t>一般废水污泥</w:t>
            </w:r>
          </w:p>
        </w:tc>
        <w:tc>
          <w:tcPr>
            <w:tcW w:w="1312" w:type="dxa"/>
          </w:tcPr>
          <w:p w14:paraId="5546964B">
            <w:pPr>
              <w:rPr>
                <w:rFonts w:ascii="Times New Roman" w:hAnsi="Times New Roman"/>
              </w:rPr>
            </w:pPr>
            <w:r>
              <w:rPr>
                <w:rFonts w:hint="eastAsia" w:ascii="Times New Roman" w:hAnsi="Times New Roman"/>
                <w:lang w:val="en-US" w:eastAsia="zh-CN"/>
              </w:rPr>
              <w:t>336-064-17</w:t>
            </w:r>
          </w:p>
        </w:tc>
        <w:tc>
          <w:tcPr>
            <w:tcW w:w="1460" w:type="dxa"/>
          </w:tcPr>
          <w:p w14:paraId="679789EF">
            <w:pPr>
              <w:rPr>
                <w:rFonts w:hint="default" w:ascii="Times New Roman" w:hAnsi="Times New Roman" w:eastAsia="微软雅黑"/>
                <w:lang w:val="en-US" w:eastAsia="zh-CN"/>
              </w:rPr>
            </w:pPr>
            <w:r>
              <w:rPr>
                <w:rFonts w:hint="eastAsia" w:ascii="Times New Roman" w:hAnsi="Times New Roman"/>
                <w:lang w:val="en-US" w:eastAsia="zh-CN"/>
              </w:rPr>
              <w:t>31</w:t>
            </w:r>
          </w:p>
        </w:tc>
        <w:tc>
          <w:tcPr>
            <w:tcW w:w="1460" w:type="dxa"/>
          </w:tcPr>
          <w:p w14:paraId="37191F02">
            <w:pPr>
              <w:rPr>
                <w:rFonts w:ascii="Times New Roman" w:hAnsi="Times New Roman"/>
              </w:rPr>
            </w:pPr>
            <w:r>
              <w:rPr>
                <w:rFonts w:hint="eastAsia" w:ascii="Times New Roman" w:hAnsi="Times New Roman"/>
                <w:lang w:eastAsia="zh-CN"/>
              </w:rPr>
              <w:t>开化盛翔物流有限公司</w:t>
            </w:r>
          </w:p>
        </w:tc>
        <w:tc>
          <w:tcPr>
            <w:tcW w:w="1460" w:type="dxa"/>
          </w:tcPr>
          <w:p w14:paraId="65AE0F82">
            <w:pPr>
              <w:rPr>
                <w:rFonts w:hint="default" w:ascii="Times New Roman" w:hAnsi="Times New Roman"/>
                <w:lang w:val="en-US"/>
              </w:rPr>
            </w:pPr>
            <w:r>
              <w:rPr>
                <w:rFonts w:hint="eastAsia" w:ascii="Times New Roman" w:hAnsi="Times New Roman"/>
                <w:lang w:eastAsia="zh-CN"/>
              </w:rPr>
              <w:t>浙</w:t>
            </w:r>
            <w:r>
              <w:rPr>
                <w:rFonts w:hint="eastAsia" w:ascii="Times New Roman" w:hAnsi="Times New Roman"/>
                <w:lang w:val="en-US" w:eastAsia="zh-CN"/>
              </w:rPr>
              <w:t>H12959</w:t>
            </w:r>
          </w:p>
        </w:tc>
        <w:tc>
          <w:tcPr>
            <w:tcW w:w="1460" w:type="dxa"/>
          </w:tcPr>
          <w:p w14:paraId="2A30B983">
            <w:pPr>
              <w:rPr>
                <w:rFonts w:ascii="Times New Roman" w:hAnsi="Times New Roman"/>
              </w:rPr>
            </w:pPr>
            <w:r>
              <w:rPr>
                <w:rFonts w:hint="eastAsia" w:ascii="Times New Roman" w:hAnsi="Times New Roman"/>
                <w:lang w:val="en-US" w:eastAsia="zh-CN"/>
              </w:rPr>
              <w:t>浙江汇金环保科技有限公司</w:t>
            </w:r>
          </w:p>
        </w:tc>
        <w:tc>
          <w:tcPr>
            <w:tcW w:w="1744" w:type="dxa"/>
          </w:tcPr>
          <w:p w14:paraId="63F915F9">
            <w:pPr>
              <w:rPr>
                <w:rFonts w:hint="default" w:ascii="Times New Roman" w:hAnsi="Times New Roman" w:eastAsia="微软雅黑"/>
                <w:lang w:val="en-US" w:eastAsia="zh-CN"/>
              </w:rPr>
            </w:pPr>
            <w:r>
              <w:rPr>
                <w:rFonts w:hint="eastAsia" w:ascii="Times New Roman" w:hAnsi="Times New Roman"/>
                <w:lang w:val="en-US" w:eastAsia="zh-CN"/>
              </w:rPr>
              <w:t>2022.11.5</w:t>
            </w:r>
          </w:p>
        </w:tc>
      </w:tr>
      <w:tr w14:paraId="192E60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1744" w:type="dxa"/>
          </w:tcPr>
          <w:p w14:paraId="6232401A">
            <w:pPr>
              <w:rPr>
                <w:rFonts w:hint="eastAsia" w:ascii="Times New Roman"/>
              </w:rPr>
            </w:pPr>
            <w:r>
              <w:rPr>
                <w:rFonts w:hint="eastAsia" w:ascii="Times New Roman"/>
              </w:rPr>
              <w:t>合计</w:t>
            </w:r>
          </w:p>
        </w:tc>
        <w:tc>
          <w:tcPr>
            <w:tcW w:w="1460" w:type="dxa"/>
          </w:tcPr>
          <w:p w14:paraId="68915534">
            <w:pPr>
              <w:rPr>
                <w:rFonts w:ascii="Times New Roman" w:hAnsi="Times New Roman"/>
              </w:rPr>
            </w:pPr>
          </w:p>
        </w:tc>
        <w:tc>
          <w:tcPr>
            <w:tcW w:w="1460" w:type="dxa"/>
          </w:tcPr>
          <w:p w14:paraId="184FEF75">
            <w:pPr>
              <w:rPr>
                <w:rFonts w:ascii="Times New Roman" w:hAnsi="Times New Roman"/>
              </w:rPr>
            </w:pPr>
          </w:p>
        </w:tc>
        <w:tc>
          <w:tcPr>
            <w:tcW w:w="1608" w:type="dxa"/>
          </w:tcPr>
          <w:p w14:paraId="57DE3AB1">
            <w:pPr>
              <w:rPr>
                <w:rFonts w:ascii="Times New Roman" w:hAnsi="Times New Roman"/>
              </w:rPr>
            </w:pPr>
          </w:p>
        </w:tc>
        <w:tc>
          <w:tcPr>
            <w:tcW w:w="1312" w:type="dxa"/>
          </w:tcPr>
          <w:p w14:paraId="313F837D">
            <w:pPr>
              <w:rPr>
                <w:rFonts w:ascii="Times New Roman" w:hAnsi="Times New Roman"/>
              </w:rPr>
            </w:pPr>
          </w:p>
        </w:tc>
        <w:tc>
          <w:tcPr>
            <w:tcW w:w="1460" w:type="dxa"/>
          </w:tcPr>
          <w:p w14:paraId="37B6366C">
            <w:pPr>
              <w:rPr>
                <w:rFonts w:ascii="Times New Roman" w:hAnsi="Times New Roman"/>
              </w:rPr>
            </w:pPr>
          </w:p>
        </w:tc>
        <w:tc>
          <w:tcPr>
            <w:tcW w:w="1460" w:type="dxa"/>
          </w:tcPr>
          <w:p w14:paraId="09AFA7B2">
            <w:pPr>
              <w:rPr>
                <w:rFonts w:ascii="Times New Roman" w:hAnsi="Times New Roman"/>
              </w:rPr>
            </w:pPr>
          </w:p>
        </w:tc>
        <w:tc>
          <w:tcPr>
            <w:tcW w:w="1460" w:type="dxa"/>
          </w:tcPr>
          <w:p w14:paraId="21170E7A">
            <w:pPr>
              <w:rPr>
                <w:rFonts w:ascii="Times New Roman" w:hAnsi="Times New Roman"/>
              </w:rPr>
            </w:pPr>
          </w:p>
        </w:tc>
        <w:tc>
          <w:tcPr>
            <w:tcW w:w="1460" w:type="dxa"/>
          </w:tcPr>
          <w:p w14:paraId="1DD6C5FA">
            <w:pPr>
              <w:rPr>
                <w:rFonts w:ascii="Times New Roman" w:hAnsi="Times New Roman"/>
              </w:rPr>
            </w:pPr>
          </w:p>
        </w:tc>
        <w:tc>
          <w:tcPr>
            <w:tcW w:w="1744" w:type="dxa"/>
          </w:tcPr>
          <w:p w14:paraId="621E8B07">
            <w:pPr>
              <w:rPr>
                <w:rFonts w:ascii="Times New Roman" w:hAnsi="Times New Roman"/>
              </w:rPr>
            </w:pPr>
          </w:p>
        </w:tc>
      </w:tr>
    </w:tbl>
    <w:p w14:paraId="24EB5FA8">
      <w:pPr>
        <w:spacing w:line="440" w:lineRule="exact"/>
        <w:rPr>
          <w:rFonts w:ascii="Times New Roman" w:hAnsi="Times New Roman" w:eastAsia="方正仿宋_GBK"/>
          <w:sz w:val="32"/>
          <w:szCs w:val="32"/>
        </w:rPr>
      </w:pPr>
      <w:r>
        <w:rPr>
          <w:rFonts w:hint="eastAsia" w:ascii="Times New Roman"/>
        </w:rPr>
        <w:t>注：每种废物请填写合计量</w:t>
      </w:r>
    </w:p>
    <w:sectPr>
      <w:footerReference r:id="rId4" w:type="default"/>
      <w:pgSz w:w="16838" w:h="11906" w:orient="landscape"/>
      <w:pgMar w:top="1803" w:right="1440" w:bottom="1803" w:left="1440" w:header="708" w:footer="709" w:gutter="0"/>
      <w:cols w:space="0" w:num="1"/>
      <w:docGrid w:type="lines"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AFF" w:usb1="C000247B" w:usb2="00000009" w:usb3="00000000" w:csb0="200001FF"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swiss"/>
    <w:pitch w:val="default"/>
    <w:sig w:usb0="80000287" w:usb1="2ACF3C50" w:usb2="00000016" w:usb3="00000000" w:csb0="0004001F" w:csb1="00000000"/>
  </w:font>
  <w:font w:name="仿宋_GB2312">
    <w:panose1 w:val="02010609030101010101"/>
    <w:charset w:val="86"/>
    <w:family w:val="modern"/>
    <w:pitch w:val="default"/>
    <w:sig w:usb0="00000001" w:usb1="080E0000" w:usb2="00000000" w:usb3="00000000" w:csb0="00040000" w:csb1="00000000"/>
  </w:font>
  <w:font w:name="方正小标宋_GBK">
    <w:panose1 w:val="03000509000000000000"/>
    <w:charset w:val="86"/>
    <w:family w:val="script"/>
    <w:pitch w:val="default"/>
    <w:sig w:usb0="00000001" w:usb1="080E0000" w:usb2="00000000" w:usb3="00000000" w:csb0="00040000" w:csb1="00000000"/>
  </w:font>
  <w:font w:name="方正仿宋_GBK">
    <w:panose1 w:val="03000509000000000000"/>
    <w:charset w:val="86"/>
    <w:family w:val="script"/>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A1D473">
    <w:pPr>
      <w:pStyle w:val="4"/>
      <w:framePr w:wrap="around" w:vAnchor="text" w:hAnchor="margin" w:xAlign="center" w:y="1"/>
      <w:rPr>
        <w:rStyle w:val="9"/>
      </w:rPr>
    </w:pPr>
  </w:p>
  <w:p w14:paraId="317A1090">
    <w:pPr>
      <w:pStyle w:val="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pPr>
      <w:r>
        <w:separator/>
      </w:r>
    </w:p>
  </w:footnote>
  <w:footnote w:type="continuationSeparator" w:id="1">
    <w:p>
      <w:pPr>
        <w:spacing w:before="0"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80BC808"/>
    <w:multiLevelType w:val="singleLevel"/>
    <w:tmpl w:val="880BC808"/>
    <w:lvl w:ilvl="0" w:tentative="0">
      <w:start w:val="1"/>
      <w:numFmt w:val="decimal"/>
      <w:suff w:val="nothing"/>
      <w:lvlText w:val="%1、"/>
      <w:lvlJc w:val="left"/>
    </w:lvl>
  </w:abstractNum>
  <w:abstractNum w:abstractNumId="1">
    <w:nsid w:val="AA24130A"/>
    <w:multiLevelType w:val="multilevel"/>
    <w:tmpl w:val="AA24130A"/>
    <w:lvl w:ilvl="0" w:tentative="0">
      <w:start w:val="1"/>
      <w:numFmt w:val="lowerLetter"/>
      <w:suff w:val="nothing"/>
      <w:lvlText w:val="%1、"/>
      <w:lvlJc w:val="left"/>
    </w:lvl>
    <w:lvl w:ilvl="1" w:tentative="0">
      <w:start w:val="1"/>
      <w:numFmt w:val="lowerLetter"/>
      <w:lvlText w:val="%2)"/>
      <w:lvlJc w:val="left"/>
      <w:pPr>
        <w:tabs>
          <w:tab w:val="left" w:pos="840"/>
        </w:tabs>
        <w:ind w:left="840" w:hanging="420"/>
      </w:pPr>
      <w:rPr>
        <w:rFonts w:hint="default"/>
      </w:rPr>
    </w:lvl>
    <w:lvl w:ilvl="2" w:tentative="0">
      <w:start w:val="1"/>
      <w:numFmt w:val="lowerRoman"/>
      <w:lvlText w:val="%3."/>
      <w:lvlJc w:val="left"/>
      <w:pPr>
        <w:tabs>
          <w:tab w:val="left" w:pos="1260"/>
        </w:tabs>
        <w:ind w:left="1260" w:hanging="420"/>
      </w:pPr>
      <w:rPr>
        <w:rFonts w:hint="default"/>
      </w:rPr>
    </w:lvl>
    <w:lvl w:ilvl="3" w:tentative="0">
      <w:start w:val="1"/>
      <w:numFmt w:val="decimal"/>
      <w:lvlText w:val="%4."/>
      <w:lvlJc w:val="left"/>
      <w:pPr>
        <w:tabs>
          <w:tab w:val="left" w:pos="1680"/>
        </w:tabs>
        <w:ind w:left="1680" w:hanging="420"/>
      </w:pPr>
      <w:rPr>
        <w:rFonts w:hint="default"/>
      </w:rPr>
    </w:lvl>
    <w:lvl w:ilvl="4" w:tentative="0">
      <w:start w:val="1"/>
      <w:numFmt w:val="lowerLetter"/>
      <w:lvlText w:val="%5)"/>
      <w:lvlJc w:val="left"/>
      <w:pPr>
        <w:tabs>
          <w:tab w:val="left" w:pos="2100"/>
        </w:tabs>
        <w:ind w:left="2100" w:hanging="420"/>
      </w:pPr>
      <w:rPr>
        <w:rFonts w:hint="default"/>
      </w:rPr>
    </w:lvl>
    <w:lvl w:ilvl="5" w:tentative="0">
      <w:start w:val="1"/>
      <w:numFmt w:val="lowerRoman"/>
      <w:lvlText w:val="%6."/>
      <w:lvlJc w:val="left"/>
      <w:pPr>
        <w:tabs>
          <w:tab w:val="left" w:pos="2520"/>
        </w:tabs>
        <w:ind w:left="2520" w:hanging="420"/>
      </w:pPr>
      <w:rPr>
        <w:rFonts w:hint="default"/>
      </w:rPr>
    </w:lvl>
    <w:lvl w:ilvl="6" w:tentative="0">
      <w:start w:val="1"/>
      <w:numFmt w:val="decimal"/>
      <w:lvlText w:val="%7."/>
      <w:lvlJc w:val="left"/>
      <w:pPr>
        <w:tabs>
          <w:tab w:val="left" w:pos="2940"/>
        </w:tabs>
        <w:ind w:left="2940" w:hanging="420"/>
      </w:pPr>
      <w:rPr>
        <w:rFonts w:hint="default"/>
      </w:rPr>
    </w:lvl>
    <w:lvl w:ilvl="7" w:tentative="0">
      <w:start w:val="1"/>
      <w:numFmt w:val="lowerLetter"/>
      <w:lvlText w:val="%8)"/>
      <w:lvlJc w:val="left"/>
      <w:pPr>
        <w:tabs>
          <w:tab w:val="left" w:pos="3360"/>
        </w:tabs>
        <w:ind w:left="3360" w:hanging="420"/>
      </w:pPr>
      <w:rPr>
        <w:rFonts w:hint="default"/>
      </w:rPr>
    </w:lvl>
    <w:lvl w:ilvl="8" w:tentative="0">
      <w:start w:val="1"/>
      <w:numFmt w:val="lowerRoman"/>
      <w:lvlText w:val="%9."/>
      <w:lvlJc w:val="left"/>
      <w:pPr>
        <w:tabs>
          <w:tab w:val="left" w:pos="3780"/>
        </w:tabs>
        <w:ind w:left="3780" w:hanging="420"/>
      </w:pPr>
      <w:rPr>
        <w:rFonts w:hint="default"/>
      </w:rPr>
    </w:lvl>
  </w:abstractNum>
  <w:abstractNum w:abstractNumId="2">
    <w:nsid w:val="BE88C095"/>
    <w:multiLevelType w:val="singleLevel"/>
    <w:tmpl w:val="BE88C095"/>
    <w:lvl w:ilvl="0" w:tentative="0">
      <w:start w:val="1"/>
      <w:numFmt w:val="chineseCounting"/>
      <w:suff w:val="nothing"/>
      <w:lvlText w:val="%1、"/>
      <w:lvlJc w:val="left"/>
      <w:rPr>
        <w:rFonts w:hint="eastAsia"/>
      </w:rPr>
    </w:lvl>
  </w:abstractNum>
  <w:abstractNum w:abstractNumId="3">
    <w:nsid w:val="C5F207A0"/>
    <w:multiLevelType w:val="singleLevel"/>
    <w:tmpl w:val="C5F207A0"/>
    <w:lvl w:ilvl="0" w:tentative="0">
      <w:start w:val="1"/>
      <w:numFmt w:val="decimal"/>
      <w:suff w:val="nothing"/>
      <w:lvlText w:val="%1、"/>
      <w:lvlJc w:val="left"/>
    </w:lvl>
  </w:abstractNum>
  <w:abstractNum w:abstractNumId="4">
    <w:nsid w:val="D294A4EF"/>
    <w:multiLevelType w:val="singleLevel"/>
    <w:tmpl w:val="D294A4EF"/>
    <w:lvl w:ilvl="0" w:tentative="0">
      <w:start w:val="1"/>
      <w:numFmt w:val="lowerLetter"/>
      <w:suff w:val="nothing"/>
      <w:lvlText w:val="%1、"/>
      <w:lvlJc w:val="left"/>
    </w:lvl>
  </w:abstractNum>
  <w:abstractNum w:abstractNumId="5">
    <w:nsid w:val="E7D4C43F"/>
    <w:multiLevelType w:val="singleLevel"/>
    <w:tmpl w:val="E7D4C43F"/>
    <w:lvl w:ilvl="0" w:tentative="0">
      <w:start w:val="1"/>
      <w:numFmt w:val="decimal"/>
      <w:suff w:val="nothing"/>
      <w:lvlText w:val="%1、"/>
      <w:lvlJc w:val="left"/>
    </w:lvl>
  </w:abstractNum>
  <w:abstractNum w:abstractNumId="6">
    <w:nsid w:val="E8633163"/>
    <w:multiLevelType w:val="singleLevel"/>
    <w:tmpl w:val="E8633163"/>
    <w:lvl w:ilvl="0" w:tentative="0">
      <w:start w:val="1"/>
      <w:numFmt w:val="decimal"/>
      <w:suff w:val="nothing"/>
      <w:lvlText w:val="%1、"/>
      <w:lvlJc w:val="left"/>
    </w:lvl>
  </w:abstractNum>
  <w:abstractNum w:abstractNumId="7">
    <w:nsid w:val="EF9BD376"/>
    <w:multiLevelType w:val="singleLevel"/>
    <w:tmpl w:val="EF9BD376"/>
    <w:lvl w:ilvl="0" w:tentative="0">
      <w:start w:val="1"/>
      <w:numFmt w:val="decimal"/>
      <w:suff w:val="nothing"/>
      <w:lvlText w:val="（%1、"/>
      <w:lvlJc w:val="left"/>
    </w:lvl>
  </w:abstractNum>
  <w:abstractNum w:abstractNumId="8">
    <w:nsid w:val="F26BEA2A"/>
    <w:multiLevelType w:val="singleLevel"/>
    <w:tmpl w:val="F26BEA2A"/>
    <w:lvl w:ilvl="0" w:tentative="0">
      <w:start w:val="1"/>
      <w:numFmt w:val="lowerLetter"/>
      <w:suff w:val="nothing"/>
      <w:lvlText w:val="%1、"/>
      <w:lvlJc w:val="left"/>
    </w:lvl>
  </w:abstractNum>
  <w:abstractNum w:abstractNumId="9">
    <w:nsid w:val="11C62A35"/>
    <w:multiLevelType w:val="singleLevel"/>
    <w:tmpl w:val="11C62A35"/>
    <w:lvl w:ilvl="0" w:tentative="0">
      <w:start w:val="1"/>
      <w:numFmt w:val="decimal"/>
      <w:suff w:val="nothing"/>
      <w:lvlText w:val="%1、"/>
      <w:lvlJc w:val="left"/>
    </w:lvl>
  </w:abstractNum>
  <w:abstractNum w:abstractNumId="10">
    <w:nsid w:val="17DCA8D9"/>
    <w:multiLevelType w:val="singleLevel"/>
    <w:tmpl w:val="17DCA8D9"/>
    <w:lvl w:ilvl="0" w:tentative="0">
      <w:start w:val="1"/>
      <w:numFmt w:val="decimal"/>
      <w:suff w:val="nothing"/>
      <w:lvlText w:val="（%1、"/>
      <w:lvlJc w:val="left"/>
    </w:lvl>
  </w:abstractNum>
  <w:abstractNum w:abstractNumId="11">
    <w:nsid w:val="1A4C9D5E"/>
    <w:multiLevelType w:val="singleLevel"/>
    <w:tmpl w:val="1A4C9D5E"/>
    <w:lvl w:ilvl="0" w:tentative="0">
      <w:start w:val="1"/>
      <w:numFmt w:val="chineseCounting"/>
      <w:suff w:val="nothing"/>
      <w:lvlText w:val="（%1）"/>
      <w:lvlJc w:val="left"/>
      <w:rPr>
        <w:rFonts w:hint="eastAsia"/>
      </w:rPr>
    </w:lvl>
  </w:abstractNum>
  <w:abstractNum w:abstractNumId="12">
    <w:nsid w:val="2C9AD53B"/>
    <w:multiLevelType w:val="singleLevel"/>
    <w:tmpl w:val="2C9AD53B"/>
    <w:lvl w:ilvl="0" w:tentative="0">
      <w:start w:val="1"/>
      <w:numFmt w:val="decimal"/>
      <w:suff w:val="nothing"/>
      <w:lvlText w:val="%1、"/>
      <w:lvlJc w:val="left"/>
    </w:lvl>
  </w:abstractNum>
  <w:abstractNum w:abstractNumId="13">
    <w:nsid w:val="3ECD5C86"/>
    <w:multiLevelType w:val="singleLevel"/>
    <w:tmpl w:val="3ECD5C86"/>
    <w:lvl w:ilvl="0" w:tentative="0">
      <w:start w:val="1"/>
      <w:numFmt w:val="lowerLetter"/>
      <w:suff w:val="nothing"/>
      <w:lvlText w:val="%1、"/>
      <w:lvlJc w:val="left"/>
    </w:lvl>
  </w:abstractNum>
  <w:abstractNum w:abstractNumId="14">
    <w:nsid w:val="49CDDD5C"/>
    <w:multiLevelType w:val="singleLevel"/>
    <w:tmpl w:val="49CDDD5C"/>
    <w:lvl w:ilvl="0" w:tentative="0">
      <w:start w:val="2"/>
      <w:numFmt w:val="chineseCounting"/>
      <w:suff w:val="nothing"/>
      <w:lvlText w:val="%1、"/>
      <w:lvlJc w:val="left"/>
      <w:rPr>
        <w:rFonts w:hint="eastAsia"/>
      </w:rPr>
    </w:lvl>
  </w:abstractNum>
  <w:num w:numId="1">
    <w:abstractNumId w:val="2"/>
  </w:num>
  <w:num w:numId="2">
    <w:abstractNumId w:val="9"/>
  </w:num>
  <w:num w:numId="3">
    <w:abstractNumId w:val="10"/>
  </w:num>
  <w:num w:numId="4">
    <w:abstractNumId w:val="4"/>
  </w:num>
  <w:num w:numId="5">
    <w:abstractNumId w:val="8"/>
  </w:num>
  <w:num w:numId="6">
    <w:abstractNumId w:val="3"/>
  </w:num>
  <w:num w:numId="7">
    <w:abstractNumId w:val="1"/>
  </w:num>
  <w:num w:numId="8">
    <w:abstractNumId w:val="13"/>
  </w:num>
  <w:num w:numId="9">
    <w:abstractNumId w:val="7"/>
  </w:num>
  <w:num w:numId="10">
    <w:abstractNumId w:val="11"/>
  </w:num>
  <w:num w:numId="11">
    <w:abstractNumId w:val="5"/>
  </w:num>
  <w:num w:numId="12">
    <w:abstractNumId w:val="12"/>
  </w:num>
  <w:num w:numId="13">
    <w:abstractNumId w:val="0"/>
  </w:num>
  <w:num w:numId="14">
    <w:abstractNumId w:val="6"/>
  </w:num>
  <w:num w:numId="1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doNotTrackMoves/>
  <w:documentProtection w:enforcement="0"/>
  <w:defaultTabStop w:val="720"/>
  <w:displayHorizontalDrawingGridEvery w:val="1"/>
  <w:displayVerticalDrawingGridEvery w:val="1"/>
  <w:noPunctuationKerning w:val="1"/>
  <w:characterSpacingControl w:val="doNotCompress"/>
  <w:noLineBreaksAfter w:lang="zh-CN" w:val="$([{£¥·‘“〈《「『【〔〖〝﹙﹛﹝＄（．［｛￡￥"/>
  <w:noLineBreaksBefore w:lang="zh-CN" w:val="!%),.:;&gt;?]}¢¨°·ˇˉ―‖’”…‰′″›℃∶、。〃〉》」』】〕〗〞︶︺︾﹀﹄﹚﹜﹞！＂％＇），．：；？］｀｜｝～￠"/>
  <w:footnotePr>
    <w:footnote w:id="0"/>
    <w:footnote w:id="1"/>
  </w:footnotePr>
  <w:compat>
    <w:doNotExpandShiftReturn/>
    <w:doNotWrapTextWithPunct/>
    <w:doNotUseEastAsianBreakRules/>
    <w:useFELayout/>
    <w:doNotUseIndentAsNumberingTabStop/>
    <w:useAltKinsokuLineBreakRules/>
    <w:underlineTabInNumLis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VjZDdjODA3ZTQwZjRlZGE2MDgxNWQ3MTU2OTE4ODEifQ=="/>
  </w:docVars>
  <w:rsids>
    <w:rsidRoot w:val="00D31D50"/>
    <w:rsid w:val="00010AED"/>
    <w:rsid w:val="00011499"/>
    <w:rsid w:val="000229A6"/>
    <w:rsid w:val="00026BBD"/>
    <w:rsid w:val="00075A44"/>
    <w:rsid w:val="000812DF"/>
    <w:rsid w:val="0008390D"/>
    <w:rsid w:val="00093C85"/>
    <w:rsid w:val="000B2ACE"/>
    <w:rsid w:val="000E1E4D"/>
    <w:rsid w:val="000F12B0"/>
    <w:rsid w:val="00102CB8"/>
    <w:rsid w:val="00123965"/>
    <w:rsid w:val="0013663E"/>
    <w:rsid w:val="001649A7"/>
    <w:rsid w:val="0022487A"/>
    <w:rsid w:val="00251B29"/>
    <w:rsid w:val="002641B2"/>
    <w:rsid w:val="002661EE"/>
    <w:rsid w:val="00275EC6"/>
    <w:rsid w:val="00284081"/>
    <w:rsid w:val="0028576A"/>
    <w:rsid w:val="00287FFE"/>
    <w:rsid w:val="002A5B60"/>
    <w:rsid w:val="002B725B"/>
    <w:rsid w:val="0031291B"/>
    <w:rsid w:val="00323B43"/>
    <w:rsid w:val="00324252"/>
    <w:rsid w:val="00330CE7"/>
    <w:rsid w:val="00340658"/>
    <w:rsid w:val="00361D13"/>
    <w:rsid w:val="003660CB"/>
    <w:rsid w:val="0037396B"/>
    <w:rsid w:val="003749DD"/>
    <w:rsid w:val="00395801"/>
    <w:rsid w:val="003D37D8"/>
    <w:rsid w:val="003F285C"/>
    <w:rsid w:val="003F6405"/>
    <w:rsid w:val="00405813"/>
    <w:rsid w:val="00417E57"/>
    <w:rsid w:val="004229A0"/>
    <w:rsid w:val="00426133"/>
    <w:rsid w:val="004358AB"/>
    <w:rsid w:val="00482353"/>
    <w:rsid w:val="004914DE"/>
    <w:rsid w:val="004C2A76"/>
    <w:rsid w:val="004D7670"/>
    <w:rsid w:val="004E469A"/>
    <w:rsid w:val="004E6049"/>
    <w:rsid w:val="0051572C"/>
    <w:rsid w:val="00522E85"/>
    <w:rsid w:val="005238FC"/>
    <w:rsid w:val="00535312"/>
    <w:rsid w:val="00591575"/>
    <w:rsid w:val="005964A7"/>
    <w:rsid w:val="005B0D17"/>
    <w:rsid w:val="005B6B44"/>
    <w:rsid w:val="005F0C40"/>
    <w:rsid w:val="005F331C"/>
    <w:rsid w:val="00634EE7"/>
    <w:rsid w:val="00653AB7"/>
    <w:rsid w:val="006547F6"/>
    <w:rsid w:val="006553F1"/>
    <w:rsid w:val="006837F4"/>
    <w:rsid w:val="006A1D9B"/>
    <w:rsid w:val="006E5C04"/>
    <w:rsid w:val="006E7443"/>
    <w:rsid w:val="006F0ACA"/>
    <w:rsid w:val="006F1350"/>
    <w:rsid w:val="007320A8"/>
    <w:rsid w:val="00772E89"/>
    <w:rsid w:val="00785B4C"/>
    <w:rsid w:val="007A2AF9"/>
    <w:rsid w:val="007B40D0"/>
    <w:rsid w:val="007B7F1A"/>
    <w:rsid w:val="007D0DBA"/>
    <w:rsid w:val="007D23F2"/>
    <w:rsid w:val="007E7391"/>
    <w:rsid w:val="0081077F"/>
    <w:rsid w:val="00834C8D"/>
    <w:rsid w:val="00850D69"/>
    <w:rsid w:val="00874B56"/>
    <w:rsid w:val="0089571C"/>
    <w:rsid w:val="008B2572"/>
    <w:rsid w:val="008B7726"/>
    <w:rsid w:val="008D6E09"/>
    <w:rsid w:val="008F7FA5"/>
    <w:rsid w:val="00916820"/>
    <w:rsid w:val="00920004"/>
    <w:rsid w:val="00941FF1"/>
    <w:rsid w:val="0095743E"/>
    <w:rsid w:val="00977F0A"/>
    <w:rsid w:val="00990035"/>
    <w:rsid w:val="009930AE"/>
    <w:rsid w:val="009A0A73"/>
    <w:rsid w:val="009A7DC1"/>
    <w:rsid w:val="009F2B7B"/>
    <w:rsid w:val="009F6C9A"/>
    <w:rsid w:val="00A03C67"/>
    <w:rsid w:val="00A07274"/>
    <w:rsid w:val="00A10C31"/>
    <w:rsid w:val="00A15087"/>
    <w:rsid w:val="00A314CC"/>
    <w:rsid w:val="00A45AD3"/>
    <w:rsid w:val="00A47476"/>
    <w:rsid w:val="00A50EFD"/>
    <w:rsid w:val="00A734F0"/>
    <w:rsid w:val="00A74197"/>
    <w:rsid w:val="00A809CA"/>
    <w:rsid w:val="00A95AED"/>
    <w:rsid w:val="00AC0BF1"/>
    <w:rsid w:val="00AD0A96"/>
    <w:rsid w:val="00AD3894"/>
    <w:rsid w:val="00AE129B"/>
    <w:rsid w:val="00B01CFD"/>
    <w:rsid w:val="00B12862"/>
    <w:rsid w:val="00B22983"/>
    <w:rsid w:val="00B2427B"/>
    <w:rsid w:val="00B43AF0"/>
    <w:rsid w:val="00B44D10"/>
    <w:rsid w:val="00B65C92"/>
    <w:rsid w:val="00BB3120"/>
    <w:rsid w:val="00BE5688"/>
    <w:rsid w:val="00C462E9"/>
    <w:rsid w:val="00C50414"/>
    <w:rsid w:val="00C50BF9"/>
    <w:rsid w:val="00C914A9"/>
    <w:rsid w:val="00C962C9"/>
    <w:rsid w:val="00CA3651"/>
    <w:rsid w:val="00CA68EF"/>
    <w:rsid w:val="00CA7D7B"/>
    <w:rsid w:val="00CC2D4C"/>
    <w:rsid w:val="00CD3464"/>
    <w:rsid w:val="00D07257"/>
    <w:rsid w:val="00D261A9"/>
    <w:rsid w:val="00D31D50"/>
    <w:rsid w:val="00DA482E"/>
    <w:rsid w:val="00DB16F4"/>
    <w:rsid w:val="00DD171B"/>
    <w:rsid w:val="00DE12D9"/>
    <w:rsid w:val="00DF2445"/>
    <w:rsid w:val="00E5759B"/>
    <w:rsid w:val="00E63817"/>
    <w:rsid w:val="00E64E88"/>
    <w:rsid w:val="00E725F0"/>
    <w:rsid w:val="00E74D28"/>
    <w:rsid w:val="00EA08FB"/>
    <w:rsid w:val="00ED186D"/>
    <w:rsid w:val="00EE3A4A"/>
    <w:rsid w:val="00F7255C"/>
    <w:rsid w:val="00F73C36"/>
    <w:rsid w:val="00FB2FFD"/>
    <w:rsid w:val="00FC71CE"/>
    <w:rsid w:val="00FC783B"/>
    <w:rsid w:val="00FD150B"/>
    <w:rsid w:val="00FD3CB2"/>
    <w:rsid w:val="00FD7434"/>
    <w:rsid w:val="00FF60A3"/>
    <w:rsid w:val="010F450E"/>
    <w:rsid w:val="017B1FAC"/>
    <w:rsid w:val="01F93C3C"/>
    <w:rsid w:val="037B54AB"/>
    <w:rsid w:val="051C7099"/>
    <w:rsid w:val="084429A8"/>
    <w:rsid w:val="0DDC02D7"/>
    <w:rsid w:val="1165691C"/>
    <w:rsid w:val="18290CA4"/>
    <w:rsid w:val="19646832"/>
    <w:rsid w:val="1A44727C"/>
    <w:rsid w:val="1F2F5FBC"/>
    <w:rsid w:val="270D2F8E"/>
    <w:rsid w:val="29CF2CA9"/>
    <w:rsid w:val="2A9546D4"/>
    <w:rsid w:val="2CF5520C"/>
    <w:rsid w:val="2E89606B"/>
    <w:rsid w:val="33B60688"/>
    <w:rsid w:val="39326AAB"/>
    <w:rsid w:val="3AF32B12"/>
    <w:rsid w:val="41CD0F9A"/>
    <w:rsid w:val="44B621F6"/>
    <w:rsid w:val="44E5741C"/>
    <w:rsid w:val="49CB6F9C"/>
    <w:rsid w:val="4A9401EE"/>
    <w:rsid w:val="4C8D731A"/>
    <w:rsid w:val="4E5C3347"/>
    <w:rsid w:val="51EF5509"/>
    <w:rsid w:val="59747B68"/>
    <w:rsid w:val="5B822BA5"/>
    <w:rsid w:val="5BD438E7"/>
    <w:rsid w:val="5D5960BF"/>
    <w:rsid w:val="5DDA09D2"/>
    <w:rsid w:val="5E637A61"/>
    <w:rsid w:val="62D4365B"/>
    <w:rsid w:val="62DA246D"/>
    <w:rsid w:val="6720446F"/>
    <w:rsid w:val="6B403570"/>
    <w:rsid w:val="729710CF"/>
    <w:rsid w:val="745443C6"/>
    <w:rsid w:val="76CD4AA7"/>
    <w:rsid w:val="7E4D0EE0"/>
    <w:rsid w:val="7E6530C2"/>
    <w:rsid w:val="7E922DF8"/>
  </w:rsids>
  <m:mathPr>
    <m:mathFont m:val="Cambria Math"/>
    <m:brkBin m:val="before"/>
    <m:brkBinSub m:val="--"/>
    <m:smallFrac m:val="1"/>
    <m:dispDef/>
    <m:lMargin m:val="0"/>
    <m:rMargin m:val="0"/>
    <m:defJc m:val="centerGroup"/>
    <m:wrapIndent m:val="1440"/>
    <m:intLim m:val="subSup"/>
    <m:naryLim m:val="undOvr"/>
  </m:mathPr>
  <w:doNotAutoCompressPictures/>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iPriority="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uiPriority="99" w:name="Normal Indent"/>
    <w:lsdException w:uiPriority="99" w:name="footnote text"/>
    <w:lsdException w:uiPriority="99" w:name="annotation text"/>
    <w:lsdException w:qFormat="1" w:unhideWhenUsed="0" w:uiPriority="99" w:name="header"/>
    <w:lsdException w:qFormat="1" w:unhideWhenUsed="0" w:uiPriority="99" w:name="footer"/>
    <w:lsdException w:uiPriority="99" w:name="index heading"/>
    <w:lsdException w:qFormat="1" w:uiPriority="0" w:name="caption" w:locked="1"/>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99"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0" w:semiHidden="0" w:name="Strong" w:locked="1"/>
    <w:lsdException w:qFormat="1" w:unhideWhenUsed="0" w:uiPriority="0" w:semiHidden="0" w:name="Emphasis" w:locked="1"/>
    <w:lsdException w:uiPriority="99" w:name="Document Map"/>
    <w:lsdException w:qFormat="1" w:unhideWhenUsed="0"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0" w:semiHidden="0" w:name="Table Grid" w:locked="1"/>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adjustRightInd w:val="0"/>
      <w:snapToGrid w:val="0"/>
      <w:spacing w:after="200"/>
    </w:pPr>
    <w:rPr>
      <w:rFonts w:ascii="Tahoma" w:hAnsi="Tahoma" w:eastAsia="微软雅黑" w:cs="Times New Roman"/>
      <w:sz w:val="22"/>
      <w:szCs w:val="22"/>
      <w:lang w:val="en-US" w:eastAsia="zh-CN" w:bidi="ar-SA"/>
    </w:rPr>
  </w:style>
  <w:style w:type="character" w:default="1" w:styleId="8">
    <w:name w:val="Default Paragraph Font"/>
    <w:semiHidden/>
    <w:unhideWhenUsed/>
    <w:qFormat/>
    <w:uiPriority w:val="1"/>
  </w:style>
  <w:style w:type="table" w:default="1" w:styleId="6">
    <w:name w:val="Normal Table"/>
    <w:semiHidden/>
    <w:unhideWhenUsed/>
    <w:qFormat/>
    <w:uiPriority w:val="99"/>
    <w:tblPr>
      <w:tblCellMar>
        <w:top w:w="0" w:type="dxa"/>
        <w:left w:w="108" w:type="dxa"/>
        <w:bottom w:w="0" w:type="dxa"/>
        <w:right w:w="108" w:type="dxa"/>
      </w:tblCellMar>
    </w:tblPr>
  </w:style>
  <w:style w:type="paragraph" w:styleId="2">
    <w:name w:val="Plain Text"/>
    <w:basedOn w:val="1"/>
    <w:link w:val="10"/>
    <w:semiHidden/>
    <w:qFormat/>
    <w:uiPriority w:val="99"/>
    <w:pPr>
      <w:widowControl w:val="0"/>
      <w:adjustRightInd/>
      <w:snapToGrid/>
      <w:spacing w:after="0"/>
      <w:jc w:val="both"/>
    </w:pPr>
    <w:rPr>
      <w:rFonts w:ascii="宋体" w:hAnsi="Courier New" w:eastAsia="宋体"/>
      <w:kern w:val="2"/>
      <w:sz w:val="21"/>
      <w:szCs w:val="21"/>
    </w:rPr>
  </w:style>
  <w:style w:type="paragraph" w:styleId="3">
    <w:name w:val="Balloon Text"/>
    <w:basedOn w:val="1"/>
    <w:link w:val="16"/>
    <w:semiHidden/>
    <w:unhideWhenUsed/>
    <w:qFormat/>
    <w:uiPriority w:val="99"/>
    <w:pPr>
      <w:spacing w:after="0"/>
    </w:pPr>
    <w:rPr>
      <w:sz w:val="18"/>
      <w:szCs w:val="18"/>
    </w:rPr>
  </w:style>
  <w:style w:type="paragraph" w:styleId="4">
    <w:name w:val="footer"/>
    <w:basedOn w:val="1"/>
    <w:link w:val="11"/>
    <w:semiHidden/>
    <w:qFormat/>
    <w:uiPriority w:val="99"/>
    <w:pPr>
      <w:tabs>
        <w:tab w:val="center" w:pos="4153"/>
        <w:tab w:val="right" w:pos="8306"/>
      </w:tabs>
    </w:pPr>
    <w:rPr>
      <w:sz w:val="18"/>
      <w:szCs w:val="18"/>
    </w:rPr>
  </w:style>
  <w:style w:type="paragraph" w:styleId="5">
    <w:name w:val="header"/>
    <w:basedOn w:val="1"/>
    <w:link w:val="12"/>
    <w:semiHidden/>
    <w:qFormat/>
    <w:uiPriority w:val="99"/>
    <w:pPr>
      <w:pBdr>
        <w:bottom w:val="single" w:color="auto" w:sz="6" w:space="1"/>
      </w:pBdr>
      <w:tabs>
        <w:tab w:val="center" w:pos="4153"/>
        <w:tab w:val="right" w:pos="8306"/>
      </w:tabs>
      <w:jc w:val="center"/>
    </w:pPr>
    <w:rPr>
      <w:sz w:val="18"/>
      <w:szCs w:val="18"/>
    </w:rPr>
  </w:style>
  <w:style w:type="table" w:styleId="7">
    <w:name w:val="Table Grid"/>
    <w:basedOn w:val="6"/>
    <w:qFormat/>
    <w:locked/>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9">
    <w:name w:val="page number"/>
    <w:basedOn w:val="8"/>
    <w:qFormat/>
    <w:uiPriority w:val="99"/>
    <w:rPr>
      <w:rFonts w:cs="Times New Roman"/>
    </w:rPr>
  </w:style>
  <w:style w:type="character" w:customStyle="1" w:styleId="10">
    <w:name w:val="纯文本 Char"/>
    <w:basedOn w:val="8"/>
    <w:link w:val="2"/>
    <w:semiHidden/>
    <w:qFormat/>
    <w:locked/>
    <w:uiPriority w:val="99"/>
    <w:rPr>
      <w:rFonts w:ascii="宋体" w:hAnsi="Courier New" w:eastAsia="宋体" w:cs="Times New Roman"/>
      <w:kern w:val="2"/>
      <w:sz w:val="21"/>
      <w:szCs w:val="21"/>
    </w:rPr>
  </w:style>
  <w:style w:type="character" w:customStyle="1" w:styleId="11">
    <w:name w:val="页脚 Char"/>
    <w:basedOn w:val="8"/>
    <w:link w:val="4"/>
    <w:semiHidden/>
    <w:qFormat/>
    <w:locked/>
    <w:uiPriority w:val="99"/>
    <w:rPr>
      <w:rFonts w:ascii="Tahoma" w:hAnsi="Tahoma" w:cs="Times New Roman"/>
      <w:sz w:val="18"/>
      <w:szCs w:val="18"/>
    </w:rPr>
  </w:style>
  <w:style w:type="character" w:customStyle="1" w:styleId="12">
    <w:name w:val="页眉 Char"/>
    <w:basedOn w:val="8"/>
    <w:link w:val="5"/>
    <w:semiHidden/>
    <w:qFormat/>
    <w:locked/>
    <w:uiPriority w:val="99"/>
    <w:rPr>
      <w:rFonts w:ascii="Tahoma" w:hAnsi="Tahoma" w:cs="Times New Roman"/>
      <w:sz w:val="18"/>
      <w:szCs w:val="18"/>
    </w:rPr>
  </w:style>
  <w:style w:type="paragraph" w:customStyle="1" w:styleId="13">
    <w:name w:val="默认段落字体 Para Char Char Char1 Char Char Char Char Char Char Char Char Char Char"/>
    <w:basedOn w:val="1"/>
    <w:qFormat/>
    <w:uiPriority w:val="99"/>
    <w:pPr>
      <w:widowControl w:val="0"/>
      <w:adjustRightInd/>
      <w:snapToGrid/>
      <w:spacing w:after="0"/>
      <w:jc w:val="both"/>
    </w:pPr>
    <w:rPr>
      <w:rFonts w:ascii="Times New Roman" w:hAnsi="Times New Roman" w:eastAsia="宋体"/>
      <w:kern w:val="2"/>
      <w:sz w:val="21"/>
      <w:szCs w:val="20"/>
    </w:rPr>
  </w:style>
  <w:style w:type="character" w:customStyle="1" w:styleId="14">
    <w:name w:val="新正文 Char1"/>
    <w:basedOn w:val="8"/>
    <w:link w:val="15"/>
    <w:qFormat/>
    <w:locked/>
    <w:uiPriority w:val="99"/>
    <w:rPr>
      <w:rFonts w:ascii="仿宋_GB2312" w:eastAsia="仿宋_GB2312" w:cs="Times New Roman"/>
      <w:bCs/>
      <w:kern w:val="2"/>
      <w:sz w:val="24"/>
      <w:szCs w:val="24"/>
      <w:lang w:bidi="ar-SA"/>
    </w:rPr>
  </w:style>
  <w:style w:type="paragraph" w:customStyle="1" w:styleId="15">
    <w:name w:val="新正文"/>
    <w:basedOn w:val="1"/>
    <w:link w:val="14"/>
    <w:qFormat/>
    <w:uiPriority w:val="99"/>
    <w:pPr>
      <w:widowControl w:val="0"/>
      <w:adjustRightInd/>
      <w:snapToGrid/>
      <w:spacing w:after="0" w:line="480" w:lineRule="exact"/>
      <w:ind w:firstLine="567"/>
      <w:jc w:val="both"/>
    </w:pPr>
    <w:rPr>
      <w:rFonts w:ascii="仿宋_GB2312" w:hAnsi="Times New Roman" w:eastAsia="仿宋_GB2312"/>
      <w:bCs/>
      <w:kern w:val="2"/>
      <w:sz w:val="28"/>
      <w:szCs w:val="24"/>
    </w:rPr>
  </w:style>
  <w:style w:type="character" w:customStyle="1" w:styleId="16">
    <w:name w:val="批注框文本 Char"/>
    <w:basedOn w:val="8"/>
    <w:link w:val="3"/>
    <w:semiHidden/>
    <w:qFormat/>
    <w:uiPriority w:val="99"/>
    <w:rPr>
      <w:rFonts w:ascii="Tahoma" w:hAnsi="Tahoma" w:eastAsia="微软雅黑"/>
      <w:sz w:val="18"/>
      <w:szCs w:val="18"/>
    </w:rPr>
  </w:style>
  <w:style w:type="paragraph" w:styleId="17">
    <w:name w:val="List Paragraph"/>
    <w:basedOn w:val="1"/>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customXml" Target="../customXml/item1.xml"/><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emf"/><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footnotes" Target="footnotes.xml"/><Relationship Id="rId2" Type="http://schemas.openxmlformats.org/officeDocument/2006/relationships/settings" Target="settings.xml"/><Relationship Id="rId11" Type="http://schemas.openxmlformats.org/officeDocument/2006/relationships/fontTable" Target="fontTable.xml"/><Relationship Id="rId10" Type="http://schemas.openxmlformats.org/officeDocument/2006/relationships/numbering" Target="numbering.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32</Pages>
  <Words>11062</Words>
  <Characters>11704</Characters>
  <Lines>36</Lines>
  <Paragraphs>10</Paragraphs>
  <TotalTime>9</TotalTime>
  <ScaleCrop>false</ScaleCrop>
  <LinksUpToDate>false</LinksUpToDate>
  <CharactersWithSpaces>12118</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2008-09-11T17:20:00Z</dcterms:created>
  <dc:creator>张润华</dc:creator>
  <cp:lastModifiedBy>烨</cp:lastModifiedBy>
  <cp:lastPrinted>2016-10-10T00:41:00Z</cp:lastPrinted>
  <dcterms:modified xsi:type="dcterms:W3CDTF">2025-07-21T06:50:34Z</dcterms:modified>
  <cp:revision>49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D927273A286E4DD49FFCE50EEDA8FD1B</vt:lpwstr>
  </property>
  <property fmtid="{D5CDD505-2E9C-101B-9397-08002B2CF9AE}" pid="4" name="KSOTemplateDocerSaveRecord">
    <vt:lpwstr>eyJoZGlkIjoiZjhmZDViYmJhNjUzZDZlOWQxZGI0NDQ2NjQwMGU4ZmQiLCJ1c2VySWQiOiI3NDc5OTMxNTcifQ==</vt:lpwstr>
  </property>
</Properties>
</file>