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DC1F">
      <w:pPr>
        <w:jc w:val="center"/>
        <w:rPr>
          <w:rFonts w:ascii="Times New Roman" w:hAnsi="Times New Roman" w:eastAsia="黑体"/>
          <w:sz w:val="52"/>
        </w:rPr>
      </w:pPr>
    </w:p>
    <w:p w14:paraId="541892AE">
      <w:pPr>
        <w:jc w:val="center"/>
        <w:rPr>
          <w:rFonts w:ascii="Times New Roman" w:hAnsi="Times New Roman" w:eastAsia="黑体"/>
          <w:sz w:val="52"/>
        </w:rPr>
      </w:pPr>
    </w:p>
    <w:p w14:paraId="2FBB5A1C"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 w14:paraId="3004C605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江苏省固体（危险）废物</w:t>
      </w:r>
    </w:p>
    <w:p w14:paraId="566FA7EB"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跨省（市）转移实施方案</w:t>
      </w:r>
    </w:p>
    <w:p w14:paraId="01D15E0A">
      <w:pPr>
        <w:jc w:val="center"/>
        <w:rPr>
          <w:rFonts w:asciiTheme="majorEastAsia" w:hAnsiTheme="majorEastAsia" w:eastAsiaTheme="majorEastAsia"/>
          <w:sz w:val="52"/>
        </w:rPr>
      </w:pPr>
    </w:p>
    <w:p w14:paraId="5AD5CC9B">
      <w:pPr>
        <w:jc w:val="center"/>
        <w:rPr>
          <w:rFonts w:asciiTheme="majorEastAsia" w:hAnsiTheme="majorEastAsia" w:eastAsiaTheme="majorEastAsia"/>
          <w:sz w:val="52"/>
        </w:rPr>
      </w:pPr>
    </w:p>
    <w:p w14:paraId="7F30861F">
      <w:pPr>
        <w:jc w:val="center"/>
        <w:rPr>
          <w:rFonts w:asciiTheme="majorEastAsia" w:hAnsiTheme="majorEastAsia" w:eastAsiaTheme="majorEastAsia"/>
        </w:rPr>
      </w:pPr>
    </w:p>
    <w:p w14:paraId="57B5D5AE">
      <w:pPr>
        <w:rPr>
          <w:rFonts w:asciiTheme="majorEastAsia" w:hAnsiTheme="majorEastAsia" w:eastAsiaTheme="majorEastAsia"/>
        </w:rPr>
      </w:pPr>
    </w:p>
    <w:p w14:paraId="765EA23A">
      <w:pPr>
        <w:rPr>
          <w:rFonts w:asciiTheme="majorEastAsia" w:hAnsiTheme="majorEastAsia" w:eastAsiaTheme="majorEastAsia"/>
        </w:rPr>
      </w:pPr>
    </w:p>
    <w:p w14:paraId="675C5FBE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25D0B395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282E67EB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629D40FD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1B8CA26C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</w:p>
    <w:p w14:paraId="52F0DDDD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申请单位：</w:t>
      </w:r>
      <w:r>
        <w:rPr>
          <w:rFonts w:hint="eastAsia" w:asciiTheme="majorEastAsia" w:hAnsiTheme="majorEastAsia" w:eastAsiaTheme="majorEastAsia"/>
          <w:b/>
          <w:sz w:val="32"/>
          <w:u w:val="single"/>
        </w:rPr>
        <w:t xml:space="preserve">  常州市天天制冷设备有限公司</w:t>
      </w:r>
      <w:r>
        <w:rPr>
          <w:rFonts w:hint="eastAsia" w:asciiTheme="majorEastAsia" w:hAnsiTheme="majorEastAsia" w:eastAsiaTheme="majorEastAsia"/>
          <w:b/>
          <w:sz w:val="32"/>
        </w:rPr>
        <w:t>（公章）</w:t>
      </w:r>
    </w:p>
    <w:p w14:paraId="1764597A">
      <w:pPr>
        <w:tabs>
          <w:tab w:val="left" w:pos="5940"/>
        </w:tabs>
        <w:rPr>
          <w:rFonts w:asciiTheme="majorEastAsia" w:hAnsiTheme="majorEastAsia" w:eastAsiaTheme="majorEastAsia"/>
          <w:b/>
          <w:sz w:val="32"/>
        </w:rPr>
      </w:pPr>
    </w:p>
    <w:p w14:paraId="47C917AD">
      <w:pPr>
        <w:tabs>
          <w:tab w:val="left" w:pos="5940"/>
        </w:tabs>
        <w:rPr>
          <w:rFonts w:asciiTheme="majorEastAsia" w:hAnsiTheme="majorEastAsia" w:eastAsiaTheme="majorEastAsia"/>
          <w:b/>
          <w:sz w:val="32"/>
        </w:rPr>
      </w:pPr>
    </w:p>
    <w:p w14:paraId="6A3FC098">
      <w:pPr>
        <w:pStyle w:val="2"/>
        <w:tabs>
          <w:tab w:val="left" w:pos="5940"/>
        </w:tabs>
        <w:snapToGrid w:val="0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填报日期：</w:t>
      </w:r>
      <w:r>
        <w:rPr>
          <w:rFonts w:asciiTheme="majorEastAsia" w:hAnsiTheme="majorEastAsia" w:eastAsiaTheme="majorEastAsia"/>
          <w:b/>
          <w:sz w:val="32"/>
        </w:rPr>
        <w:t xml:space="preserve">  20</w:t>
      </w:r>
      <w:r>
        <w:rPr>
          <w:rFonts w:hint="eastAsia" w:asciiTheme="majorEastAsia" w:hAnsiTheme="majorEastAsia" w:eastAsiaTheme="majorEastAsia"/>
          <w:b/>
          <w:sz w:val="32"/>
        </w:rPr>
        <w:t>22年10月20日</w:t>
      </w:r>
    </w:p>
    <w:p w14:paraId="3A07466E">
      <w:pPr>
        <w:tabs>
          <w:tab w:val="left" w:pos="5940"/>
        </w:tabs>
        <w:spacing w:line="400" w:lineRule="exact"/>
        <w:rPr>
          <w:rFonts w:asciiTheme="majorEastAsia" w:hAnsiTheme="majorEastAsia" w:eastAsiaTheme="majorEastAsia"/>
          <w:b/>
          <w:sz w:val="24"/>
        </w:rPr>
      </w:pPr>
    </w:p>
    <w:p w14:paraId="3653B2B3">
      <w:pPr>
        <w:tabs>
          <w:tab w:val="left" w:pos="5940"/>
        </w:tabs>
        <w:spacing w:line="400" w:lineRule="exact"/>
        <w:jc w:val="center"/>
        <w:rPr>
          <w:rFonts w:asciiTheme="majorEastAsia" w:hAnsiTheme="majorEastAsia" w:eastAsiaTheme="majorEastAsia"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286" w:charSpace="0"/>
        </w:sectPr>
      </w:pPr>
      <w:r>
        <w:rPr>
          <w:rFonts w:hint="eastAsia" w:asciiTheme="majorEastAsia" w:hAnsiTheme="majorEastAsia" w:eastAsiaTheme="majorEastAsia"/>
          <w:b/>
          <w:sz w:val="24"/>
        </w:rPr>
        <w:t>江苏省环境保护厅制</w:t>
      </w:r>
    </w:p>
    <w:p w14:paraId="20C351A2">
      <w:pPr>
        <w:ind w:right="-794" w:rightChars="-361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申请者声明</w:t>
      </w:r>
    </w:p>
    <w:p w14:paraId="4A95571C">
      <w:pPr>
        <w:ind w:right="-794" w:rightChars="-361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D44A6D4">
      <w:pPr>
        <w:spacing w:line="360" w:lineRule="auto"/>
        <w:ind w:left="-220" w:leftChars="-100" w:right="-220" w:rightChars="-100"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14:paraId="23BA3C84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172F04B1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05486C68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1857E3ED">
      <w:pPr>
        <w:ind w:left="-220" w:leftChars="-100" w:right="-220" w:rightChars="-100" w:firstLine="1264"/>
        <w:rPr>
          <w:rFonts w:asciiTheme="majorEastAsia" w:hAnsiTheme="majorEastAsia" w:eastAsiaTheme="majorEastAsia"/>
          <w:sz w:val="36"/>
          <w:szCs w:val="36"/>
        </w:rPr>
      </w:pPr>
    </w:p>
    <w:p w14:paraId="290B1B6A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法人代表签字：</w:t>
      </w:r>
    </w:p>
    <w:p w14:paraId="1C759882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0D81DC8B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7D89FE0F">
      <w:pPr>
        <w:ind w:left="-220" w:leftChars="-100" w:right="-220" w:rightChars="-100" w:firstLine="1264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asciiTheme="majorEastAsia" w:hAnsiTheme="majorEastAsia" w:eastAsiaTheme="majorEastAsia"/>
          <w:sz w:val="32"/>
          <w:szCs w:val="32"/>
        </w:rPr>
        <w:t xml:space="preserve">  20</w:t>
      </w:r>
      <w:r>
        <w:rPr>
          <w:rFonts w:hint="eastAsia" w:asciiTheme="majorEastAsia" w:hAnsiTheme="majorEastAsia" w:eastAsiaTheme="majorEastAsia"/>
          <w:sz w:val="32"/>
          <w:szCs w:val="32"/>
        </w:rPr>
        <w:t>22年10月20日</w:t>
      </w:r>
    </w:p>
    <w:p w14:paraId="6B41EFCB">
      <w:pPr>
        <w:ind w:left="-220" w:leftChars="-100" w:right="-220" w:rightChars="-100" w:firstLine="1264"/>
        <w:jc w:val="center"/>
        <w:rPr>
          <w:rFonts w:ascii="Times New Roman" w:hAnsi="Times New Roman"/>
          <w:sz w:val="36"/>
          <w:szCs w:val="36"/>
        </w:rPr>
      </w:pPr>
    </w:p>
    <w:p w14:paraId="4FE2A538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60173553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679BC1A9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6C917909">
      <w:pPr>
        <w:ind w:left="-741" w:leftChars="-337" w:right="-794" w:rightChars="-361" w:firstLine="1264"/>
        <w:rPr>
          <w:rFonts w:ascii="Times New Roman" w:hAnsi="Times New Roman"/>
          <w:sz w:val="36"/>
          <w:szCs w:val="36"/>
        </w:rPr>
      </w:pPr>
    </w:p>
    <w:p w14:paraId="256486B9">
      <w:pPr>
        <w:rPr>
          <w:rFonts w:ascii="Times New Roman" w:eastAsia="黑体"/>
          <w:sz w:val="28"/>
          <w:szCs w:val="28"/>
        </w:rPr>
      </w:pPr>
    </w:p>
    <w:p w14:paraId="0A6EF29A">
      <w:pPr>
        <w:rPr>
          <w:rFonts w:ascii="Times New Roman" w:eastAsia="黑体"/>
          <w:sz w:val="28"/>
          <w:szCs w:val="28"/>
        </w:rPr>
      </w:pPr>
    </w:p>
    <w:p w14:paraId="747A2AB0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第一部分：拟转移废物基本情况</w:t>
      </w:r>
    </w:p>
    <w:tbl>
      <w:tblPr>
        <w:tblStyle w:val="7"/>
        <w:tblW w:w="99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91"/>
        <w:gridCol w:w="1803"/>
        <w:gridCol w:w="230"/>
        <w:gridCol w:w="1465"/>
        <w:gridCol w:w="114"/>
        <w:gridCol w:w="2151"/>
        <w:gridCol w:w="346"/>
        <w:gridCol w:w="1994"/>
      </w:tblGrid>
      <w:tr w14:paraId="6D5D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954" w:type="dxa"/>
            <w:gridSpan w:val="9"/>
            <w:vAlign w:val="center"/>
          </w:tcPr>
          <w:p w14:paraId="72985D56"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1 </w:t>
            </w:r>
            <w:r>
              <w:rPr>
                <w:rFonts w:hint="eastAsia" w:ascii="Times New Roman" w:eastAsia="黑体"/>
                <w:sz w:val="24"/>
                <w:szCs w:val="24"/>
              </w:rPr>
              <w:t>废物产生情况</w:t>
            </w:r>
          </w:p>
        </w:tc>
      </w:tr>
      <w:tr w14:paraId="3265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954" w:type="dxa"/>
            <w:gridSpan w:val="9"/>
          </w:tcPr>
          <w:p w14:paraId="4464181B">
            <w:pPr>
              <w:spacing w:line="30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废物产生企业概况（企业投产时间、主要经营范围及规模）</w:t>
            </w:r>
          </w:p>
          <w:p w14:paraId="639E2729">
            <w:pPr>
              <w:spacing w:line="300" w:lineRule="exac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常州市</w:t>
            </w:r>
            <w:r>
              <w:rPr>
                <w:rFonts w:hint="eastAsia" w:ascii="Times New Roman" w:hAnsi="Times New Roman" w:eastAsiaTheme="minorEastAsia"/>
                <w:szCs w:val="21"/>
              </w:rPr>
              <w:t>天天制冷设备</w:t>
            </w:r>
            <w:r>
              <w:rPr>
                <w:rFonts w:hint="eastAsia" w:ascii="Times New Roman" w:hAnsi="Times New Roman"/>
                <w:szCs w:val="21"/>
              </w:rPr>
              <w:t>有限公司成立于</w:t>
            </w:r>
            <w:r>
              <w:rPr>
                <w:rFonts w:hint="eastAsia" w:ascii="Times New Roman" w:hAnsi="Times New Roman" w:eastAsiaTheme="minorEastAsia"/>
                <w:szCs w:val="21"/>
              </w:rPr>
              <w:t>2004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 w:eastAsiaTheme="minorEastAsia"/>
                <w:szCs w:val="21"/>
              </w:rPr>
              <w:t>06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 w:eastAsiaTheme="minorEastAsia"/>
                <w:szCs w:val="21"/>
              </w:rPr>
              <w:t>08</w:t>
            </w:r>
            <w:r>
              <w:rPr>
                <w:rFonts w:hint="eastAsia" w:ascii="Times New Roman" w:hAnsi="Times New Roman"/>
                <w:szCs w:val="21"/>
              </w:rPr>
              <w:t>日，注册资金</w:t>
            </w:r>
            <w:r>
              <w:rPr>
                <w:rFonts w:hint="eastAsia" w:ascii="Times New Roman" w:hAnsi="Times New Roman" w:eastAsiaTheme="minorEastAsia"/>
                <w:szCs w:val="21"/>
              </w:rPr>
              <w:t>218</w:t>
            </w:r>
            <w:r>
              <w:rPr>
                <w:rFonts w:hint="eastAsia" w:ascii="Times New Roman" w:hAnsi="Times New Roman"/>
                <w:szCs w:val="21"/>
              </w:rPr>
              <w:t>万元，该厂主要经营</w:t>
            </w:r>
            <w:r>
              <w:rPr>
                <w:rFonts w:hint="eastAsia" w:ascii="Times New Roman" w:hAnsi="Times New Roman" w:eastAsiaTheme="minorEastAsia"/>
                <w:szCs w:val="21"/>
              </w:rPr>
              <w:t>制冷配件、机械零部件制造、加工和喷涂加工等</w:t>
            </w:r>
          </w:p>
        </w:tc>
      </w:tr>
      <w:tr w14:paraId="6FF1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954" w:type="dxa"/>
            <w:gridSpan w:val="9"/>
            <w:vAlign w:val="center"/>
          </w:tcPr>
          <w:p w14:paraId="41E503B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产品及产废情况</w:t>
            </w:r>
          </w:p>
        </w:tc>
      </w:tr>
      <w:tr w14:paraId="5281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5349" w:type="dxa"/>
            <w:gridSpan w:val="5"/>
            <w:vAlign w:val="center"/>
          </w:tcPr>
          <w:p w14:paraId="42373F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产品情况</w:t>
            </w:r>
          </w:p>
        </w:tc>
        <w:tc>
          <w:tcPr>
            <w:tcW w:w="4605" w:type="dxa"/>
            <w:gridSpan w:val="4"/>
            <w:vAlign w:val="center"/>
          </w:tcPr>
          <w:p w14:paraId="2559DD4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产生危险废物情况</w:t>
            </w:r>
          </w:p>
        </w:tc>
      </w:tr>
      <w:tr w14:paraId="056D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0" w:type="dxa"/>
            <w:vAlign w:val="center"/>
          </w:tcPr>
          <w:p w14:paraId="3B8680A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产品名称</w:t>
            </w:r>
          </w:p>
        </w:tc>
        <w:tc>
          <w:tcPr>
            <w:tcW w:w="2224" w:type="dxa"/>
            <w:gridSpan w:val="3"/>
            <w:vAlign w:val="center"/>
          </w:tcPr>
          <w:p w14:paraId="5E8DA59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主要成分化学名</w:t>
            </w:r>
          </w:p>
        </w:tc>
        <w:tc>
          <w:tcPr>
            <w:tcW w:w="1465" w:type="dxa"/>
            <w:vAlign w:val="center"/>
          </w:tcPr>
          <w:p w14:paraId="009354D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年产量</w:t>
            </w:r>
          </w:p>
        </w:tc>
        <w:tc>
          <w:tcPr>
            <w:tcW w:w="2611" w:type="dxa"/>
            <w:gridSpan w:val="3"/>
            <w:vAlign w:val="center"/>
          </w:tcPr>
          <w:p w14:paraId="1269E7CA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废物名称</w:t>
            </w:r>
          </w:p>
        </w:tc>
        <w:tc>
          <w:tcPr>
            <w:tcW w:w="1994" w:type="dxa"/>
            <w:vAlign w:val="center"/>
          </w:tcPr>
          <w:p w14:paraId="431767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年产生量</w:t>
            </w:r>
          </w:p>
        </w:tc>
      </w:tr>
      <w:tr w14:paraId="082B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</w:tcPr>
          <w:p w14:paraId="178FF47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铜管</w:t>
            </w:r>
          </w:p>
        </w:tc>
        <w:tc>
          <w:tcPr>
            <w:tcW w:w="2224" w:type="dxa"/>
            <w:gridSpan w:val="3"/>
          </w:tcPr>
          <w:p w14:paraId="4DA8C2DA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铜</w:t>
            </w:r>
          </w:p>
        </w:tc>
        <w:tc>
          <w:tcPr>
            <w:tcW w:w="1465" w:type="dxa"/>
          </w:tcPr>
          <w:p w14:paraId="0B3712AC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110吨</w:t>
            </w:r>
          </w:p>
        </w:tc>
        <w:tc>
          <w:tcPr>
            <w:tcW w:w="2611" w:type="dxa"/>
            <w:gridSpan w:val="3"/>
            <w:vMerge w:val="restart"/>
            <w:vAlign w:val="center"/>
          </w:tcPr>
          <w:p w14:paraId="0517837F">
            <w:pPr>
              <w:spacing w:line="240" w:lineRule="atLeast"/>
              <w:jc w:val="center"/>
              <w:rPr>
                <w:rFonts w:ascii="宋体"/>
                <w:szCs w:val="18"/>
              </w:rPr>
            </w:pPr>
            <w:r>
              <w:rPr>
                <w:rFonts w:hint="eastAsia" w:ascii="宋体" w:eastAsiaTheme="minorEastAsia"/>
                <w:szCs w:val="18"/>
              </w:rPr>
              <w:t>废水</w:t>
            </w:r>
            <w:r>
              <w:rPr>
                <w:rFonts w:hint="eastAsia" w:ascii="宋体"/>
                <w:szCs w:val="18"/>
              </w:rPr>
              <w:t>处理污泥</w:t>
            </w:r>
          </w:p>
        </w:tc>
        <w:tc>
          <w:tcPr>
            <w:tcW w:w="1994" w:type="dxa"/>
            <w:vMerge w:val="restart"/>
            <w:vAlign w:val="center"/>
          </w:tcPr>
          <w:p w14:paraId="3817A601">
            <w:pPr>
              <w:spacing w:line="24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100吨</w:t>
            </w:r>
          </w:p>
        </w:tc>
      </w:tr>
      <w:tr w14:paraId="0601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660" w:type="dxa"/>
            <w:vAlign w:val="center"/>
          </w:tcPr>
          <w:p w14:paraId="6097DF2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铝管</w:t>
            </w:r>
          </w:p>
        </w:tc>
        <w:tc>
          <w:tcPr>
            <w:tcW w:w="2224" w:type="dxa"/>
            <w:gridSpan w:val="3"/>
            <w:vAlign w:val="center"/>
          </w:tcPr>
          <w:p w14:paraId="60341079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铝</w:t>
            </w:r>
          </w:p>
        </w:tc>
        <w:tc>
          <w:tcPr>
            <w:tcW w:w="1465" w:type="dxa"/>
            <w:vAlign w:val="center"/>
          </w:tcPr>
          <w:p w14:paraId="57344A1B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90吨</w:t>
            </w:r>
          </w:p>
        </w:tc>
        <w:tc>
          <w:tcPr>
            <w:tcW w:w="2611" w:type="dxa"/>
            <w:gridSpan w:val="3"/>
            <w:vMerge w:val="continue"/>
            <w:vAlign w:val="center"/>
          </w:tcPr>
          <w:p w14:paraId="3719713A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94" w:type="dxa"/>
            <w:vMerge w:val="continue"/>
            <w:vAlign w:val="center"/>
          </w:tcPr>
          <w:p w14:paraId="302A935B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14:paraId="1087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4" w:type="dxa"/>
            <w:gridSpan w:val="9"/>
          </w:tcPr>
          <w:p w14:paraId="0A3727E6">
            <w:pPr>
              <w:ind w:left="12419" w:leftChars="245" w:hanging="11880" w:hangingChars="3300"/>
              <w:rPr>
                <w:rFonts w:ascii="微软雅黑" w:hAnsi="微软雅黑" w:cs="微软雅黑"/>
                <w:sz w:val="36"/>
              </w:rPr>
            </w:pPr>
            <w:r>
              <w:rPr>
                <w:rFonts w:hint="eastAsia" w:ascii="微软雅黑" w:hAnsi="微软雅黑" w:cs="微软雅黑"/>
                <w:sz w:val="36"/>
              </w:rPr>
              <w:t xml:space="preserve">表2与申请转移废物相关的生产工艺                                                                                       </w:t>
            </w:r>
          </w:p>
          <w:p w14:paraId="6A5875D3">
            <w:pPr>
              <w:ind w:firstLine="720" w:firstLineChars="300"/>
              <w:rPr>
                <w:rFonts w:ascii="微软雅黑" w:hAnsi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cs="微软雅黑"/>
                <w:sz w:val="24"/>
                <w:szCs w:val="21"/>
              </w:rPr>
              <w:t xml:space="preserve">文字描述及工艺流程图： </w:t>
            </w:r>
          </w:p>
          <w:p w14:paraId="009AC50A">
            <w:pPr>
              <w:ind w:left="540"/>
              <w:rPr>
                <w:rFonts w:ascii="微软雅黑" w:hAnsi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cs="微软雅黑"/>
                <w:sz w:val="24"/>
                <w:szCs w:val="21"/>
              </w:rPr>
              <w:t>铜、铝生产工艺：</w:t>
            </w:r>
          </w:p>
          <w:p w14:paraId="5945B891">
            <w:pPr>
              <w:ind w:left="540"/>
              <w:rPr>
                <w:rFonts w:ascii="微软雅黑" w:hAnsi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cs="微软雅黑"/>
                <w:sz w:val="24"/>
                <w:szCs w:val="21"/>
              </w:rPr>
              <w:t>现将铜铝管断料，再进行车床成型，然后在进行酸洗，烘干、检验包装，在整个生产过程中会产生一定的废水，废水经过处理后产生（危废）污泥。</w:t>
            </w:r>
          </w:p>
          <w:p w14:paraId="39B67FDA">
            <w:pPr>
              <w:ind w:left="540"/>
              <w:rPr>
                <w:rFonts w:ascii="微软雅黑" w:hAnsi="微软雅黑" w:cs="微软雅黑"/>
                <w:sz w:val="24"/>
                <w:szCs w:val="21"/>
              </w:rPr>
            </w:pPr>
            <w:r>
              <w:rPr>
                <w:sz w:val="24"/>
              </w:rPr>
              <w:pict>
                <v:line id="_x0000_s1034" o:spid="_x0000_s1034" o:spt="20" style="position:absolute;left:0pt;margin-left:334.05pt;margin-top:10.8pt;height:0.05pt;width:29.25pt;z-index:251663360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4"/>
              </w:rPr>
              <w:pict>
                <v:line id="_x0000_s1033" o:spid="_x0000_s1033" o:spt="20" style="position:absolute;left:0pt;margin-left:283.05pt;margin-top:10.95pt;height:0.05pt;width:29.25pt;z-index:251662336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4"/>
              </w:rPr>
              <w:pict>
                <v:line id="_x0000_s1032" o:spid="_x0000_s1032" o:spt="20" style="position:absolute;left:0pt;margin-left:203.35pt;margin-top:10.85pt;height:0.05pt;width:29.25pt;z-index:251661312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4"/>
              </w:rPr>
              <w:pict>
                <v:line id="_x0000_s1026" o:spid="_x0000_s1026" o:spt="20" style="position:absolute;left:0pt;margin-left:113.2pt;margin-top:10.9pt;height:0.05pt;width:29.25pt;z-index:251659264;mso-width-relative:page;mso-height-relative:page;" coordsize="21600,21600">
                  <v:path arrowok="t"/>
                  <v:fill focussize="0,0"/>
                  <v:stroke endarrow="open"/>
                  <v:imagedata o:title=""/>
                  <o:lock v:ext="edit"/>
                </v:line>
              </w:pict>
            </w:r>
            <w:r>
              <w:rPr>
                <w:sz w:val="24"/>
              </w:rPr>
              <w:pict>
                <v:shape id="_x0000_s1030" o:spid="_x0000_s1030" o:spt="32" type="#_x0000_t32" style="position:absolute;left:0pt;flip:x;margin-left:237.3pt;margin-top:19.6pt;height:22.9pt;width:0.75pt;z-index:251660288;mso-width-relative:page;mso-height-relative:page;" filled="f" coordsize="21600,21600">
                  <v:path arrowok="t"/>
                  <v:fill on="f" focussize="0,0"/>
                  <v:stroke endarrow="open"/>
                  <v:imagedata o:title=""/>
                  <o:lock v:ext="edit"/>
                </v:shape>
              </w:pict>
            </w:r>
            <w:r>
              <w:rPr>
                <w:rFonts w:hint="eastAsia" w:ascii="微软雅黑" w:hAnsi="微软雅黑" w:cs="微软雅黑"/>
                <w:sz w:val="24"/>
                <w:szCs w:val="21"/>
              </w:rPr>
              <w:t>准备原材料切料           铜铝管成型          酸洗去污          烘干         检验包装入库</w:t>
            </w:r>
          </w:p>
          <w:p w14:paraId="67C21E6E">
            <w:pPr>
              <w:ind w:left="54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                                             </w:t>
            </w:r>
            <w:r>
              <w:rPr>
                <w:rFonts w:hint="eastAsia" w:eastAsiaTheme="minorEastAsia"/>
              </w:rPr>
              <w:drawing>
                <wp:inline distT="0" distB="0" distL="114300" distR="114300">
                  <wp:extent cx="5821045" cy="1312545"/>
                  <wp:effectExtent l="0" t="0" r="635" b="13335"/>
                  <wp:docPr id="7" name="图片 7" descr="16383349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833499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04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</w:rPr>
              <w:t xml:space="preserve">         </w:t>
            </w:r>
          </w:p>
        </w:tc>
      </w:tr>
      <w:tr w14:paraId="6C7B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54" w:type="dxa"/>
            <w:gridSpan w:val="9"/>
            <w:vAlign w:val="center"/>
          </w:tcPr>
          <w:p w14:paraId="56F4A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hAnsi="Times New Roman" w:eastAsia="黑体"/>
                <w:sz w:val="24"/>
                <w:szCs w:val="24"/>
              </w:rPr>
              <w:t xml:space="preserve">3   </w:t>
            </w:r>
            <w:r>
              <w:rPr>
                <w:rFonts w:hint="eastAsia" w:ascii="Times New Roman" w:eastAsia="黑体"/>
                <w:sz w:val="24"/>
                <w:szCs w:val="24"/>
              </w:rPr>
              <w:t>废物组分、特性（详见附件）</w:t>
            </w:r>
          </w:p>
        </w:tc>
      </w:tr>
      <w:tr w14:paraId="4FB1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1" w:type="dxa"/>
            <w:gridSpan w:val="2"/>
            <w:vAlign w:val="center"/>
          </w:tcPr>
          <w:p w14:paraId="770FBCA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废物名称</w:t>
            </w:r>
          </w:p>
        </w:tc>
        <w:tc>
          <w:tcPr>
            <w:tcW w:w="1803" w:type="dxa"/>
            <w:vAlign w:val="center"/>
          </w:tcPr>
          <w:p w14:paraId="5C7815C9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主要组分</w:t>
            </w:r>
          </w:p>
        </w:tc>
        <w:tc>
          <w:tcPr>
            <w:tcW w:w="1809" w:type="dxa"/>
            <w:gridSpan w:val="3"/>
            <w:vAlign w:val="center"/>
          </w:tcPr>
          <w:p w14:paraId="1408D53A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hint="eastAsia" w:ascii="Times New Roman" w:hAnsi="宋体"/>
                <w:szCs w:val="21"/>
              </w:rPr>
              <w:t>）</w:t>
            </w:r>
          </w:p>
        </w:tc>
        <w:tc>
          <w:tcPr>
            <w:tcW w:w="2151" w:type="dxa"/>
            <w:vAlign w:val="center"/>
          </w:tcPr>
          <w:p w14:paraId="60E4643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危害特性</w:t>
            </w:r>
          </w:p>
        </w:tc>
        <w:tc>
          <w:tcPr>
            <w:tcW w:w="2340" w:type="dxa"/>
            <w:gridSpan w:val="2"/>
            <w:vAlign w:val="center"/>
          </w:tcPr>
          <w:p w14:paraId="78899667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形态</w:t>
            </w:r>
          </w:p>
        </w:tc>
      </w:tr>
      <w:tr w14:paraId="7E03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851" w:type="dxa"/>
            <w:gridSpan w:val="2"/>
            <w:vMerge w:val="restart"/>
          </w:tcPr>
          <w:p w14:paraId="7961CFFA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废水</w:t>
            </w:r>
            <w:r>
              <w:rPr>
                <w:rFonts w:hint="eastAsia" w:ascii="Times New Roman" w:hAnsi="Times New Roman"/>
                <w:szCs w:val="21"/>
              </w:rPr>
              <w:t>处理污泥</w:t>
            </w:r>
          </w:p>
        </w:tc>
        <w:tc>
          <w:tcPr>
            <w:tcW w:w="1803" w:type="dxa"/>
          </w:tcPr>
          <w:p w14:paraId="671BA9E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Fe（OH）</w:t>
            </w:r>
            <w:r>
              <w:rPr>
                <w:rFonts w:hint="eastAsia"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809" w:type="dxa"/>
            <w:gridSpan w:val="3"/>
          </w:tcPr>
          <w:p w14:paraId="20C3D20A"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2151" w:type="dxa"/>
            <w:vMerge w:val="restart"/>
            <w:vAlign w:val="center"/>
          </w:tcPr>
          <w:p w14:paraId="027FE16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1EEA7E8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ascii="微软雅黑" w:hAnsi="微软雅黑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szCs w:val="21"/>
              </w:rPr>
              <w:t>√</w:t>
            </w:r>
          </w:p>
          <w:p w14:paraId="5B22FB29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1AA7050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5B05FE72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02920BE6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微软雅黑" w:hAnsi="微软雅黑"/>
                <w:szCs w:val="21"/>
              </w:rPr>
              <w:t xml:space="preserve">  </w:t>
            </w:r>
            <w:r>
              <w:rPr>
                <w:rFonts w:hint="eastAsia" w:ascii="微软雅黑" w:hAnsi="微软雅黑"/>
                <w:szCs w:val="21"/>
              </w:rPr>
              <w:t xml:space="preserve"> √</w:t>
            </w:r>
          </w:p>
          <w:p w14:paraId="7469C08C">
            <w:pPr>
              <w:spacing w:line="2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125175B3">
            <w:pPr>
              <w:spacing w:line="240" w:lineRule="exact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48A96D0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  <w:p w14:paraId="1118F5A2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宋体"/>
                <w:szCs w:val="21"/>
              </w:rPr>
              <w:t>□</w:t>
            </w:r>
          </w:p>
        </w:tc>
      </w:tr>
      <w:tr w14:paraId="50DF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51" w:type="dxa"/>
            <w:gridSpan w:val="2"/>
            <w:vMerge w:val="continue"/>
          </w:tcPr>
          <w:p w14:paraId="1D25B7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601F4FE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41E11AD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0FF0521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426A8AA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5005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2022529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1217513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49F89EF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AD27AD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F31F0CA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491F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851" w:type="dxa"/>
            <w:gridSpan w:val="2"/>
            <w:vMerge w:val="continue"/>
          </w:tcPr>
          <w:p w14:paraId="041FFD1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4351496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21C4CE7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1A1EAE13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06E8DAAA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14:paraId="4B63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851" w:type="dxa"/>
            <w:gridSpan w:val="2"/>
            <w:vMerge w:val="continue"/>
          </w:tcPr>
          <w:p w14:paraId="14D0BD0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3" w:type="dxa"/>
          </w:tcPr>
          <w:p w14:paraId="4652BCB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gridSpan w:val="3"/>
          </w:tcPr>
          <w:p w14:paraId="0FA0EDC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 w14:paraId="3DA4A1C7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639B7D22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5964B6B5">
      <w:pPr>
        <w:rPr>
          <w:rFonts w:ascii="Times New Roman" w:eastAsia="黑体"/>
          <w:sz w:val="28"/>
          <w:szCs w:val="28"/>
        </w:rPr>
      </w:pPr>
    </w:p>
    <w:p w14:paraId="6239EAF6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第二部分：废物包装、运输情况</w:t>
      </w: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05"/>
        <w:gridCol w:w="1865"/>
        <w:gridCol w:w="1421"/>
        <w:gridCol w:w="1379"/>
        <w:gridCol w:w="2361"/>
      </w:tblGrid>
      <w:tr w14:paraId="6F00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85" w:type="dxa"/>
            <w:gridSpan w:val="6"/>
            <w:vAlign w:val="center"/>
          </w:tcPr>
          <w:p w14:paraId="58C6A17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hint="eastAsia" w:ascii="Times New Roman"/>
                <w:b/>
                <w:bCs/>
              </w:rPr>
              <w:t>废物包装情况</w:t>
            </w:r>
          </w:p>
        </w:tc>
      </w:tr>
      <w:tr w14:paraId="001B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4" w:type="dxa"/>
            <w:vAlign w:val="center"/>
          </w:tcPr>
          <w:p w14:paraId="664FCEC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序号</w:t>
            </w:r>
          </w:p>
        </w:tc>
        <w:tc>
          <w:tcPr>
            <w:tcW w:w="2205" w:type="dxa"/>
            <w:vAlign w:val="center"/>
          </w:tcPr>
          <w:p w14:paraId="3FC8B4E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废物名称</w:t>
            </w:r>
          </w:p>
        </w:tc>
        <w:tc>
          <w:tcPr>
            <w:tcW w:w="1865" w:type="dxa"/>
            <w:vAlign w:val="center"/>
          </w:tcPr>
          <w:p w14:paraId="4145073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包装物（容器）名称</w:t>
            </w:r>
          </w:p>
        </w:tc>
        <w:tc>
          <w:tcPr>
            <w:tcW w:w="1421" w:type="dxa"/>
            <w:vAlign w:val="center"/>
          </w:tcPr>
          <w:p w14:paraId="3FB80EC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材质</w:t>
            </w:r>
          </w:p>
        </w:tc>
        <w:tc>
          <w:tcPr>
            <w:tcW w:w="1379" w:type="dxa"/>
            <w:vAlign w:val="center"/>
          </w:tcPr>
          <w:p w14:paraId="158B092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容积</w:t>
            </w:r>
          </w:p>
        </w:tc>
        <w:tc>
          <w:tcPr>
            <w:tcW w:w="2361" w:type="dxa"/>
            <w:vAlign w:val="center"/>
          </w:tcPr>
          <w:p w14:paraId="03CB0B8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是否有危废标签</w:t>
            </w:r>
          </w:p>
        </w:tc>
      </w:tr>
      <w:tr w14:paraId="52D3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4" w:type="dxa"/>
            <w:vAlign w:val="center"/>
          </w:tcPr>
          <w:p w14:paraId="4A3690E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205" w:type="dxa"/>
            <w:vAlign w:val="center"/>
          </w:tcPr>
          <w:p w14:paraId="38BEA37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eastAsiaTheme="minorEastAsia"/>
                <w:szCs w:val="18"/>
              </w:rPr>
              <w:t>废水</w:t>
            </w:r>
            <w:r>
              <w:rPr>
                <w:rFonts w:hint="eastAsia" w:ascii="宋体"/>
                <w:szCs w:val="18"/>
              </w:rPr>
              <w:t>处理污泥</w:t>
            </w:r>
          </w:p>
        </w:tc>
        <w:tc>
          <w:tcPr>
            <w:tcW w:w="1865" w:type="dxa"/>
            <w:vAlign w:val="center"/>
          </w:tcPr>
          <w:p w14:paraId="77334F8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吨袋</w:t>
            </w:r>
          </w:p>
        </w:tc>
        <w:tc>
          <w:tcPr>
            <w:tcW w:w="1421" w:type="dxa"/>
            <w:vAlign w:val="center"/>
          </w:tcPr>
          <w:p w14:paraId="5429F84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化纤</w:t>
            </w:r>
          </w:p>
        </w:tc>
        <w:tc>
          <w:tcPr>
            <w:tcW w:w="1379" w:type="dxa"/>
          </w:tcPr>
          <w:p w14:paraId="009134F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800~1000Kg</w:t>
            </w:r>
          </w:p>
        </w:tc>
        <w:tc>
          <w:tcPr>
            <w:tcW w:w="2361" w:type="dxa"/>
            <w:vAlign w:val="center"/>
          </w:tcPr>
          <w:p w14:paraId="067347D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</w:t>
            </w:r>
          </w:p>
        </w:tc>
      </w:tr>
    </w:tbl>
    <w:p w14:paraId="65905E94">
      <w:pPr>
        <w:rPr>
          <w:rFonts w:ascii="Times New Roman" w:hAnsi="Times New Roman" w:eastAsia="黑体"/>
          <w:sz w:val="28"/>
          <w:szCs w:val="28"/>
        </w:rPr>
      </w:pPr>
    </w:p>
    <w:tbl>
      <w:tblPr>
        <w:tblStyle w:val="7"/>
        <w:tblW w:w="988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 w14:paraId="5149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</w:trPr>
        <w:tc>
          <w:tcPr>
            <w:tcW w:w="9885" w:type="dxa"/>
            <w:vAlign w:val="center"/>
          </w:tcPr>
          <w:p w14:paraId="5C36A2BA">
            <w:pPr>
              <w:rPr>
                <w:rFonts w:ascii="Times New Roman"/>
                <w:b/>
                <w:bCs/>
                <w:szCs w:val="24"/>
              </w:rPr>
            </w:pPr>
            <w:r>
              <w:rPr>
                <w:rFonts w:hint="eastAsia"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hint="eastAsia" w:ascii="Times New Roman"/>
                <w:b/>
                <w:bCs/>
                <w:szCs w:val="24"/>
              </w:rPr>
              <w:t>废物运输情况</w:t>
            </w:r>
          </w:p>
          <w:p w14:paraId="17E19E14">
            <w:pPr>
              <w:spacing w:line="280" w:lineRule="exact"/>
              <w:ind w:firstLine="440" w:firstLineChars="20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运输是否符合交管部门运输相关规定（文字描述）运输是否符合交管部门运输相关规定（文字描述）</w:t>
            </w:r>
          </w:p>
          <w:p w14:paraId="61B5EF41">
            <w:pPr>
              <w:spacing w:line="280" w:lineRule="exact"/>
              <w:ind w:firstLine="440" w:firstLineChars="200"/>
            </w:pPr>
            <w:r>
              <w:rPr>
                <w:rFonts w:hint="eastAsia"/>
              </w:rPr>
              <w:t>（1）危险废物在运输要严格按照《危险废物污染防治技术政策》进行，符合</w:t>
            </w:r>
            <w:r>
              <w:rPr>
                <w:rFonts w:ascii="Times New Roman"/>
              </w:rPr>
              <w:t>交管部门运输相关规定</w:t>
            </w:r>
            <w:r>
              <w:rPr>
                <w:rFonts w:hint="eastAsia"/>
              </w:rPr>
              <w:t>。</w:t>
            </w:r>
          </w:p>
          <w:p w14:paraId="5136F68F">
            <w:pPr>
              <w:spacing w:line="280" w:lineRule="exact"/>
              <w:ind w:firstLine="420"/>
            </w:pPr>
            <w:r>
              <w:rPr>
                <w:rFonts w:hint="eastAsia"/>
              </w:rPr>
              <w:t>（2）危险废物运输使用</w:t>
            </w:r>
            <w:r>
              <w:rPr>
                <w:rFonts w:hint="eastAsia" w:ascii="宋体" w:hAnsi="宋体" w:cs="宋体"/>
                <w:szCs w:val="21"/>
              </w:rPr>
              <w:t>专用</w:t>
            </w:r>
            <w:r>
              <w:rPr>
                <w:rFonts w:hint="eastAsia"/>
              </w:rPr>
              <w:t>危险废物</w:t>
            </w:r>
            <w:r>
              <w:rPr>
                <w:rFonts w:hint="eastAsia" w:ascii="宋体" w:hAnsi="宋体" w:cs="宋体"/>
                <w:szCs w:val="21"/>
              </w:rPr>
              <w:t>运输车进行运输，配有</w:t>
            </w:r>
            <w:r>
              <w:rPr>
                <w:rFonts w:hint="eastAsia"/>
              </w:rPr>
              <w:t>危险废物运输资格的驾驶员和押运员。</w:t>
            </w:r>
          </w:p>
          <w:p w14:paraId="0A91FFB6">
            <w:pPr>
              <w:spacing w:line="28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（3）运输车辆要安装GPS定位系统，设置危险废物运输专用警示牌等。</w:t>
            </w:r>
          </w:p>
          <w:p w14:paraId="25BE2420">
            <w:pPr>
              <w:spacing w:line="280" w:lineRule="exact"/>
              <w:ind w:firstLine="420"/>
            </w:pPr>
            <w:r>
              <w:rPr>
                <w:rFonts w:hint="eastAsia" w:ascii="宋体" w:hAnsi="宋体" w:cs="宋体"/>
                <w:szCs w:val="21"/>
              </w:rPr>
              <w:t>（4）在运输途中，按照汽车行驶安全规定严格执行，不准超载、不准超速，安全可靠、平稳运输。</w:t>
            </w:r>
          </w:p>
          <w:p w14:paraId="14418F7A">
            <w:pPr>
              <w:spacing w:line="280" w:lineRule="exact"/>
            </w:pPr>
            <w:r>
              <w:rPr>
                <w:rFonts w:hint="eastAsia"/>
              </w:rPr>
              <w:t xml:space="preserve">    （5）危险废物在转运装车时应采用人工搬运，不可使用吊钩吊运以防止包装物破损、危险废物渗漏。</w:t>
            </w:r>
          </w:p>
          <w:p w14:paraId="3C453696">
            <w:pPr>
              <w:spacing w:line="280" w:lineRule="exact"/>
              <w:ind w:firstLine="435"/>
            </w:pPr>
            <w:r>
              <w:rPr>
                <w:rFonts w:hint="eastAsia"/>
              </w:rPr>
              <w:t>（6）运输过程中，保证包装物结构完整，运输过程中将在车底及四周用聚乙烯薄膜进行阻漏，防止散落。</w:t>
            </w:r>
          </w:p>
          <w:p w14:paraId="31C695D4">
            <w:pPr>
              <w:rPr>
                <w:rFonts w:ascii="Times New Roman"/>
                <w:szCs w:val="24"/>
              </w:rPr>
            </w:pPr>
            <w:r>
              <w:rPr>
                <w:rFonts w:hint="eastAsia"/>
              </w:rPr>
              <w:t>（7）严格按照危险货物运输的管理规定，以减少运输过程中的二次污染和可能造成的对环境风险影响。</w:t>
            </w:r>
          </w:p>
          <w:p w14:paraId="2830D556">
            <w:pPr>
              <w:tabs>
                <w:tab w:val="left" w:pos="307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宣城市勇兆物流有限公司</w:t>
            </w:r>
            <w:r>
              <w:rPr>
                <w:rFonts w:hint="eastAsia" w:ascii="Times New Roman" w:hAnsi="Times New Roman"/>
                <w:b/>
                <w:szCs w:val="24"/>
              </w:rPr>
              <w:tab/>
            </w:r>
          </w:p>
          <w:p w14:paraId="1DC27C52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道路运输经营许可证：皖交运管许可证字宜341800400032</w:t>
            </w:r>
          </w:p>
          <w:p w14:paraId="7D243FF1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具有普通货运、经营性危险货物运输（危险废物：第8类、9类）的资质</w:t>
            </w:r>
          </w:p>
        </w:tc>
      </w:tr>
      <w:tr w14:paraId="66F3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85" w:type="dxa"/>
            <w:vAlign w:val="center"/>
          </w:tcPr>
          <w:p w14:paraId="457B915B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运输方式：道路</w:t>
            </w:r>
            <w:r>
              <w:rPr>
                <w:rFonts w:hint="eastAsia" w:ascii="微软雅黑" w:hAnsi="微软雅黑"/>
                <w:szCs w:val="24"/>
              </w:rPr>
              <w:t>■</w:t>
            </w:r>
            <w:r>
              <w:rPr>
                <w:rFonts w:hint="eastAsia"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hint="eastAsia"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14:paraId="54B9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9885" w:type="dxa"/>
          </w:tcPr>
          <w:p w14:paraId="44A64941">
            <w:pPr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运输路线文字描述：（写明途经省、市、县（区），附路线图:</w:t>
            </w:r>
          </w:p>
          <w:p w14:paraId="00BAA535">
            <w:pPr>
              <w:rPr>
                <w:rFonts w:ascii="微软雅黑" w:hAnsi="微软雅黑" w:cs="微软雅黑"/>
                <w:szCs w:val="21"/>
              </w:rPr>
            </w:pPr>
            <w:r>
              <w:rPr>
                <w:rFonts w:hint="eastAsia" w:ascii="微软雅黑" w:hAnsi="微软雅黑" w:cs="微软雅黑"/>
                <w:szCs w:val="21"/>
              </w:rPr>
              <w:t>常州市</w:t>
            </w:r>
            <w:r>
              <w:rPr>
                <w:rFonts w:hint="eastAsia" w:ascii="微软雅黑" w:hAnsi="微软雅黑" w:cs="微软雅黑" w:eastAsiaTheme="minorEastAsia"/>
                <w:szCs w:val="21"/>
              </w:rPr>
              <w:t>天天制冷设备</w:t>
            </w:r>
            <w:r>
              <w:rPr>
                <w:rFonts w:hint="eastAsia" w:ascii="微软雅黑" w:hAnsi="微软雅黑" w:cs="微软雅黑"/>
                <w:szCs w:val="21"/>
              </w:rPr>
              <w:t>有限公司出发---新胜路S232---南环线---青洋快速路---沪宜高速---溧宁高速---沪渝高速---宣城绕城高速---宣城富旺金属材料公司</w:t>
            </w:r>
          </w:p>
          <w:p w14:paraId="59E7F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途径主要省辖市：</w:t>
            </w:r>
          </w:p>
          <w:p w14:paraId="2AB43DF3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微软雅黑" w:hAnsi="微软雅黑" w:cs="微软雅黑"/>
                <w:szCs w:val="21"/>
              </w:rPr>
              <w:t xml:space="preserve"> 江苏常州市武进区----溧阳市---安徽宣城市宣州区</w:t>
            </w:r>
          </w:p>
          <w:p w14:paraId="09EF2096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631180" cy="3916680"/>
                  <wp:effectExtent l="0" t="0" r="7620" b="0"/>
                  <wp:docPr id="5" name="图片 5" descr="16347117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471179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391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7311C">
            <w:pPr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510009A">
            <w:pPr>
              <w:rPr>
                <w:szCs w:val="21"/>
              </w:rPr>
            </w:pPr>
          </w:p>
          <w:p w14:paraId="778B56B4">
            <w:pPr>
              <w:rPr>
                <w:rFonts w:ascii="Times New Roman"/>
                <w:b/>
                <w:bCs/>
                <w:szCs w:val="24"/>
              </w:rPr>
            </w:pPr>
          </w:p>
          <w:p w14:paraId="79124DFD">
            <w:pPr>
              <w:jc w:val="center"/>
              <w:rPr>
                <w:rFonts w:ascii="Times New Roman"/>
                <w:szCs w:val="24"/>
              </w:rPr>
            </w:pPr>
          </w:p>
          <w:p w14:paraId="396C62B4">
            <w:pPr>
              <w:jc w:val="center"/>
              <w:rPr>
                <w:rFonts w:ascii="Times New Roman"/>
                <w:szCs w:val="24"/>
              </w:rPr>
            </w:pPr>
          </w:p>
        </w:tc>
      </w:tr>
    </w:tbl>
    <w:p w14:paraId="592C38C7">
      <w:pPr>
        <w:rPr>
          <w:rFonts w:ascii="Times New Roman" w:hAnsi="Times New Roman"/>
          <w:szCs w:val="24"/>
        </w:rPr>
        <w:sectPr>
          <w:pgSz w:w="11906" w:h="16838"/>
          <w:pgMar w:top="1134" w:right="1797" w:bottom="851" w:left="1797" w:header="851" w:footer="992" w:gutter="0"/>
          <w:cols w:space="425" w:num="1"/>
          <w:docGrid w:type="lines" w:linePitch="286" w:charSpace="0"/>
        </w:sectPr>
      </w:pP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0F6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vAlign w:val="center"/>
          </w:tcPr>
          <w:p w14:paraId="15E06DD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hint="eastAsia"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hint="eastAsia" w:ascii="Times New Roman"/>
                <w:b/>
                <w:bCs/>
                <w:szCs w:val="24"/>
              </w:rPr>
              <w:t>转移的污染防治、安全防护和应急措施</w:t>
            </w:r>
          </w:p>
        </w:tc>
      </w:tr>
      <w:tr w14:paraId="1328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</w:tcPr>
          <w:p w14:paraId="1A02621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（一）、宣城市勇兆物流有限公司</w:t>
            </w:r>
          </w:p>
          <w:p w14:paraId="7B96C71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危险废物一旦发生交通事故或自然灾害，即会引起重大安全事故，给人民生命和国家财产造成重大的损失，为预防重大事故发生，提高紧急处理情况的应变能力，沉着灵活应对各种突如其来的事故（灾害），以最大限度减少人员伤亡，财产损失，保护环境为目标，根据我司目前的安全工作情况，和跨区域运输的特点，特制定以下事故（灾害）抢险应急预警方案。</w:t>
            </w:r>
          </w:p>
          <w:p w14:paraId="453B7F6F">
            <w:pPr>
              <w:widowControl w:val="0"/>
              <w:adjustRightInd/>
              <w:snapToGrid/>
              <w:spacing w:after="0"/>
              <w:jc w:val="both"/>
            </w:pPr>
            <w:r>
              <w:rPr>
                <w:rFonts w:hint="eastAsia"/>
              </w:rPr>
              <w:t>一.</w:t>
            </w:r>
            <w:r>
              <w:rPr>
                <w:rFonts w:hint="eastAsia" w:ascii="Times New Roman" w:hAnsi="Times New Roman"/>
                <w:bCs/>
              </w:rPr>
              <w:t>宣城市勇兆物流有限公司</w:t>
            </w:r>
            <w:r>
              <w:rPr>
                <w:rFonts w:hint="eastAsia"/>
              </w:rPr>
              <w:t xml:space="preserve">事故（灾害）应急处理指挥机构及工作小组事故（灾害）抢救应急指挥部指挥 </w:t>
            </w:r>
          </w:p>
          <w:p w14:paraId="0F91C73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组       长：胡小妹        联系方式：18098539688 </w:t>
            </w:r>
          </w:p>
          <w:p w14:paraId="31134D0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副   组  长：章卫兵       联系方式：13083132572</w:t>
            </w:r>
          </w:p>
          <w:p w14:paraId="5BC555C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小 组 成 员：潘志祥13705639597 GPS监控管理员</w:t>
            </w:r>
          </w:p>
          <w:p w14:paraId="2221394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         殷明纲（13731882694）</w:t>
            </w:r>
          </w:p>
          <w:p w14:paraId="72B3C85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         张万婷（18256331252）</w:t>
            </w:r>
          </w:p>
          <w:p w14:paraId="64CF469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现场施救组：殷明纲（13731882694）    张万婷（18256331252）</w:t>
            </w:r>
          </w:p>
          <w:p w14:paraId="7A5A2C0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后勤保障组：殷明纲（13731882694）                 </w:t>
            </w:r>
          </w:p>
          <w:p w14:paraId="526BF20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二.事故报告程序</w:t>
            </w:r>
          </w:p>
          <w:p w14:paraId="0AF888F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（1）事故发生后，事故发生单位及当事人除了拨打110 、119 、</w:t>
            </w:r>
          </w:p>
          <w:p w14:paraId="34D2F11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120 电话外，必须立即将事故发生地、人员伤亡和财产损失等初步情</w:t>
            </w:r>
          </w:p>
          <w:p w14:paraId="18B5347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况电话报告安全管理部门（安全管理员）。安全管理部门（安全管理</w:t>
            </w:r>
          </w:p>
          <w:p w14:paraId="62C4FB2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员）接到事故报告后，立即向领导小组汇报。道路交通事故按《行车</w:t>
            </w:r>
          </w:p>
          <w:p w14:paraId="517D321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事故统计和报告制度》的规定上报相关部门。</w:t>
            </w:r>
          </w:p>
          <w:p w14:paraId="77B27BE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（2）事故发生单位应在事故发生后2小时内将事故简要情况书</w:t>
            </w:r>
          </w:p>
          <w:p w14:paraId="77BD23D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面上报安全管理部门（安全管理员），事故书面报告的主要内容有：</w:t>
            </w:r>
          </w:p>
          <w:p w14:paraId="22EBF68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A 、事故发生的时间、地点、车辆号码和驾驶员姓名或操作人员</w:t>
            </w:r>
          </w:p>
          <w:p w14:paraId="35D3DD6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姓名等；</w:t>
            </w:r>
          </w:p>
          <w:p w14:paraId="4E43D1C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B 、事故发生的简要经过，伤亡人数和初步估计的直接经济损失</w:t>
            </w:r>
          </w:p>
          <w:p w14:paraId="195F8C5B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情况；</w:t>
            </w:r>
          </w:p>
          <w:p w14:paraId="327F6A07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C 、事故发生的初步原因；</w:t>
            </w:r>
          </w:p>
          <w:p w14:paraId="5170B43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D 、事故发生后采取的措施及事故控制情况；</w:t>
            </w:r>
          </w:p>
          <w:p w14:paraId="0511D30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E 、事故报告单位及联系电话。</w:t>
            </w:r>
          </w:p>
          <w:p w14:paraId="357A04F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（3）事故现场情况发生变化，伤亡人员数量发生变化时，事故</w:t>
            </w:r>
          </w:p>
          <w:p w14:paraId="1301DA3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发生单位应及时补报。</w:t>
            </w:r>
          </w:p>
          <w:p w14:paraId="73229A2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三、设备器材保障</w:t>
            </w:r>
          </w:p>
          <w:p w14:paraId="130DB97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1、应急指挥车一辆</w:t>
            </w:r>
          </w:p>
          <w:p w14:paraId="60FFDA3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2、过滤式呼吸器5副，自给式呼吸器5副，化学安全防护眼镜5套，戴防尘面具（全面罩）2副，防毒服2套等。</w:t>
            </w:r>
          </w:p>
          <w:p w14:paraId="6697B10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四、预警级别</w:t>
            </w:r>
          </w:p>
          <w:p w14:paraId="3AE70C3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一级警别：指重特大交通事故，车辆起火、爆炸，以及因不可抗拒因素造成车毁人亡，致使财产损失5万以上，人员伤亡2人以上（含2人）或危险废物泄露造成重大水体污染和环境污染；</w:t>
            </w:r>
          </w:p>
          <w:p w14:paraId="567782F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二级警别：指重大交通事故导致人员伤亡事故，或因危险废物污染环境、水体污染造成财产损失3万元以上5万元以内的；</w:t>
            </w:r>
          </w:p>
          <w:p w14:paraId="4C8829F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三级警别：指一般交通事故（灾害），虽未造成人员伤亡，但致使财产损失2万元以上3万元以内的。</w:t>
            </w:r>
          </w:p>
          <w:p w14:paraId="784BCCC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预警控制范围及应急防范措施：</w:t>
            </w:r>
          </w:p>
          <w:p w14:paraId="524C043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(1)预警控制范围包括：货车进出装卸作业现场、停车场、行驶途中等。</w:t>
            </w:r>
          </w:p>
          <w:p w14:paraId="2DDC409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(2)应急防范措施：</w:t>
            </w:r>
          </w:p>
          <w:p w14:paraId="00BFFB2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1、进出危险废物作业区时，驾驶人员应在进库前，检查随灭火器材是否齐全有效，遵守并按规定交出车上和个人携带的着火器。装危险废物现场，驾驶员应对作业现场保持警视状态，一旦事故（灾害）发生，应立即进行自救和报警求救，详细说明事故（灾害）地点、人员伤亡和损失情况，以及事故（灾害）对周围环境的危害程度，并能果断做出施救的最佳方案以供参考。</w:t>
            </w:r>
          </w:p>
          <w:p w14:paraId="2A96C1AA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2、防护措施: 可能接触有毒气体时，应该佩戴过滤式呼吸器。紧急事态抢救或逃生时，建议佩戴自给式呼吸器。戴化学安全防护眼镜。穿防毒工作服。戴橡胶手套。工作完毕沐浴更衣。单独存放被毒物污染的衣物，洗后再用。保持良好的卫生习惯。</w:t>
            </w:r>
          </w:p>
          <w:p w14:paraId="3BEE6AB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3、公司安全应急机构接到事故（灾害）报警后，应在最短的时间内按原先制定的应预案和应急措施，立即召集现场指挥和后勤保障组成员，以最快的时间赶到事故（灾害）现场，同时各种救助器材、和后勤保障用品要同时跟上。各司其责措施到位有效。</w:t>
            </w:r>
          </w:p>
          <w:p w14:paraId="7592A065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五、应急处理措施。</w:t>
            </w:r>
          </w:p>
          <w:p w14:paraId="73B904C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道路交通事故（灾害）应急措施：</w:t>
            </w:r>
          </w:p>
          <w:p w14:paraId="2C2E1EE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如发生道路交通事故，应立即报122交通警、119消防警、120救护警和运管部门，保护现场抢救伤员。并立即切断车辆电源开关、监视车辆的安全情况，告诫围观的群众远离现场，用手提消防器材布置好安全警戒线。如是装危险废物的重车，应在事故现场处理完毕后和交警协调，危险废物卸掉后再进行事故处理，避免引起意外事故的发生。</w:t>
            </w:r>
          </w:p>
          <w:p w14:paraId="498D837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  2、发生危险废物事故应急措施</w:t>
            </w:r>
          </w:p>
          <w:p w14:paraId="1E432E4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2.1 泄漏处理：切断火源。戴好自给式呼吸器和手套。穿防毒工作服。不要直接接触泄漏物。尽可能切断泄漏源。用工具把泄漏物放入车里，并对地面进行环保处理。</w:t>
            </w:r>
          </w:p>
          <w:p w14:paraId="6FD856AD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2.2急救：</w:t>
            </w:r>
          </w:p>
          <w:p w14:paraId="5232B7E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吸</w:t>
            </w:r>
            <w:r>
              <w:rPr>
                <w:rFonts w:hint="eastAsia"/>
                <w:lang w:val="en-US" w:eastAsia="zh-CN"/>
              </w:rPr>
              <w:t>入</w:t>
            </w:r>
            <w:r>
              <w:rPr>
                <w:rFonts w:hint="eastAsia"/>
              </w:rPr>
              <w:t>:迅速脱离现场至空气新鲜处。如呼吸困难，给输氧。如呼吸停止，立即</w:t>
            </w:r>
            <w:r>
              <w:rPr>
                <w:rFonts w:hint="eastAsia"/>
                <w:lang w:val="en-US" w:eastAsia="zh-CN"/>
              </w:rPr>
              <w:t>进</w:t>
            </w:r>
            <w:r>
              <w:rPr>
                <w:rFonts w:hint="eastAsia"/>
              </w:rPr>
              <w:t>行人工呼吸。就医。皮肤或眼晴接触:用大量流动清水冲洗至少15分钟。就医。食</w:t>
            </w:r>
            <w:r>
              <w:rPr>
                <w:rFonts w:hint="eastAsia"/>
                <w:lang w:val="en-US" w:eastAsia="zh-CN"/>
              </w:rPr>
              <w:t>入</w:t>
            </w:r>
            <w:bookmarkStart w:id="0" w:name="_GoBack"/>
            <w:bookmarkEnd w:id="0"/>
            <w:r>
              <w:rPr>
                <w:rFonts w:hint="eastAsia"/>
              </w:rPr>
              <w:t>:用水漱口，给饮牛奶或蛋清。就医。</w:t>
            </w:r>
          </w:p>
          <w:p w14:paraId="1D41BE3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2.3灭火方法：</w:t>
            </w:r>
          </w:p>
          <w:p w14:paraId="29287AC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用碱性物质如碳酸氢钠，碳酸钙，消石灰等中和。也可用水大量补救。</w:t>
            </w:r>
          </w:p>
          <w:p w14:paraId="6368591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七、防台风、防汛应急处理措施</w:t>
            </w:r>
          </w:p>
          <w:p w14:paraId="28EDA64F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①、我公司应建立健全各类天气、地质预报的收集工作，加强值班，一旦接到台风或汛情预报，应立即通知下属各车从业人员，做好预防工作，并与配送单位联系（尤其是可能会发生灾害地区的送货单位）共同制定应防事故应急方案。</w:t>
            </w:r>
          </w:p>
          <w:p w14:paraId="344A100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②、要随时了解和掌握台风、汛情的量能，即时流向和及时通知各部车辆驾驶员采取有效的防范措施。争取在灾情到来之前将危险废物送达各厂家，来不及送的，应立即通知驾驶员回停车场，防止冒然前往灾害发生地。驾驶员应保持通讯工具畅通，及时与分公司应急指挥部联系。</w:t>
            </w:r>
          </w:p>
          <w:p w14:paraId="4FC0E3C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③、灾情到达之前，应急小组人员应深入现场指挥，对灾情的发生要提出有效的防范措施，及时通知所有在途车辆立即在就近安全地带停靠、避险，待灾情解除后方可上路行驶。</w:t>
            </w:r>
          </w:p>
          <w:p w14:paraId="1AF3DB9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④、遇到强台风时，所有车辆都不许冒险上路行驶，应避其风头选择有背风的地带行车避险。</w:t>
            </w:r>
          </w:p>
          <w:p w14:paraId="6469FBB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⑤、遇到汛情时，应选择地势较高安全地带停车，不许在有下水道、河道边的低洼地停车。如是在傍山路，应避开桥梁、悬崖边有可能滑坡的地带停车。</w:t>
            </w:r>
          </w:p>
          <w:p w14:paraId="1DC91301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八、职责分工</w:t>
            </w:r>
          </w:p>
          <w:p w14:paraId="2EEF2DE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1、指挥（副指挥），负责组织对人、财、物抢险过程的指挥协调工作。</w:t>
            </w:r>
          </w:p>
          <w:p w14:paraId="22C3FB32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2、现场指挥组：主要负责泄漏危险废物的回收、转移，人员上网护送抢救和现场保护工作。</w:t>
            </w:r>
          </w:p>
          <w:p w14:paraId="65825B0C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3、后勤保障组：主要负责抢险期间的现场清点，做好现场记录，抢救物品调集等后勤保障工作，抢险后的善后处理工作。</w:t>
            </w:r>
          </w:p>
          <w:p w14:paraId="6AC3C79E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4、预警防范期间，所有从业人员对预警范围内任何重大异常情况，有权在第一时间向所在单位指挥（副指挥）或工作小组成员及上级机关报告。</w:t>
            </w:r>
          </w:p>
          <w:p w14:paraId="0F6AF30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九、工作程序</w:t>
            </w:r>
          </w:p>
          <w:p w14:paraId="362F75E4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各组在指挥人员的指挥下，紧密配合，团结协作，并保持临危不乱的状态，迅速投入抢险。</w:t>
            </w:r>
          </w:p>
          <w:p w14:paraId="7499873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现场指挥组：迅速转移伤亡人员，回收危险废物，做好防止事故扩大的抢险救灾工作。</w:t>
            </w:r>
          </w:p>
          <w:p w14:paraId="3AC61423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后勤保障组：做好警戒，事故记录，迅速投入保障工作。</w:t>
            </w:r>
          </w:p>
          <w:p w14:paraId="1EBF7C8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十、事故（灾害）报告</w:t>
            </w:r>
          </w:p>
          <w:p w14:paraId="77C54BD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 xml:space="preserve">    发生一级和二级预警或重大交通事故及人员伤亡的，公司应急指挥部应在得到消息的同时，立即报告各相关部门。发生三级预警或一般交通事故造成人员受伤的，应在得到信息30分钟内报告各相关部门。发生一般交通事故或其他安全事故未造成人员伤亡的，应在6小时内报告各相关部门。</w:t>
            </w:r>
          </w:p>
          <w:p w14:paraId="450F2CD9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十一、善后处理</w:t>
            </w:r>
          </w:p>
          <w:p w14:paraId="589E8508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/>
              </w:rPr>
              <w:t>事故（灾害）抢险结束后，后勤保障组应对现场周围进行认真清查，消除遗留隐患，做好现场记录，在24小时内按规定向上级报告事故详细情况，提出处理意见。</w:t>
            </w:r>
          </w:p>
          <w:p w14:paraId="24CD8CB7">
            <w:pPr>
              <w:pStyle w:val="6"/>
              <w:spacing w:before="0" w:beforeAutospacing="0" w:after="0" w:afterAutospacing="0"/>
              <w:ind w:firstLine="240" w:firstLineChars="100"/>
            </w:pPr>
          </w:p>
          <w:p w14:paraId="7793F880">
            <w:pPr>
              <w:pStyle w:val="6"/>
              <w:spacing w:before="0" w:beforeAutospacing="0" w:after="0" w:afterAutospacing="0"/>
              <w:ind w:firstLine="240" w:firstLineChars="100"/>
            </w:pPr>
            <w:r>
              <w:rPr>
                <w:rFonts w:hint="eastAsia" w:ascii="宋体" w:hAnsi="宋体" w:cs="宋体"/>
                <w:szCs w:val="21"/>
              </w:rPr>
              <w:t>运输单位事故应急人员 / 方式：</w:t>
            </w:r>
            <w:r>
              <w:rPr>
                <w:rFonts w:hint="eastAsia"/>
              </w:rPr>
              <w:t xml:space="preserve">    胡小妹   18098539688 </w:t>
            </w:r>
          </w:p>
          <w:p w14:paraId="2F6F032C">
            <w:pPr>
              <w:rPr>
                <w:rFonts w:ascii="Times New Roman"/>
                <w:bCs/>
                <w:szCs w:val="24"/>
              </w:rPr>
            </w:pPr>
          </w:p>
        </w:tc>
      </w:tr>
    </w:tbl>
    <w:p w14:paraId="14426EBD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第三部分废物处理处置情况</w:t>
      </w:r>
    </w:p>
    <w:tbl>
      <w:tblPr>
        <w:tblStyle w:val="7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4551"/>
      </w:tblGrid>
      <w:tr w14:paraId="19F1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vAlign w:val="center"/>
          </w:tcPr>
          <w:p w14:paraId="4B09D5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hint="eastAsia" w:ascii="Times New Roman"/>
                <w:b/>
                <w:bCs/>
              </w:rPr>
              <w:t>接受单位基本情况</w:t>
            </w:r>
          </w:p>
        </w:tc>
      </w:tr>
      <w:tr w14:paraId="1F27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vAlign w:val="center"/>
          </w:tcPr>
          <w:p w14:paraId="065432E7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单位名称：宣城市富旺金属材料有限公司</w:t>
            </w:r>
          </w:p>
        </w:tc>
      </w:tr>
      <w:tr w14:paraId="267D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94" w:type="dxa"/>
            <w:vAlign w:val="center"/>
          </w:tcPr>
          <w:p w14:paraId="1662C030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危废经营许可证编号：</w:t>
            </w:r>
            <w:r>
              <w:rPr>
                <w:rFonts w:hint="eastAsia" w:ascii="仿宋" w:hAnsi="仿宋" w:eastAsia="仿宋" w:cs="仿宋"/>
              </w:rPr>
              <w:t>341802002</w:t>
            </w:r>
          </w:p>
        </w:tc>
        <w:tc>
          <w:tcPr>
            <w:tcW w:w="4551" w:type="dxa"/>
            <w:vAlign w:val="center"/>
          </w:tcPr>
          <w:p w14:paraId="3BABC603">
            <w:pPr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有效期：2021年9月2日至</w:t>
            </w:r>
            <w:r>
              <w:rPr>
                <w:rFonts w:ascii="Times New Roman"/>
              </w:rPr>
              <w:t>202</w:t>
            </w:r>
            <w:r>
              <w:rPr>
                <w:rFonts w:hint="eastAsia" w:ascii="Times New Roman"/>
              </w:rPr>
              <w:t>6年9月1日</w:t>
            </w:r>
          </w:p>
        </w:tc>
      </w:tr>
      <w:tr w14:paraId="5241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</w:tcPr>
          <w:p w14:paraId="718299E6"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经营核准内容（废物名称、类别、数量）：</w:t>
            </w:r>
          </w:p>
          <w:p w14:paraId="07E9B9F2">
            <w:pPr>
              <w:rPr>
                <w:rFonts w:ascii="Times New Roman"/>
              </w:rPr>
            </w:pPr>
          </w:p>
          <w:p w14:paraId="387F839D"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收集﹑贮存﹑综合利用</w:t>
            </w:r>
            <w:r>
              <w:rPr>
                <w:rFonts w:ascii="Times New Roman"/>
              </w:rPr>
              <w:t>HW17</w:t>
            </w:r>
            <w:r>
              <w:rPr>
                <w:rFonts w:hint="eastAsia" w:ascii="Times New Roman"/>
              </w:rPr>
              <w:t>表面处理废物（336-052-17、336-054-17、336-055-17、336-057-17、336-058-17、336-059-17、336-062-17、336-063-17、336-064-17、336-066-17）、</w:t>
            </w:r>
            <w:r>
              <w:rPr>
                <w:rFonts w:ascii="Times New Roman"/>
              </w:rPr>
              <w:t>HW22</w:t>
            </w:r>
            <w:r>
              <w:rPr>
                <w:rFonts w:hint="eastAsia" w:ascii="Times New Roman"/>
              </w:rPr>
              <w:t>含铜废物（304-001-22、398-004-22、398-005-22、398-051-22）﹑HW23含锌废物（312-001-23）、HW46含镍废物（261-087-46）、</w:t>
            </w:r>
            <w:r>
              <w:rPr>
                <w:rFonts w:ascii="Times New Roman"/>
              </w:rPr>
              <w:t>HW48</w:t>
            </w:r>
            <w:r>
              <w:rPr>
                <w:rFonts w:hint="eastAsia" w:ascii="Times New Roman"/>
              </w:rPr>
              <w:t>有色金属采选和冶炼废物（091-001-48、321-002-48、321-003-48、321-008-48、321-019-48、321-021-48、321-023-48、321-025-48、321-027-48、321-028-48、321-031-48、321-032-48）、HW49其他废物（900-046-49）共计</w:t>
            </w:r>
            <w:r>
              <w:rPr>
                <w:rFonts w:ascii="Times New Roman"/>
              </w:rPr>
              <w:t>1</w:t>
            </w:r>
            <w:r>
              <w:rPr>
                <w:rFonts w:hint="eastAsia" w:ascii="Times New Roman"/>
              </w:rPr>
              <w:t>6.68万吨/年。</w:t>
            </w:r>
          </w:p>
          <w:p w14:paraId="18AC094A">
            <w:pPr>
              <w:rPr>
                <w:rFonts w:ascii="Times New Roman"/>
              </w:rPr>
            </w:pPr>
          </w:p>
          <w:p w14:paraId="6847C0FA">
            <w:pPr>
              <w:rPr>
                <w:rFonts w:ascii="Times New Roman"/>
              </w:rPr>
            </w:pPr>
          </w:p>
        </w:tc>
      </w:tr>
    </w:tbl>
    <w:p w14:paraId="2FC1564F">
      <w:pPr>
        <w:rPr>
          <w:rFonts w:ascii="Times New Roman" w:hAnsi="Times New Roman"/>
        </w:rPr>
      </w:pPr>
    </w:p>
    <w:tbl>
      <w:tblPr>
        <w:tblStyle w:val="7"/>
        <w:tblW w:w="9363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 w14:paraId="688C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1" w:hRule="atLeast"/>
        </w:trPr>
        <w:tc>
          <w:tcPr>
            <w:tcW w:w="9363" w:type="dxa"/>
          </w:tcPr>
          <w:p w14:paraId="2E0A11B1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hint="eastAsia" w:ascii="Times New Roman"/>
                <w:b/>
                <w:bCs/>
              </w:rPr>
              <w:t>与接收废物相关的处理处置情况</w:t>
            </w:r>
          </w:p>
          <w:p w14:paraId="0B181A81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文字描述及工艺流程图</w:t>
            </w:r>
          </w:p>
          <w:p w14:paraId="0682B2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处理处置工艺技术（文字说明）：</w:t>
            </w:r>
          </w:p>
          <w:p w14:paraId="6655CBE0">
            <w:pPr>
              <w:spacing w:line="3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将危险废物置通过预处理烘干，制砖将含铜污泥和铜粉石灰等物料制作铜砖（方便物料冶炼</w:t>
            </w:r>
            <w:r>
              <w:rPr>
                <w:rFonts w:hint="eastAsia" w:ascii="Times New Roman" w:hAnsi="Times New Roman"/>
                <w:szCs w:val="24"/>
              </w:rPr>
              <w:t>），铜砖送粗炼间，粗炼炉生产黑铜，在精炼车间精炼炉生产粗铜含铜约97.5%，销售铜陵有色金属生产阳极铜。</w:t>
            </w:r>
          </w:p>
          <w:p w14:paraId="1171672A">
            <w:pPr>
              <w:rPr>
                <w:b/>
                <w:sz w:val="32"/>
                <w:szCs w:val="32"/>
              </w:rPr>
            </w:pPr>
          </w:p>
          <w:p w14:paraId="7A9F822C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drawing>
                <wp:inline distT="0" distB="0" distL="114300" distR="114300">
                  <wp:extent cx="5090160" cy="5570220"/>
                  <wp:effectExtent l="0" t="0" r="0" b="7620"/>
                  <wp:docPr id="8" name="图片 8" descr="16347142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34714271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557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2AFC8">
            <w:pPr>
              <w:rPr>
                <w:b/>
                <w:sz w:val="32"/>
                <w:szCs w:val="32"/>
              </w:rPr>
            </w:pPr>
          </w:p>
        </w:tc>
      </w:tr>
    </w:tbl>
    <w:p w14:paraId="4604197A">
      <w:pPr>
        <w:rPr>
          <w:rFonts w:ascii="Times New Roman" w:hAnsi="Times New Roma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4CE6DEC1"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第四部分上年度固体（危险）废物跨省转移情况</w:t>
      </w:r>
    </w:p>
    <w:tbl>
      <w:tblPr>
        <w:tblStyle w:val="7"/>
        <w:tblW w:w="1516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744"/>
      </w:tblGrid>
      <w:tr w14:paraId="7FC4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  <w:vAlign w:val="center"/>
          </w:tcPr>
          <w:p w14:paraId="51C7255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出厂日期</w:t>
            </w:r>
          </w:p>
        </w:tc>
        <w:tc>
          <w:tcPr>
            <w:tcW w:w="1460" w:type="dxa"/>
            <w:vAlign w:val="center"/>
          </w:tcPr>
          <w:p w14:paraId="3EE3924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转移批次</w:t>
            </w:r>
          </w:p>
        </w:tc>
        <w:tc>
          <w:tcPr>
            <w:tcW w:w="1460" w:type="dxa"/>
            <w:vAlign w:val="center"/>
          </w:tcPr>
          <w:p w14:paraId="0EE46EB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联单编号</w:t>
            </w:r>
          </w:p>
        </w:tc>
        <w:tc>
          <w:tcPr>
            <w:tcW w:w="1460" w:type="dxa"/>
            <w:vAlign w:val="center"/>
          </w:tcPr>
          <w:p w14:paraId="4A78889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废物名称</w:t>
            </w:r>
          </w:p>
        </w:tc>
        <w:tc>
          <w:tcPr>
            <w:tcW w:w="1460" w:type="dxa"/>
            <w:vAlign w:val="center"/>
          </w:tcPr>
          <w:p w14:paraId="2ECA688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类别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宋体"/>
              </w:rPr>
              <w:t>代码</w:t>
            </w:r>
          </w:p>
        </w:tc>
        <w:tc>
          <w:tcPr>
            <w:tcW w:w="1460" w:type="dxa"/>
            <w:vAlign w:val="center"/>
          </w:tcPr>
          <w:p w14:paraId="72A699F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转移量（吨）</w:t>
            </w:r>
          </w:p>
        </w:tc>
        <w:tc>
          <w:tcPr>
            <w:tcW w:w="1460" w:type="dxa"/>
            <w:vAlign w:val="center"/>
          </w:tcPr>
          <w:p w14:paraId="5B9035D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运输单位</w:t>
            </w:r>
          </w:p>
        </w:tc>
        <w:tc>
          <w:tcPr>
            <w:tcW w:w="1460" w:type="dxa"/>
            <w:vAlign w:val="center"/>
          </w:tcPr>
          <w:p w14:paraId="5317FE2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车号</w:t>
            </w:r>
          </w:p>
        </w:tc>
        <w:tc>
          <w:tcPr>
            <w:tcW w:w="1460" w:type="dxa"/>
            <w:vAlign w:val="center"/>
          </w:tcPr>
          <w:p w14:paraId="07DDBF5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接收单位</w:t>
            </w:r>
          </w:p>
        </w:tc>
        <w:tc>
          <w:tcPr>
            <w:tcW w:w="1744" w:type="dxa"/>
            <w:vAlign w:val="center"/>
          </w:tcPr>
          <w:p w14:paraId="226CB1C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接收日期</w:t>
            </w:r>
          </w:p>
        </w:tc>
      </w:tr>
      <w:tr w14:paraId="1245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00883D0B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60" w:type="dxa"/>
          </w:tcPr>
          <w:p w14:paraId="4628C22F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1B9798CD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62EDB7C1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AEEB531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2D58A1C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D494A78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6E7EBE7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592902E0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14644EBE">
            <w:pPr>
              <w:rPr>
                <w:rFonts w:ascii="Times New Roman" w:hAnsi="Times New Roman"/>
              </w:rPr>
            </w:pPr>
          </w:p>
        </w:tc>
      </w:tr>
      <w:tr w14:paraId="3B4B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6FA784D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800865B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9C60383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3EB4A53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5A58B30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431A7A5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11E26FB6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9615D4D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FCF1C65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0D7D42D7">
            <w:pPr>
              <w:rPr>
                <w:rFonts w:ascii="Times New Roman" w:hAnsi="Times New Roman"/>
              </w:rPr>
            </w:pPr>
          </w:p>
        </w:tc>
      </w:tr>
      <w:tr w14:paraId="45E9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31384F2F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00B3AE5D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1C35211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33C0AB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195F34F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724D3F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87291D5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ED08674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68BFAD6A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2F469EA6">
            <w:pPr>
              <w:rPr>
                <w:rFonts w:ascii="Times New Roman" w:hAnsi="Times New Roman"/>
              </w:rPr>
            </w:pPr>
          </w:p>
        </w:tc>
      </w:tr>
      <w:tr w14:paraId="69E2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4" w:type="dxa"/>
          </w:tcPr>
          <w:p w14:paraId="0C168FAC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7844DC19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89D3B27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0173E617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4BF757C4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1231C45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31775DBC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240BF69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14:paraId="08ABEA15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182B2D11">
            <w:pPr>
              <w:rPr>
                <w:rFonts w:ascii="Times New Roman" w:hAnsi="Times New Roman"/>
              </w:rPr>
            </w:pPr>
          </w:p>
        </w:tc>
      </w:tr>
      <w:tr w14:paraId="4202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68" w:type="dxa"/>
            <w:gridSpan w:val="10"/>
          </w:tcPr>
          <w:p w14:paraId="092AEE94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上年度未进行跨省转移</w:t>
            </w:r>
          </w:p>
        </w:tc>
      </w:tr>
    </w:tbl>
    <w:p w14:paraId="2D0A9A1F">
      <w:pPr>
        <w:spacing w:line="440" w:lineRule="exact"/>
        <w:rPr>
          <w:rFonts w:ascii="Times New Roman"/>
        </w:rPr>
      </w:pPr>
      <w:r>
        <w:rPr>
          <w:rFonts w:hint="eastAsia" w:ascii="Times New Roman"/>
        </w:rPr>
        <w:t>注：每种废物请填写合计量</w:t>
      </w:r>
    </w:p>
    <w:p w14:paraId="5EB742E9">
      <w:pPr>
        <w:spacing w:line="440" w:lineRule="exact"/>
        <w:rPr>
          <w:rFonts w:ascii="Times New Roman" w:hAnsi="Times New Roman" w:eastAsia="方正仿宋_GBK"/>
          <w:sz w:val="32"/>
          <w:szCs w:val="32"/>
        </w:rPr>
      </w:pPr>
    </w:p>
    <w:sectPr>
      <w:footerReference r:id="rId4" w:type="default"/>
      <w:pgSz w:w="16838" w:h="11906" w:orient="landscape"/>
      <w:pgMar w:top="1803" w:right="1440" w:bottom="1803" w:left="1440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AA244">
    <w:pPr>
      <w:pStyle w:val="4"/>
      <w:framePr w:wrap="around" w:vAnchor="text" w:hAnchor="margin" w:xAlign="center" w:y="1"/>
      <w:rPr>
        <w:rStyle w:val="9"/>
      </w:rPr>
    </w:pPr>
  </w:p>
  <w:p w14:paraId="5C43C4A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D31D50"/>
    <w:rsid w:val="00010AED"/>
    <w:rsid w:val="00011499"/>
    <w:rsid w:val="000229A6"/>
    <w:rsid w:val="00026BBD"/>
    <w:rsid w:val="00075A44"/>
    <w:rsid w:val="000812DF"/>
    <w:rsid w:val="0008390D"/>
    <w:rsid w:val="00093C85"/>
    <w:rsid w:val="000B2ACE"/>
    <w:rsid w:val="000E1E4D"/>
    <w:rsid w:val="000F12B0"/>
    <w:rsid w:val="00102CB8"/>
    <w:rsid w:val="00123965"/>
    <w:rsid w:val="0013663E"/>
    <w:rsid w:val="001649A7"/>
    <w:rsid w:val="0022487A"/>
    <w:rsid w:val="00251B29"/>
    <w:rsid w:val="002641B2"/>
    <w:rsid w:val="002661EE"/>
    <w:rsid w:val="00275EC6"/>
    <w:rsid w:val="00284081"/>
    <w:rsid w:val="0028576A"/>
    <w:rsid w:val="00287FFE"/>
    <w:rsid w:val="002A5B60"/>
    <w:rsid w:val="002B725B"/>
    <w:rsid w:val="002D5361"/>
    <w:rsid w:val="0031291B"/>
    <w:rsid w:val="00323B43"/>
    <w:rsid w:val="00324252"/>
    <w:rsid w:val="00330CE7"/>
    <w:rsid w:val="00340658"/>
    <w:rsid w:val="00361D13"/>
    <w:rsid w:val="003660CB"/>
    <w:rsid w:val="0037396B"/>
    <w:rsid w:val="003749DD"/>
    <w:rsid w:val="00395801"/>
    <w:rsid w:val="003D37D8"/>
    <w:rsid w:val="003F285C"/>
    <w:rsid w:val="003F6405"/>
    <w:rsid w:val="00405813"/>
    <w:rsid w:val="00417E57"/>
    <w:rsid w:val="004229A0"/>
    <w:rsid w:val="00426133"/>
    <w:rsid w:val="004358AB"/>
    <w:rsid w:val="00444EDF"/>
    <w:rsid w:val="00482353"/>
    <w:rsid w:val="004914DE"/>
    <w:rsid w:val="004C2A76"/>
    <w:rsid w:val="004D7670"/>
    <w:rsid w:val="004E469A"/>
    <w:rsid w:val="004E6049"/>
    <w:rsid w:val="0051572C"/>
    <w:rsid w:val="00522E85"/>
    <w:rsid w:val="005238FC"/>
    <w:rsid w:val="00535312"/>
    <w:rsid w:val="00591575"/>
    <w:rsid w:val="005964A7"/>
    <w:rsid w:val="005B0D17"/>
    <w:rsid w:val="005B6B44"/>
    <w:rsid w:val="005D2EA9"/>
    <w:rsid w:val="005F0C40"/>
    <w:rsid w:val="005F331C"/>
    <w:rsid w:val="00634EE7"/>
    <w:rsid w:val="00653AB7"/>
    <w:rsid w:val="006547F6"/>
    <w:rsid w:val="006553F1"/>
    <w:rsid w:val="006837F4"/>
    <w:rsid w:val="006A1D9B"/>
    <w:rsid w:val="006E5C04"/>
    <w:rsid w:val="006E7443"/>
    <w:rsid w:val="006F0ACA"/>
    <w:rsid w:val="006F1350"/>
    <w:rsid w:val="007320A8"/>
    <w:rsid w:val="00772E89"/>
    <w:rsid w:val="00785B4C"/>
    <w:rsid w:val="007A2AF9"/>
    <w:rsid w:val="007B7F1A"/>
    <w:rsid w:val="007D0DBA"/>
    <w:rsid w:val="007D23F2"/>
    <w:rsid w:val="007E7391"/>
    <w:rsid w:val="0081077F"/>
    <w:rsid w:val="00834C8D"/>
    <w:rsid w:val="00850D69"/>
    <w:rsid w:val="00874B56"/>
    <w:rsid w:val="0089571C"/>
    <w:rsid w:val="008B2572"/>
    <w:rsid w:val="008B7726"/>
    <w:rsid w:val="008D6E09"/>
    <w:rsid w:val="008F7FA5"/>
    <w:rsid w:val="00916820"/>
    <w:rsid w:val="00920004"/>
    <w:rsid w:val="00941FF1"/>
    <w:rsid w:val="0095743E"/>
    <w:rsid w:val="00977F0A"/>
    <w:rsid w:val="00990035"/>
    <w:rsid w:val="009930AE"/>
    <w:rsid w:val="009A0A73"/>
    <w:rsid w:val="009A7DC1"/>
    <w:rsid w:val="009F2B7B"/>
    <w:rsid w:val="009F2F47"/>
    <w:rsid w:val="009F6C9A"/>
    <w:rsid w:val="00A03C67"/>
    <w:rsid w:val="00A07274"/>
    <w:rsid w:val="00A10C31"/>
    <w:rsid w:val="00A15087"/>
    <w:rsid w:val="00A314CC"/>
    <w:rsid w:val="00A45AD3"/>
    <w:rsid w:val="00A47476"/>
    <w:rsid w:val="00A50EFD"/>
    <w:rsid w:val="00A734F0"/>
    <w:rsid w:val="00A74197"/>
    <w:rsid w:val="00A809CA"/>
    <w:rsid w:val="00A95AED"/>
    <w:rsid w:val="00AC0BF1"/>
    <w:rsid w:val="00AD0A96"/>
    <w:rsid w:val="00AD3894"/>
    <w:rsid w:val="00AE129B"/>
    <w:rsid w:val="00B01CFD"/>
    <w:rsid w:val="00B12862"/>
    <w:rsid w:val="00B22983"/>
    <w:rsid w:val="00B2427B"/>
    <w:rsid w:val="00B43AF0"/>
    <w:rsid w:val="00B44D10"/>
    <w:rsid w:val="00B65C92"/>
    <w:rsid w:val="00BB3120"/>
    <w:rsid w:val="00BC256B"/>
    <w:rsid w:val="00BE5688"/>
    <w:rsid w:val="00C462E9"/>
    <w:rsid w:val="00C50414"/>
    <w:rsid w:val="00C50BF9"/>
    <w:rsid w:val="00C914A9"/>
    <w:rsid w:val="00C962C9"/>
    <w:rsid w:val="00CA3651"/>
    <w:rsid w:val="00CA68EF"/>
    <w:rsid w:val="00CA7D7B"/>
    <w:rsid w:val="00CC2D4C"/>
    <w:rsid w:val="00CD3464"/>
    <w:rsid w:val="00CF0D97"/>
    <w:rsid w:val="00D07257"/>
    <w:rsid w:val="00D261A9"/>
    <w:rsid w:val="00D31D50"/>
    <w:rsid w:val="00DA482E"/>
    <w:rsid w:val="00DB16F4"/>
    <w:rsid w:val="00DD171B"/>
    <w:rsid w:val="00DE12D9"/>
    <w:rsid w:val="00E16878"/>
    <w:rsid w:val="00E5759B"/>
    <w:rsid w:val="00E63817"/>
    <w:rsid w:val="00E64E88"/>
    <w:rsid w:val="00E74D28"/>
    <w:rsid w:val="00EA08FB"/>
    <w:rsid w:val="00ED186D"/>
    <w:rsid w:val="00EE3A4A"/>
    <w:rsid w:val="00F7255C"/>
    <w:rsid w:val="00F73C36"/>
    <w:rsid w:val="00FB2FFD"/>
    <w:rsid w:val="00FC71CE"/>
    <w:rsid w:val="00FC783B"/>
    <w:rsid w:val="00FD150B"/>
    <w:rsid w:val="00FD3CB2"/>
    <w:rsid w:val="00FD7434"/>
    <w:rsid w:val="00FF60A3"/>
    <w:rsid w:val="010F450E"/>
    <w:rsid w:val="01BF3EBE"/>
    <w:rsid w:val="01F93C3C"/>
    <w:rsid w:val="02F73F9F"/>
    <w:rsid w:val="030A3167"/>
    <w:rsid w:val="06221EEA"/>
    <w:rsid w:val="084429A8"/>
    <w:rsid w:val="08D72000"/>
    <w:rsid w:val="0B6F7B5A"/>
    <w:rsid w:val="0DDC02D7"/>
    <w:rsid w:val="121F281E"/>
    <w:rsid w:val="141250E6"/>
    <w:rsid w:val="1C450063"/>
    <w:rsid w:val="1EF94219"/>
    <w:rsid w:val="1F6939D7"/>
    <w:rsid w:val="20A93FE1"/>
    <w:rsid w:val="280F3A4F"/>
    <w:rsid w:val="29CF2CA9"/>
    <w:rsid w:val="2CF5520C"/>
    <w:rsid w:val="2D005FF7"/>
    <w:rsid w:val="36FB3B66"/>
    <w:rsid w:val="41C329C8"/>
    <w:rsid w:val="44801DA4"/>
    <w:rsid w:val="45105568"/>
    <w:rsid w:val="456F7AF9"/>
    <w:rsid w:val="46C954D9"/>
    <w:rsid w:val="48594D9F"/>
    <w:rsid w:val="49B30CD4"/>
    <w:rsid w:val="51EF5509"/>
    <w:rsid w:val="555510EA"/>
    <w:rsid w:val="56A03FBC"/>
    <w:rsid w:val="56AF3095"/>
    <w:rsid w:val="56DD4DDB"/>
    <w:rsid w:val="58C94B8F"/>
    <w:rsid w:val="5B215840"/>
    <w:rsid w:val="5C0C5B31"/>
    <w:rsid w:val="5C3407D9"/>
    <w:rsid w:val="5D5270E3"/>
    <w:rsid w:val="5D5960BF"/>
    <w:rsid w:val="5E637A61"/>
    <w:rsid w:val="5F054E74"/>
    <w:rsid w:val="62B869B4"/>
    <w:rsid w:val="632A5F2A"/>
    <w:rsid w:val="6720446F"/>
    <w:rsid w:val="6FA9349B"/>
    <w:rsid w:val="70025F4D"/>
    <w:rsid w:val="72897066"/>
    <w:rsid w:val="74D2204F"/>
    <w:rsid w:val="751A2A49"/>
    <w:rsid w:val="75E8491A"/>
    <w:rsid w:val="79053793"/>
    <w:rsid w:val="7A413590"/>
    <w:rsid w:val="7A713AB7"/>
    <w:rsid w:val="7A83519F"/>
    <w:rsid w:val="7BB67EC4"/>
    <w:rsid w:val="7E6530C2"/>
    <w:rsid w:val="7EC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1"/>
    </w:rPr>
  </w:style>
  <w:style w:type="paragraph" w:styleId="3">
    <w:name w:val="Balloon Text"/>
    <w:basedOn w:val="1"/>
    <w:link w:val="16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纯文本 Char"/>
    <w:basedOn w:val="8"/>
    <w:link w:val="2"/>
    <w:semiHidden/>
    <w:qFormat/>
    <w:locked/>
    <w:uiPriority w:val="99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3">
    <w:name w:val="默认段落字体 Para Char Char Char1 Char Char Char 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character" w:customStyle="1" w:styleId="14">
    <w:name w:val="新正文 Char1"/>
    <w:basedOn w:val="8"/>
    <w:link w:val="15"/>
    <w:qFormat/>
    <w:locked/>
    <w:uiPriority w:val="99"/>
    <w:rPr>
      <w:rFonts w:ascii="仿宋_GB2312" w:eastAsia="仿宋_GB2312" w:cs="Times New Roman"/>
      <w:bCs/>
      <w:kern w:val="2"/>
      <w:sz w:val="24"/>
      <w:szCs w:val="24"/>
      <w:lang w:bidi="ar-SA"/>
    </w:rPr>
  </w:style>
  <w:style w:type="paragraph" w:customStyle="1" w:styleId="15">
    <w:name w:val="新正文"/>
    <w:basedOn w:val="1"/>
    <w:link w:val="14"/>
    <w:qFormat/>
    <w:uiPriority w:val="99"/>
    <w:pPr>
      <w:widowControl w:val="0"/>
      <w:adjustRightInd/>
      <w:snapToGrid/>
      <w:spacing w:after="0" w:line="480" w:lineRule="exact"/>
      <w:ind w:firstLine="567"/>
      <w:jc w:val="both"/>
    </w:pPr>
    <w:rPr>
      <w:rFonts w:ascii="仿宋_GB2312" w:hAnsi="Times New Roman" w:eastAsia="仿宋_GB2312"/>
      <w:bCs/>
      <w:kern w:val="2"/>
      <w:sz w:val="28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3"/>
    <customShpInfo spid="_x0000_s1032"/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4394</Words>
  <Characters>4883</Characters>
  <Lines>40</Lines>
  <Paragraphs>11</Paragraphs>
  <TotalTime>33</TotalTime>
  <ScaleCrop>false</ScaleCrop>
  <LinksUpToDate>false</LinksUpToDate>
  <CharactersWithSpaces>5343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烨</cp:lastModifiedBy>
  <cp:lastPrinted>2021-12-02T08:13:00Z</cp:lastPrinted>
  <dcterms:modified xsi:type="dcterms:W3CDTF">2025-07-21T02:34:16Z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04C682ACCEFE42FFBBF1ABB8DCBF3C02</vt:lpwstr>
  </property>
  <property fmtid="{D5CDD505-2E9C-101B-9397-08002B2CF9AE}" pid="4" name="KSOTemplateDocerSaveRecord">
    <vt:lpwstr>eyJoZGlkIjoiZjhmZDViYmJhNjUzZDZlOWQxZGI0NDQ2NjQwMGU4ZmQiLCJ1c2VySWQiOiI3NDc5OTMxNTcifQ==</vt:lpwstr>
  </property>
</Properties>
</file>