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F6E8C">
      <w:pPr>
        <w:jc w:val="center"/>
        <w:rPr>
          <w:rFonts w:ascii="Times New Roman" w:hAnsi="Times New Roman"/>
          <w:sz w:val="52"/>
        </w:rPr>
      </w:pPr>
    </w:p>
    <w:p w14:paraId="5624570A">
      <w:pPr>
        <w:jc w:val="center"/>
        <w:rPr>
          <w:rFonts w:ascii="Times New Roman" w:hAnsi="Times New Roman"/>
          <w:b/>
          <w:sz w:val="52"/>
          <w:szCs w:val="52"/>
        </w:rPr>
      </w:pPr>
    </w:p>
    <w:p w14:paraId="2B64E9A1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江苏省固体（危险）废物</w:t>
      </w:r>
    </w:p>
    <w:p w14:paraId="1E59D80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跨省（市）转移实施方案</w:t>
      </w:r>
    </w:p>
    <w:p w14:paraId="5E359E1C">
      <w:pPr>
        <w:jc w:val="center"/>
        <w:rPr>
          <w:rFonts w:ascii="Times New Roman" w:hAnsi="Times New Roman"/>
          <w:sz w:val="52"/>
        </w:rPr>
      </w:pPr>
    </w:p>
    <w:p w14:paraId="74FDFF25">
      <w:pPr>
        <w:jc w:val="center"/>
        <w:rPr>
          <w:rFonts w:ascii="Times New Roman" w:hAnsi="Times New Roman"/>
          <w:sz w:val="52"/>
        </w:rPr>
      </w:pPr>
    </w:p>
    <w:p w14:paraId="2FF88DF8">
      <w:pPr>
        <w:jc w:val="center"/>
        <w:rPr>
          <w:rFonts w:ascii="Times New Roman" w:hAnsi="Times New Roman"/>
        </w:rPr>
      </w:pPr>
    </w:p>
    <w:p w14:paraId="7CC29D52">
      <w:pPr>
        <w:rPr>
          <w:rFonts w:ascii="Times New Roman" w:hAnsi="Times New Roman"/>
        </w:rPr>
      </w:pPr>
    </w:p>
    <w:p w14:paraId="429802C9">
      <w:pPr>
        <w:rPr>
          <w:rFonts w:ascii="Times New Roman" w:hAnsi="Times New Roman"/>
        </w:rPr>
      </w:pPr>
    </w:p>
    <w:p w14:paraId="5844245D">
      <w:pPr>
        <w:rPr>
          <w:rFonts w:ascii="Times New Roman" w:hAnsi="Times New Roman"/>
        </w:rPr>
      </w:pPr>
    </w:p>
    <w:p w14:paraId="567C2DC9">
      <w:pPr>
        <w:rPr>
          <w:rFonts w:ascii="Times New Roman" w:hAnsi="Times New Roman"/>
        </w:rPr>
      </w:pPr>
    </w:p>
    <w:p w14:paraId="6C692B71">
      <w:pPr>
        <w:rPr>
          <w:rFonts w:ascii="Times New Roman" w:hAnsi="Times New Roman"/>
        </w:rPr>
      </w:pPr>
    </w:p>
    <w:p w14:paraId="08E4BEF2">
      <w:pPr>
        <w:rPr>
          <w:rFonts w:ascii="Times New Roman" w:hAnsi="Times New Roman"/>
        </w:rPr>
      </w:pPr>
    </w:p>
    <w:p w14:paraId="28A24D84">
      <w:pPr>
        <w:rPr>
          <w:rFonts w:ascii="Times New Roman" w:hAnsi="Times New Roman"/>
        </w:rPr>
      </w:pPr>
    </w:p>
    <w:p w14:paraId="5DEC4EBE">
      <w:pPr>
        <w:pStyle w:val="5"/>
        <w:tabs>
          <w:tab w:val="left" w:pos="5940"/>
        </w:tabs>
        <w:snapToGrid w:val="0"/>
        <w:ind w:firstLine="315" w:firstLineChars="98"/>
        <w:rPr>
          <w:rFonts w:ascii="Times New Roman" w:hAnsi="Times New Roman" w:cs="Times New Roman"/>
          <w:b/>
          <w:sz w:val="32"/>
        </w:rPr>
      </w:pPr>
      <w:r>
        <w:rPr>
          <w:rFonts w:ascii="Times New Roman" w:hAnsi="宋体" w:cs="Times New Roman"/>
          <w:b/>
          <w:sz w:val="32"/>
        </w:rPr>
        <w:t>申请单位：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  <w:u w:val="single"/>
        </w:rPr>
        <w:t>常州翔宇资源再生科技有限公司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</w:rPr>
        <w:t>（公章）</w:t>
      </w:r>
    </w:p>
    <w:p w14:paraId="02FF44FC"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 w14:paraId="4616345F"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 w14:paraId="30A8F77E">
      <w:pPr>
        <w:tabs>
          <w:tab w:val="left" w:pos="5940"/>
        </w:tabs>
        <w:snapToGrid w:val="0"/>
        <w:ind w:firstLine="315" w:firstLineChars="98"/>
        <w:rPr>
          <w:rFonts w:ascii="Times New Roman" w:hAnsi="Times New Roman"/>
          <w:b/>
          <w:sz w:val="32"/>
        </w:rPr>
      </w:pPr>
      <w:r>
        <w:rPr>
          <w:rFonts w:ascii="Times New Roman" w:hAnsi="宋体"/>
          <w:b/>
          <w:sz w:val="32"/>
        </w:rPr>
        <w:t>填报日期：</w:t>
      </w:r>
      <w:r>
        <w:rPr>
          <w:rFonts w:ascii="Times New Roman" w:hAnsi="Times New Roman"/>
          <w:b/>
          <w:sz w:val="32"/>
          <w:u w:val="single"/>
        </w:rPr>
        <w:t xml:space="preserve">       20</w:t>
      </w:r>
      <w:r>
        <w:rPr>
          <w:rFonts w:hint="eastAsia"/>
          <w:b/>
          <w:sz w:val="32"/>
          <w:u w:val="single"/>
          <w:lang w:val="en-US" w:eastAsia="zh-CN"/>
        </w:rPr>
        <w:t>22</w:t>
      </w:r>
      <w:r>
        <w:rPr>
          <w:rFonts w:ascii="Times New Roman" w:hAnsi="宋体"/>
          <w:b/>
          <w:sz w:val="32"/>
          <w:u w:val="single"/>
        </w:rPr>
        <w:t>年</w:t>
      </w:r>
      <w:r>
        <w:rPr>
          <w:rFonts w:hint="eastAsia" w:hAnsi="宋体"/>
          <w:b/>
          <w:sz w:val="32"/>
          <w:u w:val="single"/>
          <w:lang w:val="en-US" w:eastAsia="zh-CN"/>
        </w:rPr>
        <w:t>0</w:t>
      </w:r>
      <w:r>
        <w:rPr>
          <w:rFonts w:hint="eastAsia"/>
          <w:b/>
          <w:sz w:val="32"/>
          <w:u w:val="single"/>
          <w:lang w:val="en-US" w:eastAsia="zh-CN"/>
        </w:rPr>
        <w:t>4</w:t>
      </w:r>
      <w:r>
        <w:rPr>
          <w:rFonts w:ascii="Times New Roman" w:hAnsi="宋体"/>
          <w:b/>
          <w:sz w:val="32"/>
          <w:u w:val="single"/>
        </w:rPr>
        <w:t>月</w:t>
      </w:r>
      <w:r>
        <w:rPr>
          <w:rFonts w:hint="eastAsia"/>
          <w:b/>
          <w:sz w:val="32"/>
          <w:u w:val="single"/>
          <w:lang w:val="en-US" w:eastAsia="zh-CN"/>
        </w:rPr>
        <w:t>22</w:t>
      </w:r>
      <w:r>
        <w:rPr>
          <w:rFonts w:ascii="Times New Roman" w:hAnsi="宋体"/>
          <w:b/>
          <w:sz w:val="32"/>
          <w:u w:val="single"/>
        </w:rPr>
        <w:t>日</w:t>
      </w:r>
      <w:r>
        <w:rPr>
          <w:rFonts w:ascii="Times New Roman" w:hAnsi="Times New Roman"/>
          <w:b/>
          <w:sz w:val="32"/>
          <w:u w:val="single"/>
        </w:rPr>
        <w:t xml:space="preserve">      </w:t>
      </w:r>
      <w:r>
        <w:rPr>
          <w:rFonts w:ascii="Times New Roman" w:hAnsi="Times New Roman"/>
          <w:b/>
          <w:sz w:val="32"/>
        </w:rPr>
        <w:t xml:space="preserve">     </w:t>
      </w:r>
    </w:p>
    <w:p w14:paraId="337971F2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0B2DE8C1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spacing w:val="20"/>
          <w:sz w:val="30"/>
        </w:rPr>
      </w:pPr>
    </w:p>
    <w:p w14:paraId="0E5CFB19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2C55CDDC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2E905D73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4997B4BB">
      <w:pPr>
        <w:tabs>
          <w:tab w:val="left" w:pos="5940"/>
        </w:tabs>
        <w:snapToGrid w:val="0"/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286" w:charSpace="0"/>
        </w:sectPr>
      </w:pPr>
      <w:r>
        <w:rPr>
          <w:rFonts w:ascii="Times New Roman" w:hAnsi="宋体"/>
          <w:b/>
          <w:sz w:val="24"/>
        </w:rPr>
        <w:t>江苏省环境保护厅制</w:t>
      </w:r>
    </w:p>
    <w:p w14:paraId="191FC139">
      <w:pPr>
        <w:ind w:right="-758" w:rightChars="-361" w:firstLine="3080" w:firstLineChars="700"/>
        <w:rPr>
          <w:rFonts w:ascii="Times New Roman" w:hAnsi="Times New Roman"/>
          <w:sz w:val="44"/>
          <w:szCs w:val="44"/>
        </w:rPr>
      </w:pPr>
      <w:r>
        <w:rPr>
          <w:rFonts w:ascii="Times New Roman" w:hAnsi="宋体"/>
          <w:sz w:val="44"/>
          <w:szCs w:val="44"/>
        </w:rPr>
        <w:t>申请者声明</w:t>
      </w:r>
    </w:p>
    <w:p w14:paraId="13D88143">
      <w:pPr>
        <w:ind w:right="-758" w:rightChars="-361"/>
        <w:jc w:val="center"/>
        <w:rPr>
          <w:rFonts w:ascii="Times New Roman" w:hAnsi="Times New Roman"/>
          <w:b/>
          <w:sz w:val="44"/>
          <w:szCs w:val="44"/>
        </w:rPr>
      </w:pPr>
    </w:p>
    <w:p w14:paraId="2B11F777">
      <w:pPr>
        <w:spacing w:line="360" w:lineRule="auto"/>
        <w:ind w:left="-210" w:leftChars="-100" w:right="-210" w:rightChars="-100"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宋体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 w14:paraId="176A05BE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</w:t>
      </w:r>
    </w:p>
    <w:p w14:paraId="2F20BC1E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 w14:paraId="18111A71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 w14:paraId="71638F29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14:paraId="2146A421">
      <w:pPr>
        <w:ind w:left="-210" w:leftChars="-100" w:right="-210" w:rightChars="-100" w:firstLine="126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ascii="Times New Roman" w:hAnsi="宋体"/>
          <w:sz w:val="32"/>
          <w:szCs w:val="32"/>
        </w:rPr>
        <w:t>法人代表签字：</w:t>
      </w:r>
    </w:p>
    <w:p w14:paraId="54B28793"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>
        <w:rPr>
          <w:rFonts w:ascii="Times New Roman" w:hAnsi="宋体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日</w:t>
      </w:r>
    </w:p>
    <w:p w14:paraId="52C8A5BF"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</w:p>
    <w:p w14:paraId="6E98A6A3"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 w14:paraId="574972AC"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 w14:paraId="38DE9D6A"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 w14:paraId="7E4C0E4C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6D565833">
      <w:pPr>
        <w:ind w:right="-758" w:rightChars="-361"/>
        <w:rPr>
          <w:rFonts w:ascii="Times New Roman" w:hAnsi="Times New Roman"/>
          <w:sz w:val="28"/>
        </w:rPr>
      </w:pPr>
    </w:p>
    <w:p w14:paraId="7D5DF2C5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21CBC951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1E301F2E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67064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第一部分：拟转移废物基本情况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52"/>
        <w:gridCol w:w="1350"/>
        <w:gridCol w:w="2409"/>
        <w:gridCol w:w="1806"/>
      </w:tblGrid>
      <w:tr w14:paraId="4DF5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135" w:type="dxa"/>
            <w:gridSpan w:val="5"/>
            <w:noWrap w:val="0"/>
            <w:vAlign w:val="top"/>
          </w:tcPr>
          <w:p w14:paraId="454AF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宋体"/>
                <w:sz w:val="24"/>
                <w:szCs w:val="24"/>
              </w:rPr>
              <w:t>废物产生情况</w:t>
            </w:r>
          </w:p>
        </w:tc>
      </w:tr>
      <w:tr w14:paraId="648E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9135" w:type="dxa"/>
            <w:gridSpan w:val="5"/>
            <w:noWrap w:val="0"/>
            <w:vAlign w:val="top"/>
          </w:tcPr>
          <w:p w14:paraId="5FB2DDF0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废物产生企业概况（企业投产时间、主要经营范围及规模）</w:t>
            </w:r>
          </w:p>
          <w:p w14:paraId="14C243DC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常州翔宇资源再生科技有限公司组建于</w:t>
            </w:r>
            <w:r>
              <w:rPr>
                <w:rFonts w:ascii="Times New Roman" w:hAnsi="Times New Roman"/>
                <w:szCs w:val="21"/>
              </w:rPr>
              <w:t>2008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宋体"/>
                <w:szCs w:val="21"/>
              </w:rPr>
              <w:t>月，注册资金</w:t>
            </w:r>
            <w:r>
              <w:rPr>
                <w:rFonts w:ascii="Times New Roman" w:hAnsi="Times New Roman"/>
                <w:szCs w:val="21"/>
              </w:rPr>
              <w:t>3000</w:t>
            </w:r>
            <w:r>
              <w:rPr>
                <w:rFonts w:ascii="Times New Roman" w:hAnsi="宋体"/>
                <w:szCs w:val="21"/>
              </w:rPr>
              <w:t>万元，总投资</w:t>
            </w:r>
            <w:r>
              <w:rPr>
                <w:rFonts w:ascii="Times New Roman" w:hAnsi="Times New Roman"/>
                <w:szCs w:val="21"/>
              </w:rPr>
              <w:t>2.8</w:t>
            </w:r>
            <w:r>
              <w:rPr>
                <w:rFonts w:ascii="Times New Roman" w:hAnsi="宋体"/>
                <w:szCs w:val="21"/>
              </w:rPr>
              <w:t>亿元，总面积达</w:t>
            </w:r>
            <w:r>
              <w:rPr>
                <w:rFonts w:ascii="Times New Roman" w:hAnsi="Times New Roman"/>
                <w:szCs w:val="21"/>
              </w:rPr>
              <w:t>63669</w:t>
            </w:r>
            <w:r>
              <w:rPr>
                <w:rFonts w:ascii="Times New Roman" w:hAnsi="宋体"/>
                <w:szCs w:val="21"/>
              </w:rPr>
              <w:t>平方米，为江苏省十二五规划废旧电器电子产品处置定点单位。主要</w:t>
            </w:r>
            <w:r>
              <w:rPr>
                <w:rFonts w:hint="eastAsia" w:hAnsi="宋体"/>
                <w:szCs w:val="21"/>
                <w:lang w:eastAsia="zh-CN"/>
              </w:rPr>
              <w:t>从事</w:t>
            </w:r>
            <w:r>
              <w:rPr>
                <w:rFonts w:ascii="Times New Roman" w:hAnsi="宋体"/>
                <w:szCs w:val="21"/>
              </w:rPr>
              <w:t>废旧电视机、电冰箱、洗衣机、房间空气调节器、微型计算机的处理业务。目前已建成年处置各类电子废弃物</w:t>
            </w:r>
            <w:r>
              <w:rPr>
                <w:rFonts w:ascii="Times New Roman" w:hAnsi="Times New Roman"/>
                <w:szCs w:val="21"/>
              </w:rPr>
              <w:t>25000</w:t>
            </w:r>
            <w:r>
              <w:rPr>
                <w:rFonts w:ascii="Times New Roman" w:hAnsi="宋体"/>
                <w:szCs w:val="21"/>
              </w:rPr>
              <w:t>吨的生产线，贵金属资源化率不低于</w:t>
            </w:r>
            <w:r>
              <w:rPr>
                <w:rFonts w:ascii="Times New Roman" w:hAnsi="Times New Roman"/>
                <w:szCs w:val="21"/>
              </w:rPr>
              <w:t>98%</w:t>
            </w:r>
            <w:r>
              <w:rPr>
                <w:rFonts w:ascii="Times New Roman" w:hAnsi="宋体"/>
                <w:szCs w:val="21"/>
              </w:rPr>
              <w:t>。</w:t>
            </w:r>
          </w:p>
        </w:tc>
      </w:tr>
      <w:tr w14:paraId="1D1D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35" w:type="dxa"/>
            <w:gridSpan w:val="5"/>
            <w:noWrap w:val="0"/>
            <w:vAlign w:val="center"/>
          </w:tcPr>
          <w:p w14:paraId="4DC2AFE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产品及产废情况</w:t>
            </w:r>
          </w:p>
        </w:tc>
      </w:tr>
      <w:tr w14:paraId="1FE1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920" w:type="dxa"/>
            <w:gridSpan w:val="3"/>
            <w:noWrap w:val="0"/>
            <w:vAlign w:val="center"/>
          </w:tcPr>
          <w:p w14:paraId="4E4EE1B5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产品情况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 w14:paraId="20157D66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产生危险废物情况</w:t>
            </w:r>
          </w:p>
        </w:tc>
      </w:tr>
      <w:tr w14:paraId="20C3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8" w:type="dxa"/>
            <w:noWrap w:val="0"/>
            <w:vAlign w:val="center"/>
          </w:tcPr>
          <w:p w14:paraId="2E86B5B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产品名称</w:t>
            </w:r>
          </w:p>
        </w:tc>
        <w:tc>
          <w:tcPr>
            <w:tcW w:w="2052" w:type="dxa"/>
            <w:noWrap w:val="0"/>
            <w:vAlign w:val="center"/>
          </w:tcPr>
          <w:p w14:paraId="02CCE97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主要成分化学名</w:t>
            </w:r>
          </w:p>
        </w:tc>
        <w:tc>
          <w:tcPr>
            <w:tcW w:w="1350" w:type="dxa"/>
            <w:noWrap w:val="0"/>
            <w:vAlign w:val="center"/>
          </w:tcPr>
          <w:p w14:paraId="139FD71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年产量</w:t>
            </w:r>
          </w:p>
        </w:tc>
        <w:tc>
          <w:tcPr>
            <w:tcW w:w="2409" w:type="dxa"/>
            <w:noWrap w:val="0"/>
            <w:vAlign w:val="center"/>
          </w:tcPr>
          <w:p w14:paraId="6B1084C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806" w:type="dxa"/>
            <w:noWrap w:val="0"/>
            <w:vAlign w:val="center"/>
          </w:tcPr>
          <w:p w14:paraId="57EBD19F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年产生量</w:t>
            </w:r>
          </w:p>
        </w:tc>
      </w:tr>
      <w:tr w14:paraId="7684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07CC7352">
            <w:pPr>
              <w:spacing w:line="300" w:lineRule="exact"/>
              <w:jc w:val="both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再生金属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 w14:paraId="4087764D">
            <w:pPr>
              <w:spacing w:line="30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铜、铁、铝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16B33B0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lang w:val="en-US" w:eastAsia="zh-CN"/>
              </w:rPr>
              <w:t>5000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  <w:tc>
          <w:tcPr>
            <w:tcW w:w="2409" w:type="dxa"/>
            <w:noWrap w:val="0"/>
            <w:vAlign w:val="center"/>
          </w:tcPr>
          <w:p w14:paraId="2E3D7CE1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806" w:type="dxa"/>
            <w:noWrap w:val="0"/>
            <w:vAlign w:val="center"/>
          </w:tcPr>
          <w:p w14:paraId="0FD1C50C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</w:tr>
      <w:tr w14:paraId="4810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7BCFA9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769C212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9F7264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159D3FB0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59B87B60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14:paraId="7DA8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CB12B3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FC382C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07B726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395969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48ECF7A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61D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023D1C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53284C2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8B0950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1AD3BD3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2480953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A43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31209B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131908C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D4FFAD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1B30E20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0B2847E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1BE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7AAFA7A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5DD0637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0A6ADAA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D5923B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582E6CD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D6E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A43231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3BDF6E0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59E56A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330E0A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4C5D181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50A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3716119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20DFA63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04BFA9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E79D61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68D69D9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02C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7CB6244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5566B54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BD5B8B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1C18913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62987F3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61B6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12AB3AC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2AEA1D4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89E3FD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4CFA53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33ABDFB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6CA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07922AB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52F437E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736A54D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63410A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5AA4F8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76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6CA677C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5B79CFC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BBDC1C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0B8A9C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42BA9EC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132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23DB9D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4D12C9B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D0E999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114C37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D55EDA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B70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1EEBD31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742EC6A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3B609B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CE6DE6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6D1FE93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272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6E9BF47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0927D72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5EA3AC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5CC1DD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763C996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896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6B391A8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77C033A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3DF355A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B722C3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7C78B39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12B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1B44DB73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0C98B8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BEE12A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26408C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661A7E7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69C1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168D30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924F6C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0C749E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1DB19F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3C8160C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FE5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18C74A1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4BBE3C3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DD93B0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39CDD7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7F60549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DF4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7E893C3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3D2231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D8046C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11BDC5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9F7F2E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CDA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35" w:type="dxa"/>
            <w:gridSpan w:val="5"/>
            <w:noWrap w:val="0"/>
            <w:vAlign w:val="center"/>
          </w:tcPr>
          <w:p w14:paraId="71D0C3D3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宋体"/>
                <w:sz w:val="24"/>
                <w:szCs w:val="24"/>
              </w:rPr>
              <w:t>与申请转移废物相关的生产工艺</w:t>
            </w:r>
          </w:p>
        </w:tc>
      </w:tr>
      <w:tr w14:paraId="5CC7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8" w:hRule="atLeast"/>
        </w:trPr>
        <w:tc>
          <w:tcPr>
            <w:tcW w:w="9135" w:type="dxa"/>
            <w:gridSpan w:val="5"/>
            <w:noWrap w:val="0"/>
            <w:vAlign w:val="top"/>
          </w:tcPr>
          <w:p w14:paraId="1D523A2F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 w14:paraId="4033004B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电视机和电脑显示器，通过人工分选，废旧电视机、电脑显示器被人工分拣出来，进拆解处理线。整个拆解过程均为人工作业。拆解及液压打包过程中产生少量无组织粉尘（</w:t>
            </w:r>
            <w:r>
              <w:rPr>
                <w:rFonts w:ascii="Times New Roman" w:hAnsi="Times New Roman"/>
                <w:szCs w:val="21"/>
              </w:rPr>
              <w:t>Gu1</w:t>
            </w:r>
            <w:r>
              <w:rPr>
                <w:rFonts w:ascii="Times New Roman" w:hAnsi="宋体"/>
                <w:szCs w:val="21"/>
              </w:rPr>
              <w:t>），项目采取干式吸尘器清理废家电表面灰尘，以减少粉尘的产生。正常拆解过程中没有重金属逸出。废电器由输送带输送到拆解点，用电动改锥等工具手工拆解电视机、电脑显示器后盖箱，预先取出显像管、线路板、电源线等，然后依次拆除扬声器、机壳等。在显像管拆除时，工人采取防护措施，避免电视机及显示器中阴极射线管破碎导致内部的铅、汞、磷物质的泄露。</w:t>
            </w:r>
          </w:p>
          <w:p w14:paraId="570841E6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项目拆解产物阴极射线管进处理设备分选为屏玻璃和锥玻璃，工人采取防护措施，避免电视机及显示器中阴极射线管破碎导致内部的铅、汞、磷物质的泄露。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 w14:paraId="7AF7DE22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分离线路板上的电源线、数据线、散热片等，电源线及数据线与废电线一并处理，散热片（铝、铁）打包销售，剩余电子元器件等线路板送往原有生产线暂存资源化处理。</w:t>
            </w:r>
          </w:p>
          <w:p w14:paraId="07A9CFDA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分离出的电缆、电源线、数据线等经拆线机分离塑料和铜丝，电线塑料厂区利用，铜丝经铜米机切制铜米，外售利用。</w:t>
            </w:r>
          </w:p>
          <w:p w14:paraId="68F5711F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58420</wp:posOffset>
                  </wp:positionV>
                  <wp:extent cx="3746500" cy="1893570"/>
                  <wp:effectExtent l="0" t="0" r="6350" b="11430"/>
                  <wp:wrapSquare wrapText="bothSides"/>
                  <wp:docPr id="3" name="图片 27" descr="工艺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" descr="工艺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17985E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14:paraId="3D925A28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319E73F2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18373E08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28326900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1212D6B9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0C42AB41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</w:tbl>
    <w:p w14:paraId="4CC6E1A3">
      <w:pPr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69"/>
        <w:gridCol w:w="1680"/>
        <w:gridCol w:w="2205"/>
        <w:gridCol w:w="1680"/>
      </w:tblGrid>
      <w:tr w14:paraId="7A6C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35" w:type="dxa"/>
            <w:gridSpan w:val="5"/>
            <w:noWrap w:val="0"/>
            <w:vAlign w:val="center"/>
          </w:tcPr>
          <w:p w14:paraId="73703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宋体"/>
                <w:sz w:val="24"/>
                <w:szCs w:val="24"/>
              </w:rPr>
              <w:t>废物组分、特性（详见附件）</w:t>
            </w:r>
          </w:p>
        </w:tc>
      </w:tr>
      <w:tr w14:paraId="32F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1" w:type="dxa"/>
            <w:noWrap w:val="0"/>
            <w:vAlign w:val="center"/>
          </w:tcPr>
          <w:p w14:paraId="6745D58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noWrap w:val="0"/>
            <w:vAlign w:val="center"/>
          </w:tcPr>
          <w:p w14:paraId="4B4C0FF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noWrap w:val="0"/>
            <w:vAlign w:val="center"/>
          </w:tcPr>
          <w:p w14:paraId="55D4581C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noWrap w:val="0"/>
            <w:vAlign w:val="center"/>
          </w:tcPr>
          <w:p w14:paraId="265D3512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680" w:type="dxa"/>
            <w:noWrap w:val="0"/>
            <w:vAlign w:val="center"/>
          </w:tcPr>
          <w:p w14:paraId="04428DE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 w14:paraId="6157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restart"/>
            <w:noWrap w:val="0"/>
            <w:vAlign w:val="top"/>
          </w:tcPr>
          <w:p w14:paraId="24616B32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769" w:type="dxa"/>
            <w:noWrap w:val="0"/>
            <w:vAlign w:val="top"/>
          </w:tcPr>
          <w:p w14:paraId="0D29865C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PbO</w:t>
            </w:r>
          </w:p>
        </w:tc>
        <w:tc>
          <w:tcPr>
            <w:tcW w:w="1680" w:type="dxa"/>
            <w:noWrap w:val="0"/>
            <w:vAlign w:val="top"/>
          </w:tcPr>
          <w:p w14:paraId="48A19469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18-24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 w14:paraId="379776E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4F3DB9EA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</w:rPr>
              <w:t>█</w:t>
            </w:r>
          </w:p>
          <w:p w14:paraId="091C31F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3E05620E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174EBCDF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1DB498F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</w:rPr>
              <w:t>█</w:t>
            </w:r>
          </w:p>
          <w:p w14:paraId="4EAC7B72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441BA81E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706F916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42583E9F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 w14:paraId="0973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03EFD5C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4883CAF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4D7E763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74E86E0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3AC4CB5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1D78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02151E4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3C73832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1D4CE30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5D2B286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2DAFBC1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742C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685DF0B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062D8618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7D16E0C1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59B2E778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1D81D0D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0C8E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773AD86A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1230A768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5174985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69DEA293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17E0DC3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72CE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restart"/>
            <w:noWrap w:val="0"/>
            <w:vAlign w:val="top"/>
          </w:tcPr>
          <w:p w14:paraId="4E48C21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6595CF0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1CF336C3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3CF9DFF4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2035D97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7A73D6B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7B47BAD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 w14:paraId="43E88CDA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0C477D02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 w14:paraId="2EDF87D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5AEE574E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31CB19C2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3C43580E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14:paraId="718E717B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336D135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22A74C4B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1BD96870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 w14:paraId="624B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6941637F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21790DA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785B53D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020344D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3B1D350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5BE8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1A8E25F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43D52CF3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2A1AA96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36A76BD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49F1D3D9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1195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12B234C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4F9AAE5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7DD5B701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41E41FC9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1741C4B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6736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4B659DE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14DA31C1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769FE06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5F7CC6B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52516CD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4C45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noWrap w:val="0"/>
            <w:vAlign w:val="top"/>
          </w:tcPr>
          <w:p w14:paraId="57F2E62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2A9D22C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49FF1348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12C173A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7F301CA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0C635C1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2FDC85C4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29A2DC7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25F60E69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 w14:paraId="70E6291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2661E52C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026295BD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noWrap w:val="0"/>
            <w:vAlign w:val="center"/>
          </w:tcPr>
          <w:p w14:paraId="033E13D5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14:paraId="5ED8FF07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6D5BEE50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672F7780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7205C5FF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 w14:paraId="099C9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第二部分：废物包装、运输情况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34"/>
        <w:gridCol w:w="2075"/>
        <w:gridCol w:w="1421"/>
        <w:gridCol w:w="1379"/>
        <w:gridCol w:w="1716"/>
      </w:tblGrid>
      <w:tr w14:paraId="404F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240" w:type="dxa"/>
            <w:gridSpan w:val="6"/>
            <w:noWrap w:val="0"/>
            <w:vAlign w:val="center"/>
          </w:tcPr>
          <w:p w14:paraId="7875744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废物包装情况</w:t>
            </w:r>
          </w:p>
        </w:tc>
      </w:tr>
      <w:tr w14:paraId="3778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5" w:type="dxa"/>
            <w:noWrap w:val="0"/>
            <w:vAlign w:val="center"/>
          </w:tcPr>
          <w:p w14:paraId="62F04C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 w14:paraId="4E588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2075" w:type="dxa"/>
            <w:noWrap w:val="0"/>
            <w:vAlign w:val="center"/>
          </w:tcPr>
          <w:p w14:paraId="42761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包装物（容器）名称</w:t>
            </w:r>
          </w:p>
        </w:tc>
        <w:tc>
          <w:tcPr>
            <w:tcW w:w="1421" w:type="dxa"/>
            <w:noWrap w:val="0"/>
            <w:vAlign w:val="center"/>
          </w:tcPr>
          <w:p w14:paraId="011E9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材质</w:t>
            </w:r>
          </w:p>
        </w:tc>
        <w:tc>
          <w:tcPr>
            <w:tcW w:w="1379" w:type="dxa"/>
            <w:noWrap w:val="0"/>
            <w:vAlign w:val="center"/>
          </w:tcPr>
          <w:p w14:paraId="59DB7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容积</w:t>
            </w:r>
          </w:p>
        </w:tc>
        <w:tc>
          <w:tcPr>
            <w:tcW w:w="1716" w:type="dxa"/>
            <w:noWrap w:val="0"/>
            <w:vAlign w:val="center"/>
          </w:tcPr>
          <w:p w14:paraId="09E84A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是否有危废标签</w:t>
            </w:r>
          </w:p>
        </w:tc>
      </w:tr>
      <w:tr w14:paraId="24B6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7B6A08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noWrap w:val="0"/>
            <w:vAlign w:val="center"/>
          </w:tcPr>
          <w:p w14:paraId="6E6E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 w:hAnsi="宋体"/>
              </w:rPr>
              <w:t>锥玻璃</w:t>
            </w:r>
          </w:p>
        </w:tc>
        <w:tc>
          <w:tcPr>
            <w:tcW w:w="2075" w:type="dxa"/>
            <w:noWrap w:val="0"/>
            <w:vAlign w:val="center"/>
          </w:tcPr>
          <w:p w14:paraId="67D538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吨包</w:t>
            </w:r>
          </w:p>
        </w:tc>
        <w:tc>
          <w:tcPr>
            <w:tcW w:w="1421" w:type="dxa"/>
            <w:noWrap w:val="0"/>
            <w:vAlign w:val="center"/>
          </w:tcPr>
          <w:p w14:paraId="6EB6E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聚乙烯</w:t>
            </w:r>
          </w:p>
        </w:tc>
        <w:tc>
          <w:tcPr>
            <w:tcW w:w="1379" w:type="dxa"/>
            <w:noWrap w:val="0"/>
            <w:vAlign w:val="center"/>
          </w:tcPr>
          <w:p w14:paraId="202D40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宋体"/>
              </w:rPr>
              <w:t>立方米</w:t>
            </w:r>
          </w:p>
        </w:tc>
        <w:tc>
          <w:tcPr>
            <w:tcW w:w="1716" w:type="dxa"/>
            <w:noWrap w:val="0"/>
            <w:vAlign w:val="center"/>
          </w:tcPr>
          <w:p w14:paraId="0C3003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</w:t>
            </w:r>
          </w:p>
        </w:tc>
      </w:tr>
      <w:tr w14:paraId="46CD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4A80DC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3806BB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40EF74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E2C55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3A082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3AD91B5">
            <w:pPr>
              <w:jc w:val="center"/>
              <w:rPr>
                <w:rFonts w:ascii="Times New Roman" w:hAnsi="Times New Roman"/>
              </w:rPr>
            </w:pPr>
          </w:p>
        </w:tc>
      </w:tr>
      <w:tr w14:paraId="118B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5AD1C1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106B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2BE1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FA736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3775DD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4F6D4E8">
            <w:pPr>
              <w:jc w:val="center"/>
              <w:rPr>
                <w:rFonts w:ascii="Times New Roman" w:hAnsi="Times New Roman"/>
              </w:rPr>
            </w:pPr>
          </w:p>
        </w:tc>
      </w:tr>
      <w:tr w14:paraId="01D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477AC4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30C36E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59616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3A09C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3086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9DA5650">
            <w:pPr>
              <w:jc w:val="center"/>
              <w:rPr>
                <w:rFonts w:ascii="Times New Roman" w:hAnsi="Times New Roman"/>
              </w:rPr>
            </w:pPr>
          </w:p>
        </w:tc>
      </w:tr>
      <w:tr w14:paraId="4278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2DB21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75CA67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40876E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EEA72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6E50B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67B87E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362618A">
      <w:pPr>
        <w:rPr>
          <w:rFonts w:ascii="Times New Roman" w:hAnsi="Times New Roman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D92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0" w:type="dxa"/>
            <w:noWrap w:val="0"/>
            <w:vAlign w:val="center"/>
          </w:tcPr>
          <w:p w14:paraId="650E3A3E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 w:hAnsi="宋体"/>
                <w:b/>
                <w:bCs/>
                <w:szCs w:val="24"/>
              </w:rPr>
              <w:t>废物运输情况</w:t>
            </w:r>
          </w:p>
        </w:tc>
      </w:tr>
      <w:tr w14:paraId="2268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240" w:type="dxa"/>
            <w:noWrap w:val="0"/>
            <w:vAlign w:val="top"/>
          </w:tcPr>
          <w:p w14:paraId="4A9780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运输是否符合交管部门运输相关规定（文字描述）</w:t>
            </w:r>
          </w:p>
          <w:p w14:paraId="3A9D132A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1"/>
              </w:rPr>
              <w:t>本</w:t>
            </w:r>
            <w:r>
              <w:rPr>
                <w:rFonts w:hint="eastAsia" w:ascii="Times New Roman" w:hAnsi="宋体"/>
                <w:szCs w:val="21"/>
                <w:lang w:eastAsia="zh-CN"/>
              </w:rPr>
              <w:t>年度</w:t>
            </w:r>
            <w:r>
              <w:rPr>
                <w:rFonts w:ascii="Times New Roman" w:hAnsi="宋体"/>
                <w:szCs w:val="21"/>
              </w:rPr>
              <w:t>危险废物跨省转移</w:t>
            </w:r>
            <w:r>
              <w:rPr>
                <w:rFonts w:hint="eastAsia" w:ascii="Times New Roman" w:hAnsi="宋体"/>
                <w:szCs w:val="21"/>
                <w:lang w:eastAsia="zh-CN"/>
              </w:rPr>
              <w:t>由汨罗万容固体废物处理有限公司委托</w:t>
            </w:r>
            <w:r>
              <w:rPr>
                <w:rFonts w:hint="eastAsia" w:hAnsi="宋体"/>
                <w:szCs w:val="21"/>
                <w:lang w:eastAsia="zh-CN"/>
              </w:rPr>
              <w:t>湖南金煌物流股份有限公司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（许可证编号：</w:t>
            </w:r>
            <w:r>
              <w:rPr>
                <w:rFonts w:hint="eastAsia" w:hAnsi="宋体"/>
                <w:szCs w:val="21"/>
                <w:lang w:val="en-US" w:eastAsia="zh-CN"/>
              </w:rPr>
              <w:t>431000003367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）承运，该</w:t>
            </w:r>
            <w:r>
              <w:rPr>
                <w:rFonts w:ascii="Times New Roman" w:hAnsi="宋体"/>
                <w:szCs w:val="21"/>
              </w:rPr>
              <w:t>运输单位具有危险废物运输资质，运输车辆状况良好，运输车辆已设置相关警示标志，符合交管部门相关规定。</w:t>
            </w:r>
          </w:p>
        </w:tc>
      </w:tr>
      <w:tr w14:paraId="10D2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40" w:type="dxa"/>
            <w:noWrap w:val="0"/>
            <w:vAlign w:val="center"/>
          </w:tcPr>
          <w:p w14:paraId="3416B2D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宋体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█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14:paraId="3EA0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9240" w:type="dxa"/>
            <w:noWrap w:val="0"/>
            <w:vAlign w:val="top"/>
          </w:tcPr>
          <w:p w14:paraId="0123BDF6">
            <w:pPr>
              <w:spacing w:line="300" w:lineRule="exact"/>
              <w:ind w:firstLine="420" w:firstLineChars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运输路线文字描述：（写明途经省、市、县（区），附路线图）</w:t>
            </w:r>
          </w:p>
          <w:p w14:paraId="09841699"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常州翔宇资源再生科技有限公司转移至</w:t>
            </w:r>
            <w:r>
              <w:rPr>
                <w:rFonts w:hint="eastAsia" w:ascii="Times New Roman" w:hAnsi="宋体"/>
                <w:sz w:val="21"/>
                <w:szCs w:val="21"/>
                <w:lang w:eastAsia="zh-CN"/>
              </w:rPr>
              <w:t>汨罗万容固体废物处理有限公司</w:t>
            </w:r>
            <w:r>
              <w:rPr>
                <w:rFonts w:ascii="Times New Roman" w:hAnsi="宋体"/>
                <w:sz w:val="21"/>
                <w:szCs w:val="21"/>
              </w:rPr>
              <w:t>路线：</w:t>
            </w:r>
            <w:r>
              <w:rPr>
                <w:rFonts w:ascii="宋体" w:hAnsi="宋体" w:eastAsia="宋体" w:cs="宋体"/>
                <w:sz w:val="21"/>
                <w:szCs w:val="21"/>
              </w:rPr>
              <w:t>沿创新路向东行驶，右转进入湖滨路，左转进入龙江南路向南行驶进入武南路,朝S39/S38/泰州方向 进入江宜高速,朝G4221/宜兴方向 行驶，朝G4221/南京方向，进入武进高新区枢纽，进入沪武高速，直行进入茅山东隧道，进入茅山西隧道，朝芜湖/南京方向，进入马鞍山东枢纽，朝芜湖/铜陵方向，进入宁芜高速，直行进入黄梅山隧道，直行进入宁芜高速.，直行进入千军岭隧道. ，直行进入峨山隧道 ，直行进入梅冲隧道，直行进入马仁山隧道，直行进入孙村隧道，朝G50/安庆方向，直行进入沪渝高速，，朝G50/潜山/武汉/天柱山方向进入鸽子墩枢纽，朝武汉/天柱山/G50/潜山方向，进入沪渝高速，朝武穴/G56方向，进入麻阳高速 ，直行进入太山隧道，直行进入仙姑山隧道，直行进入富池隧道，直行进入富枫隧道，朝枫林/岳阳/G56方向 进入杭瑞高速.,直行进入上官隧道,直行进入鸡口山隧道，直行进入田家窝隧道，直行进入向家隧道,直行进入西冲隧道，朝长沙/广州方向，进入金屋枢纽进入京港澳高速，从G107/大荆/长湖出口离开，入大荆互通 沿道路向西行驶,左转进入G107，途径罗城大道，同力路，到</w:t>
            </w:r>
            <w:r>
              <w:rPr>
                <w:rFonts w:hint="eastAsia" w:ascii="Times New Roman" w:hAnsi="宋体"/>
                <w:sz w:val="21"/>
                <w:szCs w:val="21"/>
                <w:lang w:eastAsia="zh-CN"/>
              </w:rPr>
              <w:t>汨罗万容固体废物处理有限公司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  <w:p w14:paraId="7F0C1CE5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途径城市有江苏省</w:t>
            </w:r>
            <w:r>
              <w:rPr>
                <w:rFonts w:ascii="宋体" w:hAnsi="宋体" w:eastAsia="宋体" w:cs="宋体"/>
                <w:sz w:val="21"/>
                <w:szCs w:val="21"/>
              </w:rPr>
              <w:t>常州市，南京市，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安徽省</w:t>
            </w:r>
            <w:r>
              <w:rPr>
                <w:rFonts w:ascii="宋体" w:hAnsi="宋体" w:eastAsia="宋体" w:cs="宋体"/>
                <w:sz w:val="21"/>
                <w:szCs w:val="21"/>
              </w:rPr>
              <w:t>马鞍山市，芜湖市，铜陵市，池州市，安庆</w:t>
            </w:r>
            <w:r>
              <w:rPr>
                <w:rFonts w:ascii="宋体" w:hAnsi="宋体" w:eastAsia="宋体" w:cs="宋体"/>
                <w:sz w:val="24"/>
                <w:szCs w:val="24"/>
              </w:rPr>
              <w:t>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湖北省</w:t>
            </w:r>
            <w:r>
              <w:rPr>
                <w:rFonts w:ascii="宋体" w:hAnsi="宋体" w:eastAsia="宋体" w:cs="宋体"/>
                <w:sz w:val="21"/>
                <w:szCs w:val="21"/>
              </w:rPr>
              <w:t>武穴市，咸宁市，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湖南</w:t>
            </w:r>
            <w:r>
              <w:rPr>
                <w:rFonts w:ascii="宋体" w:hAnsi="宋体" w:eastAsia="宋体" w:cs="宋体"/>
                <w:sz w:val="21"/>
                <w:szCs w:val="21"/>
              </w:rPr>
              <w:t>岳阳市</w:t>
            </w:r>
            <w:r>
              <w:rPr>
                <w:rFonts w:ascii="Times New Roman" w:hAnsi="宋体"/>
                <w:sz w:val="21"/>
                <w:szCs w:val="21"/>
              </w:rPr>
              <w:t>线路图如下：</w:t>
            </w:r>
          </w:p>
          <w:p w14:paraId="375EFCB2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70D3F77A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12FC80DD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73EEB5C5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564DA732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2AC39DEA"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drawing>
                <wp:inline distT="0" distB="0" distL="114300" distR="114300">
                  <wp:extent cx="5385435" cy="2916555"/>
                  <wp:effectExtent l="0" t="0" r="5715" b="17145"/>
                  <wp:docPr id="4" name="图片 4" descr="DG4L]M2{G4AC(D8Y@`]PD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G4L]M2{G4AC(D8Y@`]PDKU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435" cy="291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1F009">
      <w:pPr>
        <w:rPr>
          <w:rFonts w:ascii="Times New Roman" w:hAnsi="Times New Roman"/>
          <w:szCs w:val="24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6" w:charSpace="0"/>
        </w:sect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489F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noWrap w:val="0"/>
            <w:vAlign w:val="center"/>
          </w:tcPr>
          <w:p w14:paraId="721F85AB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 w:hAnsi="宋体"/>
                <w:b/>
                <w:bCs/>
                <w:szCs w:val="24"/>
              </w:rPr>
              <w:t>转移的污染防治、安全防护和应急措施</w:t>
            </w:r>
          </w:p>
        </w:tc>
      </w:tr>
      <w:tr w14:paraId="0E64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  <w:noWrap w:val="0"/>
            <w:vAlign w:val="top"/>
          </w:tcPr>
          <w:p w14:paraId="5741E5C9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运输过程中的污染防治措施以及按照要求配备的相应污染防治设备</w:t>
            </w:r>
          </w:p>
          <w:p w14:paraId="7D3C9856"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在运输过程中，运输车辆采用钢筋框架固定，彩色</w:t>
            </w:r>
            <w:r>
              <w:rPr>
                <w:rFonts w:ascii="Times New Roman" w:hAnsi="Times New Roman"/>
                <w:szCs w:val="21"/>
              </w:rPr>
              <w:t>CRT</w:t>
            </w:r>
            <w:r>
              <w:rPr>
                <w:rFonts w:ascii="Times New Roman" w:hAnsi="宋体"/>
                <w:szCs w:val="21"/>
              </w:rPr>
              <w:t>玻璃采用吨包包装，再采取篷布覆盖加工，达到加固及防抛洒要求。</w:t>
            </w:r>
            <w:r>
              <w:rPr>
                <w:rFonts w:hint="eastAsia" w:ascii="Times New Roman" w:hAnsi="宋体"/>
                <w:szCs w:val="21"/>
              </w:rPr>
              <w:t>运输车需具备：通讯器材、手机，急救箱，干粉灭火器，清洁工具，塑料袋，联络单。</w:t>
            </w:r>
          </w:p>
          <w:p w14:paraId="2BD2F8DA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</w:tr>
      <w:tr w14:paraId="39C8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345" w:type="dxa"/>
            <w:noWrap w:val="0"/>
            <w:vAlign w:val="top"/>
          </w:tcPr>
          <w:p w14:paraId="440CF506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运输过程中的安全防护措施以及按照要求配备的相应安全防护设备</w:t>
            </w:r>
          </w:p>
          <w:p w14:paraId="09DB794A"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在运输过程中，运输车辆设置危险废物警示标志，对运输过程中的其他驾驶员起到警示作用。</w:t>
            </w:r>
            <w:r>
              <w:rPr>
                <w:rFonts w:hint="eastAsia" w:ascii="Times New Roman" w:hAnsi="宋体"/>
                <w:szCs w:val="21"/>
              </w:rPr>
              <w:t>所有承运车辆必须车况良好，不得同车装运其它物品，严禁携带其它人员同乘。且具有消防和化学两方面的紧急处理措施，具体包括干粉灭火器，化学防护镜，橡胶手套，工作服，橡胶靴子，防毒面具；运输车需具备：通讯器材、手机，急救箱，干粉灭火器，清洁工具，塑料袋，联络单。</w:t>
            </w:r>
          </w:p>
          <w:p w14:paraId="57EE8F88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2D6741DF">
            <w:pPr>
              <w:rPr>
                <w:rFonts w:ascii="Times New Roman" w:hAnsi="Times New Roman"/>
                <w:bCs/>
                <w:szCs w:val="24"/>
              </w:rPr>
            </w:pPr>
          </w:p>
          <w:p w14:paraId="4372D745">
            <w:pPr>
              <w:rPr>
                <w:rFonts w:ascii="Times New Roman" w:hAnsi="Times New Roman"/>
                <w:szCs w:val="24"/>
              </w:rPr>
            </w:pPr>
          </w:p>
        </w:tc>
      </w:tr>
      <w:tr w14:paraId="056D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345" w:type="dxa"/>
            <w:noWrap w:val="0"/>
            <w:vAlign w:val="top"/>
          </w:tcPr>
          <w:p w14:paraId="34903DE2">
            <w:pPr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3</w:t>
            </w:r>
            <w:r>
              <w:rPr>
                <w:rFonts w:ascii="Times New Roman" w:hAnsi="宋体"/>
                <w:bCs/>
                <w:color w:val="auto"/>
                <w:szCs w:val="24"/>
              </w:rPr>
              <w:t>、运输过程中的应急预案以及按照要求配备的相应应急设备</w:t>
            </w:r>
          </w:p>
          <w:p w14:paraId="7612172B"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事故发生时，发现事故人立即告知事故现场周围人员并通知事故应急负责人，事故应急责任人负责指挥协调处置突发环境事故。事故应急负责人立即向事故应急小组汇报，运输押运人员、事故应急人员无条件执行事故应急负责人命令，齐心协力处理好突发应急事故。</w:t>
            </w:r>
            <w:r>
              <w:rPr>
                <w:rFonts w:hint="eastAsia" w:ascii="Times New Roman" w:hAnsi="宋体"/>
                <w:color w:val="auto"/>
                <w:szCs w:val="21"/>
              </w:rPr>
              <w:t>运输过程中要配备相应的应急设备主要包括：灭火器、护目镜、橡胶手套、工作服、橡胶靴子、防毒面具等。</w:t>
            </w:r>
          </w:p>
          <w:p w14:paraId="5238E0C1">
            <w:pPr>
              <w:spacing w:line="300" w:lineRule="exact"/>
              <w:ind w:firstLine="420" w:firstLineChars="200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Cs w:val="21"/>
              </w:rPr>
              <w:t>汨罗万容固体废物处理有限公司</w:t>
            </w:r>
            <w:r>
              <w:rPr>
                <w:rFonts w:ascii="Times New Roman" w:hAnsi="宋体"/>
                <w:color w:val="auto"/>
                <w:szCs w:val="21"/>
              </w:rPr>
              <w:t>：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曹剑忠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13975773999</w:t>
            </w:r>
          </w:p>
          <w:p w14:paraId="37EC5B70">
            <w:pPr>
              <w:spacing w:line="300" w:lineRule="exact"/>
              <w:jc w:val="center"/>
              <w:rPr>
                <w:rFonts w:ascii="Times New Roman" w:hAnsi="宋体"/>
                <w:b/>
                <w:color w:val="auto"/>
                <w:szCs w:val="21"/>
              </w:rPr>
            </w:pPr>
            <w:r>
              <w:rPr>
                <w:rFonts w:ascii="Times New Roman" w:hAnsi="宋体"/>
                <w:b/>
                <w:color w:val="auto"/>
                <w:szCs w:val="21"/>
              </w:rPr>
              <w:t>危险废物运输突发环境事故应急预案</w:t>
            </w:r>
          </w:p>
          <w:p w14:paraId="5B41FBA9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危险废物在运输过程中由于自然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人为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技术或设备等原因可能引发交通</w:t>
            </w:r>
            <w:r>
              <w:rPr>
                <w:rFonts w:hint="eastAsia" w:ascii="Times New Roman" w:hAnsi="宋体"/>
                <w:color w:val="auto"/>
                <w:szCs w:val="21"/>
              </w:rPr>
              <w:t>事故</w:t>
            </w:r>
            <w:r>
              <w:rPr>
                <w:rFonts w:ascii="Times New Roman" w:hAnsi="宋体"/>
                <w:color w:val="auto"/>
                <w:szCs w:val="21"/>
              </w:rPr>
              <w:t>，导致危险废物拋洒、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遗</w:t>
            </w:r>
            <w:r>
              <w:rPr>
                <w:rFonts w:ascii="Times New Roman" w:hAnsi="宋体"/>
                <w:color w:val="auto"/>
                <w:szCs w:val="21"/>
              </w:rPr>
              <w:t>漏、燃烧、爆炸等，可能对环境</w:t>
            </w:r>
            <w:r>
              <w:rPr>
                <w:rFonts w:hint="eastAsia" w:ascii="Times New Roman" w:hAnsi="宋体"/>
                <w:color w:val="auto"/>
                <w:szCs w:val="21"/>
              </w:rPr>
              <w:t>造成较重污染后果的行为。为建立危险废物运输突发环境</w:t>
            </w:r>
            <w:r>
              <w:rPr>
                <w:rFonts w:ascii="Times New Roman" w:hAnsi="宋体"/>
                <w:color w:val="auto"/>
                <w:szCs w:val="21"/>
              </w:rPr>
              <w:t>事故应急机制，提高应急能力，确保能够快</w:t>
            </w:r>
            <w:r>
              <w:rPr>
                <w:rFonts w:hint="eastAsia" w:ascii="Times New Roman" w:hAnsi="宋体"/>
                <w:color w:val="auto"/>
                <w:szCs w:val="21"/>
              </w:rPr>
              <w:t>速</w:t>
            </w:r>
            <w:r>
              <w:rPr>
                <w:rFonts w:ascii="Times New Roman" w:hAnsi="宋体"/>
                <w:color w:val="auto"/>
                <w:szCs w:val="21"/>
              </w:rPr>
              <w:t>响应、有序行动、尚效处</w:t>
            </w:r>
            <w:r>
              <w:rPr>
                <w:rFonts w:hint="eastAsia" w:ascii="Times New Roman" w:hAnsi="宋体"/>
                <w:color w:val="auto"/>
                <w:szCs w:val="21"/>
              </w:rPr>
              <w:t>置</w:t>
            </w:r>
            <w:r>
              <w:rPr>
                <w:rFonts w:ascii="Times New Roman" w:hAnsi="宋体"/>
                <w:color w:val="auto"/>
                <w:szCs w:val="21"/>
              </w:rPr>
              <w:t>、降低危害，实现保护公众、保护环境的</w:t>
            </w:r>
            <w:r>
              <w:rPr>
                <w:rFonts w:hint="eastAsia" w:ascii="Times New Roman" w:hAnsi="宋体"/>
                <w:color w:val="auto"/>
                <w:szCs w:val="21"/>
              </w:rPr>
              <w:t>目</w:t>
            </w:r>
            <w:r>
              <w:rPr>
                <w:rFonts w:ascii="Times New Roman" w:hAnsi="宋体"/>
                <w:color w:val="auto"/>
                <w:szCs w:val="21"/>
              </w:rPr>
              <w:t>的，特制定本预案.</w:t>
            </w:r>
          </w:p>
          <w:p w14:paraId="4D25AF04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依据国家危险货物运输管理有关规定，我司皱到以下几点：</w:t>
            </w:r>
          </w:p>
          <w:p w14:paraId="496B9FF8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具有从事危险货物运输资质许可；</w:t>
            </w:r>
          </w:p>
          <w:p w14:paraId="05A905AF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运输车辆悬桂或喷涂明显醒目的危险废物标志；</w:t>
            </w:r>
          </w:p>
          <w:p w14:paraId="3CDCE142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按照规定的线路运输危险废物；</w:t>
            </w:r>
          </w:p>
          <w:p w14:paraId="0CDF169D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不在人口稠密地区运输危险废物；</w:t>
            </w:r>
          </w:p>
          <w:p w14:paraId="78271DBB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车</w:t>
            </w:r>
            <w:r>
              <w:rPr>
                <w:rFonts w:hint="eastAsia" w:ascii="Times New Roman" w:hAnsi="宋体"/>
                <w:color w:val="auto"/>
                <w:szCs w:val="21"/>
              </w:rPr>
              <w:t>辆</w:t>
            </w:r>
            <w:r>
              <w:rPr>
                <w:rFonts w:ascii="Times New Roman" w:hAnsi="宋体"/>
                <w:color w:val="auto"/>
                <w:szCs w:val="21"/>
              </w:rPr>
              <w:t>在经过桥梁、水源保护区域时限速行驶；</w:t>
            </w:r>
          </w:p>
          <w:p w14:paraId="17EB205D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釆取严格的运输安全防护措施和防止污染环境措施；</w:t>
            </w:r>
          </w:p>
          <w:p w14:paraId="5DFFAD3E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随车</w:t>
            </w:r>
            <w:r>
              <w:rPr>
                <w:rFonts w:hint="eastAsia" w:ascii="Times New Roman" w:hAnsi="宋体"/>
                <w:color w:val="auto"/>
                <w:szCs w:val="21"/>
              </w:rPr>
              <w:t>携</w:t>
            </w:r>
            <w:r>
              <w:rPr>
                <w:rFonts w:ascii="Times New Roman" w:hAnsi="宋体"/>
                <w:color w:val="auto"/>
                <w:szCs w:val="21"/>
              </w:rPr>
              <w:t>带运输单位制定的《危险废物运输突发环境事故应急预案》和 《危险废物转栘联单》</w:t>
            </w:r>
            <w:r>
              <w:rPr>
                <w:rFonts w:hint="eastAsia" w:ascii="Times New Roman" w:hAnsi="宋体"/>
                <w:color w:val="auto"/>
                <w:szCs w:val="21"/>
              </w:rPr>
              <w:t>；</w:t>
            </w:r>
          </w:p>
          <w:p w14:paraId="7D732F0C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驾驶人员除具备运输从业资质以外，还定期接受应急培训并取得合格成缋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  <w:r>
              <w:rPr>
                <w:rFonts w:ascii="Times New Roman" w:hAnsi="宋体"/>
                <w:color w:val="auto"/>
                <w:szCs w:val="21"/>
              </w:rPr>
              <w:t>定期成不定期开展应急知识、技术和方案的培训，安排应急人员参加环保部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省环保厅绍织的培训，同时对本市基层的应急人员和相关企业的有关人员开展培训，增强应急能力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</w:p>
          <w:p w14:paraId="39786EC3">
            <w:pPr>
              <w:spacing w:line="300" w:lineRule="exact"/>
              <w:ind w:firstLine="420" w:firstLineChars="200"/>
              <w:rPr>
                <w:rFonts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我司设立相应的部门以应对突发事件。该部门负责</w:t>
            </w:r>
            <w:r>
              <w:rPr>
                <w:rFonts w:hint="eastAsia" w:ascii="Times New Roman" w:hAnsi="宋体"/>
                <w:color w:val="auto"/>
                <w:szCs w:val="21"/>
              </w:rPr>
              <w:t>（1）</w:t>
            </w:r>
            <w:r>
              <w:rPr>
                <w:rFonts w:ascii="Times New Roman" w:hAnsi="宋体"/>
                <w:color w:val="auto"/>
                <w:szCs w:val="21"/>
              </w:rPr>
              <w:t>遇到紧急情况做出应急处置重大</w:t>
            </w:r>
            <w:r>
              <w:rPr>
                <w:rFonts w:hint="eastAsia" w:ascii="Times New Roman" w:hAnsi="宋体"/>
                <w:color w:val="auto"/>
                <w:szCs w:val="21"/>
              </w:rPr>
              <w:t>事项的决策，提出应急行动原则要求。（2）协调实施应急处置行动。（3）及时向市政府报告应急处置行动进展情况。（4）督察事故现场应急处置工作完成情况。接到关于危险废物运输突发环境事故报告时，应主动并尽肯能详尽地了解情况，初步判断事故等级，立即向市环保局主要领导报告，</w:t>
            </w:r>
            <w:bookmarkStart w:id="0" w:name="_GoBack"/>
            <w:r>
              <w:rPr>
                <w:rFonts w:hint="eastAsia" w:ascii="Times New Roman" w:hAnsi="宋体"/>
                <w:color w:val="auto"/>
                <w:szCs w:val="21"/>
              </w:rPr>
              <w:t>决定是否启动</w:t>
            </w:r>
            <w:bookmarkEnd w:id="0"/>
            <w:r>
              <w:rPr>
                <w:rFonts w:hint="eastAsia" w:ascii="Times New Roman" w:hAnsi="宋体"/>
                <w:color w:val="auto"/>
                <w:szCs w:val="21"/>
              </w:rPr>
              <w:t>应急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预</w:t>
            </w:r>
            <w:r>
              <w:rPr>
                <w:rFonts w:hint="eastAsia" w:ascii="Times New Roman" w:hAnsi="宋体"/>
                <w:color w:val="auto"/>
                <w:szCs w:val="21"/>
              </w:rPr>
              <w:t>案。发生高危危险废物运输突发环境事故时，必须立即启动应急预案。应急指令下达后，各有关部门的应急人员迅速集结，立印赶赴事故现场， 做好各项准备工作，形成指挥力量和应急力量。根据危险废物的种类性质以及现场情况，研究制定处置方案，下达应急处置行动指令。根据指令，立即确定应急检测方案并组织实施。以最快的速度提供监测数据和气象信息，为指挥部决策提供依据。水体和饮用水源受到污染的，应及时报告市政府，由市政府作出停止使用水体功能或停止供水的决定，并向社会发布信息。同时按照规定上报和通报。对污染现场进行清理。危险废物以及受到污染的土壤全部送交危险废物处置企业集中处置。对事故现场逬行交通管制，禁止无关车辆和人员进入。需要组织群众疏散的</w:t>
            </w:r>
            <w:r>
              <w:rPr>
                <w:rFonts w:ascii="Times New Roman" w:hAnsi="宋体"/>
                <w:color w:val="auto"/>
                <w:szCs w:val="21"/>
              </w:rPr>
              <w:t>,</w:t>
            </w:r>
            <w:r>
              <w:rPr>
                <w:rFonts w:hint="eastAsia" w:ascii="Times New Roman" w:hAnsi="宋体"/>
                <w:color w:val="auto"/>
                <w:szCs w:val="21"/>
              </w:rPr>
              <w:t>立即确定疏散地点，紧急组织群众采用简易有效的防护措施（如毛巾、湿布、口罩等），选择安全撤离路线逆风向疏散地集中。如人员有受伤情况，立即组织救治。</w:t>
            </w:r>
          </w:p>
          <w:p w14:paraId="4C778D90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hint="eastAsia" w:ascii="Times New Roman" w:hAnsi="宋体"/>
                <w:color w:val="auto"/>
                <w:szCs w:val="21"/>
              </w:rPr>
              <w:t>事后必须分析总结应急处置经验教训，提出改进建议</w:t>
            </w:r>
            <w:r>
              <w:rPr>
                <w:rFonts w:ascii="Times New Roman" w:hAnsi="宋体"/>
                <w:color w:val="auto"/>
                <w:szCs w:val="21"/>
              </w:rPr>
              <w:t>;</w:t>
            </w:r>
            <w:r>
              <w:rPr>
                <w:rFonts w:hint="eastAsia" w:ascii="Times New Roman" w:hAnsi="宋体"/>
                <w:color w:val="auto"/>
                <w:szCs w:val="21"/>
              </w:rPr>
              <w:t>查明事故原因，作出处埋决定，追究相关责任；发布事故处置工作有关信息；完成总结报告并及时上报。</w:t>
            </w:r>
          </w:p>
          <w:p w14:paraId="48CF42D7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</w:p>
          <w:p w14:paraId="4FF42971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4CDE7562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25F62EB6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2D2C851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25DF86F4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6AE9B9D0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36EE57BA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385CD482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4B11CDD6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2F943994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61BEEA0B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59BFE8A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5C1F752B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439D5898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DF5E506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6B20728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A65FD0E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BCBFA9A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4A48C2AC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4E6D6B82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50252F3"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20A3111"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6AC822CA">
            <w:pPr>
              <w:rPr>
                <w:rFonts w:ascii="Times New Roman" w:hAnsi="Times New Roman"/>
                <w:color w:val="5B9BD5" w:themeColor="accent1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 w14:paraId="122CE490">
      <w:pPr>
        <w:rPr>
          <w:rFonts w:ascii="Times New Roman" w:hAnsi="宋体"/>
          <w:sz w:val="28"/>
          <w:szCs w:val="28"/>
        </w:rPr>
      </w:pPr>
    </w:p>
    <w:p w14:paraId="638EA9BC">
      <w:pPr>
        <w:numPr>
          <w:ilvl w:val="0"/>
          <w:numId w:val="2"/>
        </w:numPr>
        <w:rPr>
          <w:rFonts w:ascii="Times New Roman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宋体"/>
          <w:sz w:val="28"/>
          <w:szCs w:val="28"/>
        </w:rPr>
        <w:t>废物处理处置情况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200"/>
      </w:tblGrid>
      <w:tr w14:paraId="77E6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noWrap w:val="0"/>
            <w:vAlign w:val="center"/>
          </w:tcPr>
          <w:p w14:paraId="1D7114C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接受单位基本情况</w:t>
            </w:r>
          </w:p>
        </w:tc>
      </w:tr>
      <w:tr w14:paraId="3BE5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noWrap w:val="0"/>
            <w:vAlign w:val="center"/>
          </w:tcPr>
          <w:p w14:paraId="2D129FFB">
            <w:pPr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单位名称：</w:t>
            </w:r>
            <w:r>
              <w:rPr>
                <w:rFonts w:hint="eastAsia" w:ascii="Times New Roman" w:hAnsi="宋体"/>
              </w:rPr>
              <w:t>汨罗万容固体废物处理有限公司</w:t>
            </w:r>
          </w:p>
        </w:tc>
      </w:tr>
      <w:tr w14:paraId="4358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145" w:type="dxa"/>
            <w:noWrap w:val="0"/>
            <w:vAlign w:val="center"/>
          </w:tcPr>
          <w:p w14:paraId="55B67F8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危废经营许可证编号：</w:t>
            </w:r>
            <w:r>
              <w:rPr>
                <w:rFonts w:hint="eastAsia" w:ascii="Times New Roman" w:hAnsi="Times New Roman"/>
                <w:color w:val="auto"/>
              </w:rPr>
              <w:t>湘环（危）字第（198）号</w:t>
            </w:r>
          </w:p>
        </w:tc>
        <w:tc>
          <w:tcPr>
            <w:tcW w:w="4200" w:type="dxa"/>
            <w:noWrap w:val="0"/>
            <w:vAlign w:val="center"/>
          </w:tcPr>
          <w:p w14:paraId="405FD93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有效期：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日至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</w:t>
            </w:r>
          </w:p>
        </w:tc>
      </w:tr>
      <w:tr w14:paraId="77FA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  <w:noWrap w:val="0"/>
            <w:vAlign w:val="top"/>
          </w:tcPr>
          <w:p w14:paraId="63938A4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经营核准内容（废物名称、类别、数量）：</w:t>
            </w:r>
          </w:p>
          <w:p w14:paraId="781EAF2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废物名称：废阴极射线管</w:t>
            </w:r>
            <w:r>
              <w:rPr>
                <w:rFonts w:hint="eastAsia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类别：</w:t>
            </w:r>
            <w:r>
              <w:rPr>
                <w:rFonts w:ascii="Times New Roman" w:hAnsi="Times New Roman"/>
                <w:color w:val="auto"/>
              </w:rPr>
              <w:t>HW49</w:t>
            </w:r>
            <w:r>
              <w:rPr>
                <w:rFonts w:ascii="Times New Roman" w:hAnsi="宋体"/>
                <w:color w:val="auto"/>
              </w:rPr>
              <w:t>类其它废物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数量：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</w:rPr>
              <w:t>0000</w:t>
            </w:r>
            <w:r>
              <w:rPr>
                <w:rFonts w:ascii="Times New Roman" w:hAnsi="宋体"/>
                <w:color w:val="auto"/>
              </w:rPr>
              <w:t>吨</w:t>
            </w:r>
          </w:p>
        </w:tc>
      </w:tr>
    </w:tbl>
    <w:p w14:paraId="3193FCF6">
      <w:pPr>
        <w:numPr>
          <w:ilvl w:val="0"/>
          <w:numId w:val="0"/>
        </w:numPr>
        <w:rPr>
          <w:rFonts w:ascii="Times New Roman" w:hAnsi="宋体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7DF6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45" w:type="dxa"/>
            <w:noWrap w:val="0"/>
            <w:vAlign w:val="center"/>
          </w:tcPr>
          <w:p w14:paraId="1A9295F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 w:hAnsi="宋体"/>
                <w:b/>
                <w:bCs/>
              </w:rPr>
              <w:t>与接收废物相关的处理处置情况</w:t>
            </w:r>
          </w:p>
        </w:tc>
      </w:tr>
      <w:tr w14:paraId="7778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5" w:type="dxa"/>
            <w:noWrap w:val="0"/>
            <w:vAlign w:val="top"/>
          </w:tcPr>
          <w:p w14:paraId="4BE7A8CA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 w14:paraId="3F2771B8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752310A7">
            <w:pPr>
              <w:pStyle w:val="4"/>
              <w:spacing w:before="0" w:after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</w:t>
            </w:r>
          </w:p>
          <w:p w14:paraId="006872D8">
            <w:pPr>
              <w:widowControl/>
              <w:ind w:firstLine="56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汨罗万容现有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工艺主要为对屏锥分离产出的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（含铅）进行一级破碎、筛分、二级破碎。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（含铅）破碎过程中主要污染物为噪声和粉尘污染，无生产废水产生车间采用全封闭车间，以防震隔音，废气粉尘经旋风收集后，经脉冲布袋处理达标后，通过15m烟囱外排。；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（含铅）破碎后产品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（铅砂）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外售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给铅冶炼企业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工艺见图。</w:t>
            </w:r>
          </w:p>
          <w:p w14:paraId="6A8A0F07">
            <w:pPr>
              <w:spacing w:line="56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58F84067">
            <w:pPr>
              <w:spacing w:line="360" w:lineRule="auto"/>
              <w:ind w:firstLine="420" w:firstLineChars="200"/>
            </w:pPr>
            <w:r>
              <w:drawing>
                <wp:inline distT="0" distB="0" distL="114300" distR="114300">
                  <wp:extent cx="4228465" cy="3379470"/>
                  <wp:effectExtent l="0" t="0" r="0" b="0"/>
                  <wp:docPr id="2" name="图片 2" descr="C:\Users\Administrator\Desktop\最近 工作\阴级射线管工艺流程图.png阴级射线管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最近 工作\阴级射线管工艺流程图.png阴级射线管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5" cy="337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42EEB"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 w14:paraId="44A83C98"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 w14:paraId="1D8E535E">
            <w:pPr>
              <w:pStyle w:val="2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汨罗万容固体废物处理有限公司</w:t>
            </w:r>
          </w:p>
          <w:p w14:paraId="518B70C6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71B8856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16627977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0719A0E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044C971E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01BFA930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7AF6170F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1155CA8A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6BFC8896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5EBC3738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2F865149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49CD69E1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12E35C35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0BE1C827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2319A123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77561187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2AF04D07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7E060D27">
            <w:pPr>
              <w:spacing w:line="300" w:lineRule="exact"/>
              <w:rPr>
                <w:rFonts w:ascii="Times New Roman" w:hAnsi="Times New Roman"/>
                <w:bCs/>
              </w:rPr>
            </w:pPr>
          </w:p>
        </w:tc>
      </w:tr>
    </w:tbl>
    <w:p w14:paraId="6913E6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 w14:paraId="63D874C6">
      <w:pPr>
        <w:rPr>
          <w:rFonts w:hint="eastAsia" w:ascii="仿宋" w:hAnsi="仿宋" w:eastAsia="仿宋" w:cs="仿宋"/>
          <w:sz w:val="28"/>
          <w:szCs w:val="28"/>
        </w:rPr>
      </w:pPr>
    </w:p>
    <w:p w14:paraId="7B794EF0">
      <w:pPr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br w:type="page"/>
      </w:r>
    </w:p>
    <w:p w14:paraId="648652AE">
      <w:pPr>
        <w:rPr>
          <w:rFonts w:ascii="Times New Roman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E224E9">
      <w:pPr>
        <w:numPr>
          <w:ilvl w:val="0"/>
          <w:numId w:val="2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上年度固体（危险）废物跨省转移情</w:t>
      </w:r>
      <w:r>
        <w:rPr>
          <w:rFonts w:hint="eastAsia" w:ascii="Times New Roman" w:hAnsi="Times New Roman"/>
          <w:sz w:val="28"/>
          <w:szCs w:val="28"/>
          <w:lang w:eastAsia="zh-CN"/>
        </w:rPr>
        <w:t>况</w:t>
      </w:r>
    </w:p>
    <w:tbl>
      <w:tblPr>
        <w:tblStyle w:val="8"/>
        <w:tblpPr w:leftFromText="180" w:rightFromText="180" w:vertAnchor="text" w:horzAnchor="page" w:tblpX="722" w:tblpY="274"/>
        <w:tblOverlap w:val="never"/>
        <w:tblW w:w="16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334"/>
        <w:gridCol w:w="926"/>
        <w:gridCol w:w="1980"/>
        <w:gridCol w:w="1980"/>
        <w:gridCol w:w="1260"/>
        <w:gridCol w:w="2483"/>
        <w:gridCol w:w="1297"/>
        <w:gridCol w:w="2700"/>
        <w:gridCol w:w="1260"/>
      </w:tblGrid>
      <w:tr w14:paraId="7CE5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768435D">
            <w:pPr>
              <w:widowControl/>
              <w:spacing w:beforeAutospacing="0"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出厂日期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7102DA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转移批次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08496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联单编号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3C5F4B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废物名称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4882F1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类别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代码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1D6EA48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转移量（吨）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45C9BE6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运输单位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030F117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车号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7D13D19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DC5EA5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接收日期</w:t>
            </w:r>
          </w:p>
        </w:tc>
      </w:tr>
      <w:tr w14:paraId="40EA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12DE49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4FA36A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27236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G2021320400001988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6F39DE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47D495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5AB85E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32.844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53ED75F4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13D33E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B3659K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B29V0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581755F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68356E9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 w14:paraId="4FCF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F53A15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BAAAD3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D3B21B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782CB09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297860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E541B7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35.079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B2D1B7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5F9844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2N587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58W8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E74170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7B3BABA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 w14:paraId="07E1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7C7BBB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C01E11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1E095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F2FFF5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49434F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67C40E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34.901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8A7732F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3A46C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冀B9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M751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981U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9FA45E8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8"/>
              <w:tblW w:w="162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</w:tblGrid>
            <w:tr w14:paraId="1936B2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2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2A8C08A"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2021.04.09</w:t>
                  </w:r>
                </w:p>
              </w:tc>
            </w:tr>
          </w:tbl>
          <w:p w14:paraId="63B7FF52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</w:tr>
      <w:tr w14:paraId="700A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B9638BC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860CC2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FE3F1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7061D0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B12A80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BA4887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33.966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3F0711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635C232B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2K298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24V2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8C8A0CF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A6702B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 w14:paraId="2B53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CBD572D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D9397A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8672E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5C86C2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A205F0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FB8F30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34.98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0FE09D9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9F8BB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5729X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71JW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1316B1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BBB1EB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2021.04.10</w:t>
            </w:r>
          </w:p>
        </w:tc>
      </w:tr>
      <w:tr w14:paraId="5CC1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EC790A5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F5285E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ECC47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5F1BD4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4644BD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E94964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35.11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7E587C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0584199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6655K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5R95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EC12A4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68C21F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 w14:paraId="2CCF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0433F96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989C02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9A1D6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D18AF5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4CFFB1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400945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F08D5E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CCFDC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JW7175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J5M04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CE4EF4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A0A70D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 w14:paraId="575D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4BA9D7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BA9620A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2925BB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1063ECA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E7A0DB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E4E993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35.676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4806CD1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6FB4ED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1809V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28M8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58E8176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214AF4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 w14:paraId="5C2C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E905C5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61EADD1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82435C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4100EFA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7A9C05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8044CB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34.282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032A9709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92708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9338S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55VX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EAB177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B58E722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 w14:paraId="1657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07CA5D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4164091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AA215A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4AE8655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87D6D3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B87C2D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33.091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C4C1D99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516AE0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津C09395-津CP695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0D5A29B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0119957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2021.04.14</w:t>
            </w:r>
          </w:p>
        </w:tc>
      </w:tr>
      <w:tr w14:paraId="74C3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86B6C1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A70E5DF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F28A9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26541AF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555056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8707F3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34.163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15B4AD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3205A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03F92AF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0E6A87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2021.04.15</w:t>
            </w:r>
          </w:p>
        </w:tc>
      </w:tr>
      <w:tr w14:paraId="121C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168A70F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B1D63DD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73176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G2020320400002032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9E36919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41BF178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7B73588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33.971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826C92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2C393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10357A2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B0795BD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2021.4.21</w:t>
            </w:r>
          </w:p>
        </w:tc>
      </w:tr>
      <w:tr w14:paraId="69FD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F148736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D196F85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78079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G2020320400002096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1350C20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E14AF1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42C28FF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33.933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49C2DC8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14996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ED53C4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F2B1C8F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2021.04.27</w:t>
            </w:r>
          </w:p>
        </w:tc>
      </w:tr>
      <w:tr w14:paraId="520C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0A7809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0C631E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721AA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498EAB0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3C1130F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221F47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34.068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B498852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1A882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STSong-Light" w:hAnsi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C629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2M33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576F5AFE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6849D2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2021.05.12</w:t>
            </w:r>
          </w:p>
        </w:tc>
      </w:tr>
      <w:tr w14:paraId="5CDC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1C3E33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7F2E73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2A0F0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G2020320400002122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55FC11B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60C327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C57C92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33.85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066E8FDA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6DA473E9"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JZ1288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J4X04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6DE2C8A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CD0750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2021.05.17</w:t>
            </w:r>
          </w:p>
        </w:tc>
      </w:tr>
      <w:tr w14:paraId="4A7F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83C2F0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17B313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0F351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G2020320400002135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28A7B6D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B6AAF8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843A74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33.506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854C097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1A23A5E1"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B8991D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B6Z26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D99A028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B1B06B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201.05.23</w:t>
            </w:r>
          </w:p>
        </w:tc>
      </w:tr>
      <w:tr w14:paraId="62FD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5BBDBB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13F58DB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4928A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G2020320400002145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BBDFAA8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393ADE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55D44D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33.483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B1C3947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18D34FB4"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J5A692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J3W23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39C2339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D6209D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2021.06.01</w:t>
            </w:r>
          </w:p>
        </w:tc>
      </w:tr>
      <w:tr w14:paraId="6D9C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8A9CEB0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F5CDD9B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636C4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B93068D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8758B4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F634A2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33.509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0A74642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66765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J8T286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J48L2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0F5AE05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43C367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2021.07.07</w:t>
            </w:r>
          </w:p>
        </w:tc>
      </w:tr>
      <w:tr w14:paraId="14CF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BB9B16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A3DA6DE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8469F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48DF3D5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8AE1BE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7D406A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34.231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3E36EF4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00B963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J5X199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J6P09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3DA2E77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667BAD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2021.07.09</w:t>
            </w:r>
          </w:p>
        </w:tc>
      </w:tr>
      <w:tr w14:paraId="1295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108DEC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0A1F268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B73AF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8FB9601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BB711A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974F8A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34.847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B6F1D28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0D8EF8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J0G800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J60U5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1DA3452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AAC196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2021.07.07</w:t>
            </w:r>
          </w:p>
        </w:tc>
      </w:tr>
      <w:tr w14:paraId="2477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5F0BD7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4A9585B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12CA4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CC43E31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7E1AFB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103BB3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34.487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045C24A9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A4A7A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J2X5580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J879T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C85344B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EA2D720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2021.07.22</w:t>
            </w:r>
          </w:p>
        </w:tc>
      </w:tr>
      <w:tr w14:paraId="7644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3EC970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C93E80B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991DF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A662D10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82105D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2EDE67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34.691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14536B1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1E069B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J7H757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J507K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FF76195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93726C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2021.07.22</w:t>
            </w:r>
          </w:p>
        </w:tc>
      </w:tr>
      <w:tr w14:paraId="4548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CECEFE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4A9A92A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4E3FE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G2020320400002361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C56E870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FED9CF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9B6C16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32.785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5C3CC684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1EFE1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J6X676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J96U3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3E7EE13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C0F1B5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2021.08.12</w:t>
            </w:r>
          </w:p>
        </w:tc>
      </w:tr>
      <w:tr w14:paraId="20CD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97A85A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176012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D27D0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G2020320400002410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1C110BE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1BFEB7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3F25E9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33.439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C6763E3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1395E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J3Q786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J69T0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2EB3EE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12998A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2021.08.23</w:t>
            </w:r>
          </w:p>
        </w:tc>
      </w:tr>
      <w:tr w14:paraId="5253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EA1A73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22DBA7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BD73E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G2020320400002457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D430C26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CB7813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7861C0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33.148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18427F4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E5673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J0Y216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JPY95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51CB9AB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6CBB9F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2021.09.02</w:t>
            </w:r>
          </w:p>
        </w:tc>
      </w:tr>
      <w:tr w14:paraId="6671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A8A6B4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AAB652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C8F6F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G2020320400002528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1B647C3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0E7333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7B49D4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33.326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576832FA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E7273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J8X961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J21C7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39CEB0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6BBB33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2021.09.17</w:t>
            </w:r>
          </w:p>
        </w:tc>
      </w:tr>
      <w:tr w14:paraId="545B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E04AB2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79AC4B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6AD48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G2020320400002576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58B9912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04AD46F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576D98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33.645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21D354F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1EEDE0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J8X001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J14W4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5FCA796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DB1AA6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2021.10.03</w:t>
            </w:r>
          </w:p>
        </w:tc>
      </w:tr>
      <w:tr w14:paraId="4B11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1381D7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7DD466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954A1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G2020320400002640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20BD578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ED0BFF8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2B354C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34.705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820CBB3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15FB5C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J2V686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J7X89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3E335FC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675AF2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2021.10.18</w:t>
            </w:r>
          </w:p>
        </w:tc>
      </w:tr>
      <w:tr w14:paraId="34DF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F4F5FB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BA2941B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0FB0E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G2020320400002670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4369EE6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9F2B68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C91D8C8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33.876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98B4790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5472F468"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J5W205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J931C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00FF7986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A2A87F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2021.10.23</w:t>
            </w:r>
          </w:p>
        </w:tc>
      </w:tr>
      <w:tr w14:paraId="3989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D51D7D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8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401A619"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987.568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</w:tr>
    </w:tbl>
    <w:p w14:paraId="55B4417C"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82080"/>
    <w:multiLevelType w:val="multilevel"/>
    <w:tmpl w:val="3568208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B352B9"/>
    <w:multiLevelType w:val="singleLevel"/>
    <w:tmpl w:val="52B352B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TcxY2QxMzQ3NzQ4ZjAxMWJhYjg4YzVmNmNiNzMifQ=="/>
  </w:docVars>
  <w:rsids>
    <w:rsidRoot w:val="04756B72"/>
    <w:rsid w:val="0006128D"/>
    <w:rsid w:val="0023355F"/>
    <w:rsid w:val="003E1C5A"/>
    <w:rsid w:val="005508BE"/>
    <w:rsid w:val="005C31ED"/>
    <w:rsid w:val="0073326B"/>
    <w:rsid w:val="007523FB"/>
    <w:rsid w:val="009E2AE3"/>
    <w:rsid w:val="00AC03E2"/>
    <w:rsid w:val="00C63AE0"/>
    <w:rsid w:val="00FA5924"/>
    <w:rsid w:val="026478F5"/>
    <w:rsid w:val="033E7E04"/>
    <w:rsid w:val="03B519C6"/>
    <w:rsid w:val="04756B72"/>
    <w:rsid w:val="06DA3641"/>
    <w:rsid w:val="07396746"/>
    <w:rsid w:val="088C1A38"/>
    <w:rsid w:val="09712D40"/>
    <w:rsid w:val="09C904C7"/>
    <w:rsid w:val="0CD12600"/>
    <w:rsid w:val="0E690C2A"/>
    <w:rsid w:val="0F544CF5"/>
    <w:rsid w:val="0F8029B9"/>
    <w:rsid w:val="10ED70FC"/>
    <w:rsid w:val="11A21CAE"/>
    <w:rsid w:val="12622FF4"/>
    <w:rsid w:val="12BA5F53"/>
    <w:rsid w:val="12CF725E"/>
    <w:rsid w:val="16267AE6"/>
    <w:rsid w:val="166D0D4D"/>
    <w:rsid w:val="171657DF"/>
    <w:rsid w:val="178A4BAD"/>
    <w:rsid w:val="17AD4FCE"/>
    <w:rsid w:val="181C7EB0"/>
    <w:rsid w:val="198D180A"/>
    <w:rsid w:val="19937568"/>
    <w:rsid w:val="1CA36348"/>
    <w:rsid w:val="1CF97575"/>
    <w:rsid w:val="1D907B1C"/>
    <w:rsid w:val="1F795A10"/>
    <w:rsid w:val="21F55AD8"/>
    <w:rsid w:val="221327CF"/>
    <w:rsid w:val="22C476F8"/>
    <w:rsid w:val="22CA6BC3"/>
    <w:rsid w:val="25370166"/>
    <w:rsid w:val="270B60C2"/>
    <w:rsid w:val="27216D62"/>
    <w:rsid w:val="27863109"/>
    <w:rsid w:val="27A14B3E"/>
    <w:rsid w:val="27E83BEA"/>
    <w:rsid w:val="283D2E8F"/>
    <w:rsid w:val="298C1387"/>
    <w:rsid w:val="29AD69CC"/>
    <w:rsid w:val="29B43EB6"/>
    <w:rsid w:val="2A0807BA"/>
    <w:rsid w:val="2E6E589E"/>
    <w:rsid w:val="2E8F645A"/>
    <w:rsid w:val="2E9E1974"/>
    <w:rsid w:val="2F73370B"/>
    <w:rsid w:val="305F0AD9"/>
    <w:rsid w:val="3079418D"/>
    <w:rsid w:val="33B20AA0"/>
    <w:rsid w:val="34A87330"/>
    <w:rsid w:val="37B22073"/>
    <w:rsid w:val="39B24AAF"/>
    <w:rsid w:val="3C0F13FF"/>
    <w:rsid w:val="3C875F3D"/>
    <w:rsid w:val="3DC403E9"/>
    <w:rsid w:val="3E2F3CEF"/>
    <w:rsid w:val="3F1F7D03"/>
    <w:rsid w:val="40E302D2"/>
    <w:rsid w:val="42244F46"/>
    <w:rsid w:val="4261262A"/>
    <w:rsid w:val="426917C9"/>
    <w:rsid w:val="428125F9"/>
    <w:rsid w:val="434635A7"/>
    <w:rsid w:val="46976F25"/>
    <w:rsid w:val="48962A8F"/>
    <w:rsid w:val="49A61DE1"/>
    <w:rsid w:val="4A0D3F70"/>
    <w:rsid w:val="4ABE3A2A"/>
    <w:rsid w:val="4AD60806"/>
    <w:rsid w:val="4AF705BD"/>
    <w:rsid w:val="4B8E5AAC"/>
    <w:rsid w:val="4BD5136D"/>
    <w:rsid w:val="4C1B08D1"/>
    <w:rsid w:val="4C8B0C0C"/>
    <w:rsid w:val="4C937790"/>
    <w:rsid w:val="4EF126BD"/>
    <w:rsid w:val="4F2563AE"/>
    <w:rsid w:val="4FFB6482"/>
    <w:rsid w:val="50643684"/>
    <w:rsid w:val="50764699"/>
    <w:rsid w:val="519E15CA"/>
    <w:rsid w:val="523F083A"/>
    <w:rsid w:val="525A7E58"/>
    <w:rsid w:val="52925AE1"/>
    <w:rsid w:val="53261175"/>
    <w:rsid w:val="532C2C75"/>
    <w:rsid w:val="53F82099"/>
    <w:rsid w:val="54274100"/>
    <w:rsid w:val="56A925FF"/>
    <w:rsid w:val="57572CFE"/>
    <w:rsid w:val="589757C4"/>
    <w:rsid w:val="59435E9B"/>
    <w:rsid w:val="5A49669A"/>
    <w:rsid w:val="608570AF"/>
    <w:rsid w:val="62311865"/>
    <w:rsid w:val="626013D1"/>
    <w:rsid w:val="663233F9"/>
    <w:rsid w:val="68773C97"/>
    <w:rsid w:val="68943CA6"/>
    <w:rsid w:val="69751DD9"/>
    <w:rsid w:val="6B7417B4"/>
    <w:rsid w:val="6E53215E"/>
    <w:rsid w:val="6EFD4AD4"/>
    <w:rsid w:val="70C97277"/>
    <w:rsid w:val="70E02966"/>
    <w:rsid w:val="710C44A3"/>
    <w:rsid w:val="74E77319"/>
    <w:rsid w:val="75B02C1B"/>
    <w:rsid w:val="78C05985"/>
    <w:rsid w:val="7BA37EF9"/>
    <w:rsid w:val="7C1B6626"/>
    <w:rsid w:val="7C270CE3"/>
    <w:rsid w:val="7D0A0092"/>
    <w:rsid w:val="7E140C22"/>
    <w:rsid w:val="7FAD5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5">
    <w:name w:val="Plain Text"/>
    <w:basedOn w:val="1"/>
    <w:unhideWhenUsed/>
    <w:qFormat/>
    <w:uiPriority w:val="99"/>
    <w:pPr>
      <w:spacing w:line="240" w:lineRule="auto"/>
    </w:pPr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5088</Words>
  <Characters>7089</Characters>
  <Lines>2</Lines>
  <Paragraphs>1</Paragraphs>
  <TotalTime>8</TotalTime>
  <ScaleCrop>false</ScaleCrop>
  <LinksUpToDate>false</LinksUpToDate>
  <CharactersWithSpaces>7499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2017-06-26T03:19:00Z</dcterms:created>
  <dc:creator>xuejianhua</dc:creator>
  <cp:lastModifiedBy>烨</cp:lastModifiedBy>
  <cp:lastPrinted>2022-04-29T01:24:00Z</cp:lastPrinted>
  <dcterms:modified xsi:type="dcterms:W3CDTF">2025-07-21T06:37:24Z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9BB3F30C06FA456993A7F923ACBEA025</vt:lpwstr>
  </property>
  <property fmtid="{D5CDD505-2E9C-101B-9397-08002B2CF9AE}" pid="4" name="KSOTemplateDocerSaveRecord">
    <vt:lpwstr>eyJoZGlkIjoiZjhmZDViYmJhNjUzZDZlOWQxZGI0NDQ2NjQwMGU4ZmQiLCJ1c2VySWQiOiI3NDc5OTMxNTcifQ==</vt:lpwstr>
  </property>
</Properties>
</file>