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CB1A5">
      <w:pPr>
        <w:snapToGrid w:val="0"/>
        <w:spacing w:before="0" w:beforeAutospacing="0" w:after="200" w:afterAutospacing="0" w:line="240" w:lineRule="auto"/>
        <w:jc w:val="center"/>
        <w:textAlignment w:val="baseline"/>
        <w:rPr>
          <w:rFonts w:ascii="Times New Roman" w:hAnsi="Times New Roman" w:eastAsia="黑体"/>
          <w:b w:val="0"/>
          <w:i w:val="0"/>
          <w:caps w:val="0"/>
          <w:spacing w:val="0"/>
          <w:w w:val="100"/>
          <w:sz w:val="52"/>
        </w:rPr>
      </w:pPr>
    </w:p>
    <w:p w14:paraId="261B71CC">
      <w:pPr>
        <w:snapToGrid w:val="0"/>
        <w:spacing w:before="0" w:beforeAutospacing="0" w:after="200" w:afterAutospacing="0" w:line="240" w:lineRule="auto"/>
        <w:jc w:val="center"/>
        <w:textAlignment w:val="baseline"/>
        <w:rPr>
          <w:rFonts w:ascii="Times New Roman" w:hAnsi="Times New Roman" w:eastAsia="黑体"/>
          <w:b w:val="0"/>
          <w:i w:val="0"/>
          <w:caps w:val="0"/>
          <w:spacing w:val="0"/>
          <w:w w:val="100"/>
          <w:sz w:val="52"/>
        </w:rPr>
      </w:pPr>
    </w:p>
    <w:p w14:paraId="4655529E">
      <w:pPr>
        <w:snapToGrid w:val="0"/>
        <w:spacing w:before="0" w:beforeAutospacing="0" w:after="200" w:afterAutospacing="0" w:line="240" w:lineRule="auto"/>
        <w:jc w:val="center"/>
        <w:textAlignment w:val="baseline"/>
        <w:rPr>
          <w:rFonts w:ascii="Times New Roman" w:hAnsi="Times New Roman" w:eastAsia="方正小标宋_GBK"/>
          <w:b/>
          <w:i w:val="0"/>
          <w:caps w:val="0"/>
          <w:spacing w:val="0"/>
          <w:w w:val="100"/>
          <w:sz w:val="52"/>
          <w:szCs w:val="52"/>
        </w:rPr>
      </w:pPr>
    </w:p>
    <w:p w14:paraId="17FB5FD2">
      <w:pPr>
        <w:snapToGrid w:val="0"/>
        <w:spacing w:before="0" w:beforeAutospacing="0" w:after="200" w:afterAutospacing="0" w:line="240" w:lineRule="auto"/>
        <w:jc w:val="center"/>
        <w:textAlignment w:val="baseline"/>
        <w:rPr>
          <w:rFonts w:ascii="Times New Roman" w:hAnsi="Times New Roman" w:eastAsia="方正小标宋_GBK"/>
          <w:b w:val="0"/>
          <w:i w:val="0"/>
          <w:caps w:val="0"/>
          <w:spacing w:val="0"/>
          <w:w w:val="100"/>
          <w:sz w:val="52"/>
          <w:szCs w:val="52"/>
        </w:rPr>
      </w:pPr>
      <w:r>
        <w:rPr>
          <w:rFonts w:hint="eastAsia" w:ascii="Times New Roman" w:hAnsi="Times New Roman" w:eastAsia="方正小标宋_GBK"/>
          <w:b w:val="0"/>
          <w:i w:val="0"/>
          <w:caps w:val="0"/>
          <w:spacing w:val="0"/>
          <w:w w:val="100"/>
          <w:sz w:val="52"/>
          <w:szCs w:val="52"/>
        </w:rPr>
        <w:t>江苏省固体（危险）废物</w:t>
      </w:r>
    </w:p>
    <w:p w14:paraId="537C30B2">
      <w:pPr>
        <w:snapToGrid w:val="0"/>
        <w:spacing w:before="0" w:beforeAutospacing="0" w:after="200" w:afterAutospacing="0" w:line="240" w:lineRule="auto"/>
        <w:jc w:val="center"/>
        <w:textAlignment w:val="baseline"/>
        <w:rPr>
          <w:rFonts w:ascii="Times New Roman" w:hAnsi="Times New Roman" w:eastAsia="方正小标宋_GBK"/>
          <w:b w:val="0"/>
          <w:i w:val="0"/>
          <w:caps w:val="0"/>
          <w:spacing w:val="0"/>
          <w:w w:val="100"/>
          <w:sz w:val="52"/>
          <w:szCs w:val="52"/>
        </w:rPr>
      </w:pPr>
      <w:r>
        <w:rPr>
          <w:rFonts w:hint="eastAsia" w:ascii="Times New Roman" w:hAnsi="Times New Roman" w:eastAsia="方正小标宋_GBK"/>
          <w:b w:val="0"/>
          <w:i w:val="0"/>
          <w:caps w:val="0"/>
          <w:spacing w:val="0"/>
          <w:w w:val="100"/>
          <w:sz w:val="52"/>
          <w:szCs w:val="52"/>
        </w:rPr>
        <w:t>跨省（市）转移实施方案</w:t>
      </w:r>
    </w:p>
    <w:p w14:paraId="64698873">
      <w:pPr>
        <w:snapToGrid w:val="0"/>
        <w:spacing w:before="0" w:beforeAutospacing="0" w:after="200" w:afterAutospacing="0" w:line="240" w:lineRule="auto"/>
        <w:jc w:val="center"/>
        <w:textAlignment w:val="baseline"/>
        <w:rPr>
          <w:rFonts w:ascii="Times New Roman" w:hAnsi="Times New Roman"/>
          <w:b w:val="0"/>
          <w:i w:val="0"/>
          <w:caps w:val="0"/>
          <w:spacing w:val="0"/>
          <w:w w:val="100"/>
          <w:sz w:val="52"/>
        </w:rPr>
      </w:pPr>
    </w:p>
    <w:p w14:paraId="17129193">
      <w:pPr>
        <w:snapToGrid w:val="0"/>
        <w:spacing w:before="0" w:beforeAutospacing="0" w:after="200" w:afterAutospacing="0" w:line="240" w:lineRule="auto"/>
        <w:jc w:val="center"/>
        <w:textAlignment w:val="baseline"/>
        <w:rPr>
          <w:rFonts w:ascii="Times New Roman" w:hAnsi="Times New Roman"/>
          <w:b w:val="0"/>
          <w:i w:val="0"/>
          <w:caps w:val="0"/>
          <w:spacing w:val="0"/>
          <w:w w:val="100"/>
          <w:sz w:val="52"/>
        </w:rPr>
      </w:pPr>
    </w:p>
    <w:p w14:paraId="7B27635F">
      <w:pPr>
        <w:snapToGrid w:val="0"/>
        <w:spacing w:before="0" w:beforeAutospacing="0" w:after="200" w:afterAutospacing="0" w:line="240" w:lineRule="auto"/>
        <w:jc w:val="center"/>
        <w:textAlignment w:val="baseline"/>
        <w:rPr>
          <w:rFonts w:ascii="Times New Roman" w:hAnsi="Times New Roman"/>
          <w:b w:val="0"/>
          <w:i w:val="0"/>
          <w:caps w:val="0"/>
          <w:spacing w:val="0"/>
          <w:w w:val="100"/>
          <w:sz w:val="20"/>
        </w:rPr>
      </w:pPr>
    </w:p>
    <w:p w14:paraId="7296FF96">
      <w:pPr>
        <w:snapToGrid w:val="0"/>
        <w:spacing w:before="0" w:beforeAutospacing="0" w:after="200" w:afterAutospacing="0" w:line="240" w:lineRule="auto"/>
        <w:textAlignment w:val="baseline"/>
        <w:rPr>
          <w:rFonts w:ascii="Times New Roman" w:hAnsi="Times New Roman"/>
          <w:b w:val="0"/>
          <w:i w:val="0"/>
          <w:caps w:val="0"/>
          <w:spacing w:val="0"/>
          <w:w w:val="100"/>
          <w:sz w:val="20"/>
        </w:rPr>
      </w:pPr>
    </w:p>
    <w:p w14:paraId="22741649">
      <w:pPr>
        <w:snapToGrid w:val="0"/>
        <w:spacing w:before="0" w:beforeAutospacing="0" w:after="200" w:afterAutospacing="0" w:line="240" w:lineRule="auto"/>
        <w:textAlignment w:val="baseline"/>
        <w:rPr>
          <w:rFonts w:ascii="Times New Roman" w:hAnsi="Times New Roman"/>
          <w:b w:val="0"/>
          <w:i w:val="0"/>
          <w:caps w:val="0"/>
          <w:spacing w:val="0"/>
          <w:w w:val="100"/>
          <w:sz w:val="20"/>
        </w:rPr>
      </w:pPr>
    </w:p>
    <w:p w14:paraId="2F2C6867">
      <w:pPr>
        <w:pStyle w:val="2"/>
        <w:tabs>
          <w:tab w:val="left" w:pos="5940"/>
        </w:tabs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Times New Roman" w:hAnsi="宋体"/>
          <w:b/>
          <w:i w:val="0"/>
          <w:caps w:val="0"/>
          <w:spacing w:val="0"/>
          <w:w w:val="100"/>
          <w:sz w:val="32"/>
        </w:rPr>
      </w:pPr>
    </w:p>
    <w:p w14:paraId="5C6E3323">
      <w:pPr>
        <w:pStyle w:val="2"/>
        <w:tabs>
          <w:tab w:val="left" w:pos="5940"/>
        </w:tabs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Times New Roman" w:hAnsi="宋体"/>
          <w:b/>
          <w:i w:val="0"/>
          <w:caps w:val="0"/>
          <w:spacing w:val="0"/>
          <w:w w:val="100"/>
          <w:sz w:val="32"/>
        </w:rPr>
      </w:pPr>
    </w:p>
    <w:p w14:paraId="77846003">
      <w:pPr>
        <w:pStyle w:val="2"/>
        <w:tabs>
          <w:tab w:val="left" w:pos="5940"/>
        </w:tabs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Times New Roman" w:hAnsi="宋体"/>
          <w:b/>
          <w:i w:val="0"/>
          <w:caps w:val="0"/>
          <w:spacing w:val="0"/>
          <w:w w:val="100"/>
          <w:sz w:val="32"/>
        </w:rPr>
      </w:pPr>
    </w:p>
    <w:p w14:paraId="4A0D3DE3">
      <w:pPr>
        <w:pStyle w:val="2"/>
        <w:tabs>
          <w:tab w:val="left" w:pos="5940"/>
        </w:tabs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Times New Roman" w:hAnsi="宋体"/>
          <w:b/>
          <w:i w:val="0"/>
          <w:caps w:val="0"/>
          <w:spacing w:val="0"/>
          <w:w w:val="100"/>
          <w:sz w:val="32"/>
        </w:rPr>
      </w:pPr>
    </w:p>
    <w:p w14:paraId="21CBEE5B">
      <w:pPr>
        <w:pStyle w:val="2"/>
        <w:tabs>
          <w:tab w:val="left" w:pos="5940"/>
        </w:tabs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Times New Roman" w:hAnsi="宋体"/>
          <w:b/>
          <w:i w:val="0"/>
          <w:caps w:val="0"/>
          <w:spacing w:val="0"/>
          <w:w w:val="100"/>
          <w:sz w:val="32"/>
        </w:rPr>
      </w:pPr>
    </w:p>
    <w:p w14:paraId="2679B82C">
      <w:pPr>
        <w:pStyle w:val="2"/>
        <w:tabs>
          <w:tab w:val="left" w:pos="5940"/>
        </w:tabs>
        <w:snapToGrid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/>
          <w:i w:val="0"/>
          <w:caps w:val="0"/>
          <w:spacing w:val="0"/>
          <w:w w:val="100"/>
          <w:sz w:val="32"/>
        </w:rPr>
      </w:pPr>
      <w:r>
        <w:rPr>
          <w:rFonts w:hint="eastAsia" w:ascii="Times New Roman" w:hAnsi="宋体"/>
          <w:b/>
          <w:i w:val="0"/>
          <w:caps w:val="0"/>
          <w:spacing w:val="0"/>
          <w:w w:val="100"/>
          <w:sz w:val="32"/>
        </w:rPr>
        <w:t>申请单位：</w:t>
      </w:r>
      <w:r>
        <w:rPr>
          <w:rFonts w:hint="eastAsia" w:ascii="Times New Roman" w:hAnsi="Times New Roman"/>
          <w:b/>
          <w:i w:val="0"/>
          <w:caps w:val="0"/>
          <w:spacing w:val="0"/>
          <w:w w:val="100"/>
          <w:sz w:val="32"/>
          <w:u w:val="single" w:color="000000"/>
        </w:rPr>
        <w:t xml:space="preserve">  </w:t>
      </w:r>
      <w:r>
        <w:rPr>
          <w:rFonts w:hint="eastAsia" w:ascii="Times New Roman" w:hAnsi="Times New Roman"/>
          <w:b/>
          <w:i w:val="0"/>
          <w:caps w:val="0"/>
          <w:spacing w:val="0"/>
          <w:w w:val="100"/>
          <w:sz w:val="32"/>
          <w:u w:val="single" w:color="000000"/>
          <w:lang w:eastAsia="zh-CN"/>
        </w:rPr>
        <w:t>常州市武进戴溪有色金属制品有限公司</w:t>
      </w:r>
      <w:r>
        <w:rPr>
          <w:rFonts w:hint="eastAsia" w:ascii="Times New Roman" w:hAnsi="宋体"/>
          <w:b/>
          <w:i w:val="0"/>
          <w:caps w:val="0"/>
          <w:spacing w:val="0"/>
          <w:w w:val="100"/>
          <w:sz w:val="32"/>
        </w:rPr>
        <w:t>（公章）</w:t>
      </w:r>
    </w:p>
    <w:p w14:paraId="6FB5200C">
      <w:pPr>
        <w:tabs>
          <w:tab w:val="left" w:pos="5940"/>
        </w:tabs>
        <w:snapToGrid w:val="0"/>
        <w:spacing w:before="0" w:beforeAutospacing="0" w:after="200" w:afterAutospacing="0" w:line="240" w:lineRule="auto"/>
        <w:textAlignment w:val="baseline"/>
        <w:rPr>
          <w:rFonts w:ascii="Times New Roman" w:hAnsi="Times New Roman"/>
          <w:b/>
          <w:i w:val="0"/>
          <w:caps w:val="0"/>
          <w:spacing w:val="0"/>
          <w:w w:val="100"/>
          <w:sz w:val="32"/>
        </w:rPr>
      </w:pPr>
    </w:p>
    <w:p w14:paraId="612152A2">
      <w:pPr>
        <w:tabs>
          <w:tab w:val="left" w:pos="5940"/>
        </w:tabs>
        <w:snapToGrid w:val="0"/>
        <w:spacing w:before="0" w:beforeAutospacing="0" w:after="200" w:afterAutospacing="0" w:line="240" w:lineRule="auto"/>
        <w:textAlignment w:val="baseline"/>
        <w:rPr>
          <w:rFonts w:ascii="Times New Roman" w:hAnsi="Times New Roman"/>
          <w:b/>
          <w:i w:val="0"/>
          <w:caps w:val="0"/>
          <w:spacing w:val="0"/>
          <w:w w:val="100"/>
          <w:sz w:val="32"/>
        </w:rPr>
      </w:pPr>
    </w:p>
    <w:p w14:paraId="228F0FBB">
      <w:pPr>
        <w:pStyle w:val="2"/>
        <w:tabs>
          <w:tab w:val="left" w:pos="5940"/>
        </w:tabs>
        <w:snapToGrid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宋体"/>
          <w:b/>
          <w:i w:val="0"/>
          <w:caps w:val="0"/>
          <w:spacing w:val="0"/>
          <w:w w:val="100"/>
          <w:sz w:val="32"/>
        </w:rPr>
      </w:pPr>
      <w:r>
        <w:rPr>
          <w:rFonts w:hint="eastAsia" w:ascii="Times New Roman" w:hAnsi="宋体"/>
          <w:b/>
          <w:i w:val="0"/>
          <w:caps w:val="0"/>
          <w:spacing w:val="0"/>
          <w:w w:val="100"/>
          <w:sz w:val="32"/>
        </w:rPr>
        <w:t>填报日期：</w:t>
      </w:r>
      <w:r>
        <w:rPr>
          <w:rFonts w:ascii="Times New Roman" w:hAnsi="宋体"/>
          <w:b/>
          <w:i w:val="0"/>
          <w:caps w:val="0"/>
          <w:spacing w:val="0"/>
          <w:w w:val="100"/>
          <w:sz w:val="32"/>
        </w:rPr>
        <w:t xml:space="preserve">  20</w:t>
      </w:r>
      <w:r>
        <w:rPr>
          <w:rFonts w:hint="eastAsia" w:ascii="Times New Roman" w:hAnsi="宋体"/>
          <w:b/>
          <w:i w:val="0"/>
          <w:caps w:val="0"/>
          <w:spacing w:val="0"/>
          <w:w w:val="100"/>
          <w:sz w:val="32"/>
          <w:lang w:val="en-US" w:eastAsia="zh-CN"/>
        </w:rPr>
        <w:t>21</w:t>
      </w:r>
      <w:r>
        <w:rPr>
          <w:rFonts w:hint="eastAsia" w:ascii="Times New Roman" w:hAnsi="宋体"/>
          <w:b/>
          <w:i w:val="0"/>
          <w:caps w:val="0"/>
          <w:spacing w:val="0"/>
          <w:w w:val="100"/>
          <w:sz w:val="32"/>
        </w:rPr>
        <w:t>年</w:t>
      </w:r>
      <w:r>
        <w:rPr>
          <w:rFonts w:hint="eastAsia" w:ascii="Times New Roman" w:hAnsi="宋体"/>
          <w:b/>
          <w:i w:val="0"/>
          <w:caps w:val="0"/>
          <w:spacing w:val="0"/>
          <w:w w:val="100"/>
          <w:sz w:val="32"/>
          <w:lang w:val="en-US" w:eastAsia="zh-CN"/>
        </w:rPr>
        <w:t>10</w:t>
      </w:r>
      <w:r>
        <w:rPr>
          <w:rFonts w:hint="eastAsia" w:ascii="Times New Roman" w:hAnsi="宋体"/>
          <w:b/>
          <w:i w:val="0"/>
          <w:caps w:val="0"/>
          <w:spacing w:val="0"/>
          <w:w w:val="100"/>
          <w:sz w:val="32"/>
        </w:rPr>
        <w:t>月</w:t>
      </w:r>
      <w:r>
        <w:rPr>
          <w:rFonts w:hint="eastAsia" w:ascii="Times New Roman" w:hAnsi="宋体"/>
          <w:b/>
          <w:i w:val="0"/>
          <w:caps w:val="0"/>
          <w:spacing w:val="0"/>
          <w:w w:val="100"/>
          <w:sz w:val="32"/>
          <w:lang w:val="en-US" w:eastAsia="zh-CN"/>
        </w:rPr>
        <w:t>2</w:t>
      </w:r>
      <w:r>
        <w:rPr>
          <w:rFonts w:hint="default" w:ascii="Times New Roman" w:hAnsi="宋体"/>
          <w:b/>
          <w:i w:val="0"/>
          <w:caps w:val="0"/>
          <w:spacing w:val="0"/>
          <w:w w:val="100"/>
          <w:sz w:val="32"/>
          <w:lang w:val="en-US" w:eastAsia="zh-CN"/>
        </w:rPr>
        <w:t>2</w:t>
      </w:r>
      <w:r>
        <w:rPr>
          <w:rFonts w:hint="eastAsia" w:ascii="Times New Roman" w:hAnsi="宋体"/>
          <w:b/>
          <w:i w:val="0"/>
          <w:caps w:val="0"/>
          <w:spacing w:val="0"/>
          <w:w w:val="100"/>
          <w:sz w:val="32"/>
        </w:rPr>
        <w:t>日</w:t>
      </w:r>
    </w:p>
    <w:p w14:paraId="2EEB7D1C">
      <w:pPr>
        <w:tabs>
          <w:tab w:val="left" w:pos="5940"/>
        </w:tabs>
        <w:snapToGrid w:val="0"/>
        <w:spacing w:before="0" w:beforeAutospacing="0" w:after="200" w:afterAutospacing="0" w:line="400" w:lineRule="exact"/>
        <w:textAlignment w:val="baseline"/>
        <w:rPr>
          <w:rFonts w:ascii="Times New Roman" w:hAnsi="Times New Roman"/>
          <w:b/>
          <w:i w:val="0"/>
          <w:caps w:val="0"/>
          <w:spacing w:val="0"/>
          <w:w w:val="100"/>
          <w:sz w:val="24"/>
        </w:rPr>
      </w:pPr>
    </w:p>
    <w:p w14:paraId="012A8E32">
      <w:pPr>
        <w:tabs>
          <w:tab w:val="left" w:pos="5940"/>
        </w:tabs>
        <w:snapToGrid w:val="0"/>
        <w:spacing w:before="0" w:beforeAutospacing="0" w:after="200" w:afterAutospacing="0" w:line="400" w:lineRule="exact"/>
        <w:jc w:val="center"/>
        <w:textAlignment w:val="baseline"/>
        <w:rPr>
          <w:rFonts w:ascii="Times New Roman" w:hAnsi="Times New Roman"/>
          <w:b w:val="0"/>
          <w:i w:val="0"/>
          <w:caps w:val="0"/>
          <w:spacing w:val="0"/>
          <w:w w:val="100"/>
          <w:sz w:val="24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286" w:charSpace="0"/>
        </w:sectPr>
      </w:pPr>
      <w:r>
        <w:rPr>
          <w:rFonts w:hint="eastAsia" w:ascii="Times New Roman" w:hAnsi="宋体"/>
          <w:b/>
          <w:i w:val="0"/>
          <w:caps w:val="0"/>
          <w:spacing w:val="0"/>
          <w:w w:val="100"/>
          <w:sz w:val="24"/>
        </w:rPr>
        <w:t>江苏省环境保护厅制</w:t>
      </w:r>
    </w:p>
    <w:p w14:paraId="7BB132E5">
      <w:pPr>
        <w:snapToGrid w:val="0"/>
        <w:spacing w:before="0" w:beforeAutospacing="0" w:after="200" w:afterAutospacing="0" w:line="240" w:lineRule="auto"/>
        <w:ind w:right="-794"/>
        <w:jc w:val="center"/>
        <w:textAlignment w:val="baseline"/>
        <w:rPr>
          <w:rFonts w:ascii="Times New Roman" w:hAnsi="Times New Roman" w:eastAsia="方正小标宋_GBK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Times New Roman" w:hAnsi="Times New Roman" w:eastAsia="方正小标宋_GBK"/>
          <w:b w:val="0"/>
          <w:i w:val="0"/>
          <w:caps w:val="0"/>
          <w:spacing w:val="0"/>
          <w:w w:val="100"/>
          <w:sz w:val="44"/>
          <w:szCs w:val="44"/>
        </w:rPr>
        <w:t>申请者声明</w:t>
      </w:r>
    </w:p>
    <w:p w14:paraId="41A1E926">
      <w:pPr>
        <w:snapToGrid w:val="0"/>
        <w:spacing w:before="0" w:beforeAutospacing="0" w:after="200" w:afterAutospacing="0" w:line="240" w:lineRule="auto"/>
        <w:ind w:right="-794"/>
        <w:jc w:val="center"/>
        <w:textAlignment w:val="baseline"/>
        <w:rPr>
          <w:rFonts w:ascii="Times New Roman" w:hAnsi="Times New Roman" w:eastAsia="方正小标宋_GBK"/>
          <w:b/>
          <w:i w:val="0"/>
          <w:caps w:val="0"/>
          <w:spacing w:val="0"/>
          <w:w w:val="100"/>
          <w:sz w:val="44"/>
          <w:szCs w:val="44"/>
        </w:rPr>
      </w:pPr>
    </w:p>
    <w:p w14:paraId="6948DD78">
      <w:pPr>
        <w:snapToGrid w:val="0"/>
        <w:spacing w:before="0" w:beforeAutospacing="0" w:after="200" w:afterAutospacing="0" w:line="360" w:lineRule="auto"/>
        <w:ind w:left="-220" w:leftChars="-100" w:right="-220" w:firstLine="640" w:firstLineChars="200"/>
        <w:textAlignment w:val="baseline"/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Times New Roman" w:hAnsi="方正仿宋_GBK" w:eastAsia="方正仿宋_GBK"/>
          <w:b w:val="0"/>
          <w:i w:val="0"/>
          <w:caps w:val="0"/>
          <w:spacing w:val="0"/>
          <w:w w:val="100"/>
          <w:sz w:val="32"/>
          <w:szCs w:val="32"/>
        </w:rPr>
        <w:t>我代表申请单位郑重承诺：本实施方案所填资料是完整的和真实的。转移的危险废物名称、类别、代码、数量与实际相符。危险废物接受单位具备相应的处置利用能力和污染防治措施。委托有资质单位进行运输并按照制定的运输路线运输，保证转移的废物均到达接收单位进行安全处置处理，对转移过程中可能产生的环境风险提出合理的控制措施，实行跨省（市）转移网上报告，承担转移全过程监控责任。</w:t>
      </w:r>
    </w:p>
    <w:p w14:paraId="19E01113">
      <w:pPr>
        <w:snapToGrid w:val="0"/>
        <w:spacing w:before="0" w:beforeAutospacing="0" w:after="200" w:afterAutospacing="0" w:line="240" w:lineRule="auto"/>
        <w:ind w:left="-220" w:leftChars="-100" w:right="-220" w:firstLine="1264"/>
        <w:textAlignment w:val="baseline"/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sz w:val="36"/>
          <w:szCs w:val="36"/>
        </w:rPr>
      </w:pPr>
    </w:p>
    <w:p w14:paraId="1BA869E6">
      <w:pPr>
        <w:snapToGrid w:val="0"/>
        <w:spacing w:before="0" w:beforeAutospacing="0" w:after="200" w:afterAutospacing="0" w:line="240" w:lineRule="auto"/>
        <w:ind w:left="-220" w:leftChars="-100" w:right="-220" w:firstLine="1264"/>
        <w:textAlignment w:val="baseline"/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sz w:val="36"/>
          <w:szCs w:val="36"/>
        </w:rPr>
      </w:pPr>
    </w:p>
    <w:p w14:paraId="07A60861">
      <w:pPr>
        <w:snapToGrid w:val="0"/>
        <w:spacing w:before="0" w:beforeAutospacing="0" w:after="200" w:afterAutospacing="0" w:line="240" w:lineRule="auto"/>
        <w:ind w:left="-220" w:leftChars="-100" w:right="-220" w:firstLine="1264"/>
        <w:textAlignment w:val="baseline"/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sz w:val="36"/>
          <w:szCs w:val="36"/>
        </w:rPr>
      </w:pPr>
    </w:p>
    <w:p w14:paraId="6C98254A">
      <w:pPr>
        <w:snapToGrid w:val="0"/>
        <w:spacing w:before="0" w:beforeAutospacing="0" w:after="200" w:afterAutospacing="0" w:line="240" w:lineRule="auto"/>
        <w:ind w:left="-220" w:leftChars="-100" w:right="-220" w:firstLine="1264"/>
        <w:textAlignment w:val="baseline"/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sz w:val="36"/>
          <w:szCs w:val="36"/>
        </w:rPr>
      </w:pPr>
    </w:p>
    <w:p w14:paraId="049DA8A8">
      <w:pPr>
        <w:snapToGrid w:val="0"/>
        <w:spacing w:before="0" w:beforeAutospacing="0" w:after="200" w:afterAutospacing="0" w:line="240" w:lineRule="auto"/>
        <w:ind w:left="-220" w:leftChars="-100" w:right="-220" w:firstLine="1264"/>
        <w:jc w:val="center"/>
        <w:textAlignment w:val="baseline"/>
        <w:rPr>
          <w:rFonts w:ascii="Times New Roman" w:hAnsi="方正仿宋_GBK" w:eastAsia="方正仿宋_GBK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Times New Roman" w:hAnsi="方正仿宋_GBK" w:eastAsia="方正仿宋_GBK"/>
          <w:b w:val="0"/>
          <w:i w:val="0"/>
          <w:caps w:val="0"/>
          <w:spacing w:val="0"/>
          <w:w w:val="100"/>
          <w:sz w:val="32"/>
          <w:szCs w:val="32"/>
        </w:rPr>
        <w:t>法人代表签字：</w:t>
      </w:r>
    </w:p>
    <w:p w14:paraId="1472396C">
      <w:pPr>
        <w:snapToGrid w:val="0"/>
        <w:spacing w:before="0" w:beforeAutospacing="0" w:after="200" w:afterAutospacing="0" w:line="240" w:lineRule="auto"/>
        <w:ind w:left="-220" w:leftChars="-100" w:right="-220" w:firstLine="1264"/>
        <w:jc w:val="center"/>
        <w:textAlignment w:val="baseline"/>
        <w:rPr>
          <w:rFonts w:ascii="Times New Roman" w:hAnsi="方正仿宋_GBK" w:eastAsia="方正仿宋_GBK"/>
          <w:b w:val="0"/>
          <w:i w:val="0"/>
          <w:caps w:val="0"/>
          <w:spacing w:val="0"/>
          <w:w w:val="100"/>
          <w:sz w:val="32"/>
          <w:szCs w:val="32"/>
        </w:rPr>
      </w:pPr>
    </w:p>
    <w:p w14:paraId="7974A592">
      <w:pPr>
        <w:snapToGrid w:val="0"/>
        <w:spacing w:before="0" w:beforeAutospacing="0" w:after="200" w:afterAutospacing="0" w:line="240" w:lineRule="auto"/>
        <w:ind w:left="-220" w:leftChars="-100" w:right="-220" w:firstLine="1264"/>
        <w:jc w:val="center"/>
        <w:textAlignment w:val="baseline"/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sz w:val="32"/>
          <w:szCs w:val="32"/>
        </w:rPr>
      </w:pPr>
    </w:p>
    <w:p w14:paraId="335455D5">
      <w:pPr>
        <w:snapToGrid w:val="0"/>
        <w:spacing w:before="0" w:beforeAutospacing="0" w:after="200" w:afterAutospacing="0" w:line="240" w:lineRule="auto"/>
        <w:ind w:left="-220" w:leftChars="-100" w:right="-220" w:firstLine="1264"/>
        <w:jc w:val="center"/>
        <w:textAlignment w:val="baseline"/>
        <w:rPr>
          <w:rFonts w:ascii="Times New Roman" w:hAnsi="Times New Roman"/>
          <w:b w:val="0"/>
          <w:i w:val="0"/>
          <w:caps w:val="0"/>
          <w:spacing w:val="0"/>
          <w:w w:val="100"/>
          <w:sz w:val="36"/>
          <w:szCs w:val="36"/>
        </w:rPr>
      </w:pP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sz w:val="32"/>
          <w:szCs w:val="32"/>
        </w:rPr>
        <w:t xml:space="preserve">  20</w:t>
      </w:r>
      <w:r>
        <w:rPr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21</w:t>
      </w:r>
      <w:r>
        <w:rPr>
          <w:rFonts w:hint="eastAsia" w:ascii="Times New Roman" w:hAnsi="方正仿宋_GBK" w:eastAsia="方正仿宋_GBK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10</w:t>
      </w:r>
      <w:r>
        <w:rPr>
          <w:rFonts w:hint="eastAsia" w:ascii="Times New Roman" w:hAnsi="方正仿宋_GBK" w:eastAsia="方正仿宋_GBK"/>
          <w:b w:val="0"/>
          <w:i w:val="0"/>
          <w:caps w:val="0"/>
          <w:spacing w:val="0"/>
          <w:w w:val="100"/>
          <w:sz w:val="32"/>
          <w:szCs w:val="32"/>
        </w:rPr>
        <w:t>月</w:t>
      </w:r>
      <w:r>
        <w:rPr>
          <w:rFonts w:hint="eastAsia" w:ascii="Times New Roman" w:hAnsi="方正仿宋_GBK" w:eastAsia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default" w:ascii="Times New Roman" w:hAnsi="方正仿宋_GBK" w:eastAsia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Times New Roman" w:hAnsi="方正仿宋_GBK" w:eastAsia="方正仿宋_GBK"/>
          <w:b w:val="0"/>
          <w:i w:val="0"/>
          <w:caps w:val="0"/>
          <w:spacing w:val="0"/>
          <w:w w:val="100"/>
          <w:sz w:val="32"/>
          <w:szCs w:val="32"/>
        </w:rPr>
        <w:t>日</w:t>
      </w:r>
    </w:p>
    <w:p w14:paraId="41BA6036">
      <w:pPr>
        <w:snapToGrid w:val="0"/>
        <w:spacing w:before="0" w:beforeAutospacing="0" w:after="200" w:afterAutospacing="0" w:line="240" w:lineRule="auto"/>
        <w:ind w:left="-220" w:leftChars="-100" w:right="-220" w:firstLine="1264"/>
        <w:jc w:val="center"/>
        <w:textAlignment w:val="baseline"/>
        <w:rPr>
          <w:rFonts w:ascii="Times New Roman" w:hAnsi="Times New Roman"/>
          <w:b w:val="0"/>
          <w:i w:val="0"/>
          <w:caps w:val="0"/>
          <w:spacing w:val="0"/>
          <w:w w:val="100"/>
          <w:sz w:val="36"/>
          <w:szCs w:val="36"/>
        </w:rPr>
      </w:pPr>
    </w:p>
    <w:p w14:paraId="11A086C9">
      <w:pPr>
        <w:snapToGrid w:val="0"/>
        <w:spacing w:before="0" w:beforeAutospacing="0" w:after="200" w:afterAutospacing="0" w:line="240" w:lineRule="auto"/>
        <w:ind w:left="-741" w:leftChars="-337" w:right="-794" w:firstLine="1264"/>
        <w:textAlignment w:val="baseline"/>
        <w:rPr>
          <w:rFonts w:ascii="Times New Roman" w:hAnsi="Times New Roman"/>
          <w:b w:val="0"/>
          <w:i w:val="0"/>
          <w:caps w:val="0"/>
          <w:spacing w:val="0"/>
          <w:w w:val="100"/>
          <w:sz w:val="36"/>
          <w:szCs w:val="36"/>
        </w:rPr>
      </w:pPr>
    </w:p>
    <w:p w14:paraId="7B653218">
      <w:pPr>
        <w:snapToGrid w:val="0"/>
        <w:spacing w:before="0" w:beforeAutospacing="0" w:after="200" w:afterAutospacing="0" w:line="240" w:lineRule="auto"/>
        <w:ind w:left="-741" w:leftChars="-337" w:right="-794" w:firstLine="1264"/>
        <w:textAlignment w:val="baseline"/>
        <w:rPr>
          <w:rFonts w:ascii="Times New Roman" w:hAnsi="Times New Roman"/>
          <w:b w:val="0"/>
          <w:i w:val="0"/>
          <w:caps w:val="0"/>
          <w:spacing w:val="0"/>
          <w:w w:val="100"/>
          <w:sz w:val="36"/>
          <w:szCs w:val="36"/>
        </w:rPr>
      </w:pPr>
    </w:p>
    <w:p w14:paraId="013E754A">
      <w:pPr>
        <w:snapToGrid w:val="0"/>
        <w:spacing w:before="0" w:beforeAutospacing="0" w:after="200" w:afterAutospacing="0" w:line="240" w:lineRule="auto"/>
        <w:ind w:left="-741" w:leftChars="-337" w:right="-794" w:firstLine="1264"/>
        <w:textAlignment w:val="baseline"/>
        <w:rPr>
          <w:rFonts w:ascii="Times New Roman" w:hAnsi="Times New Roman"/>
          <w:b w:val="0"/>
          <w:i w:val="0"/>
          <w:caps w:val="0"/>
          <w:spacing w:val="0"/>
          <w:w w:val="100"/>
          <w:sz w:val="36"/>
          <w:szCs w:val="36"/>
        </w:rPr>
      </w:pPr>
    </w:p>
    <w:p w14:paraId="252E20DE">
      <w:pPr>
        <w:snapToGrid w:val="0"/>
        <w:spacing w:before="0" w:beforeAutospacing="0" w:after="200" w:afterAutospacing="0" w:line="240" w:lineRule="auto"/>
        <w:ind w:left="-741" w:leftChars="-337" w:right="-794" w:firstLine="1264"/>
        <w:textAlignment w:val="baseline"/>
        <w:rPr>
          <w:rFonts w:ascii="Times New Roman" w:hAnsi="Times New Roman"/>
          <w:b w:val="0"/>
          <w:i w:val="0"/>
          <w:caps w:val="0"/>
          <w:spacing w:val="0"/>
          <w:w w:val="100"/>
          <w:sz w:val="36"/>
          <w:szCs w:val="36"/>
        </w:rPr>
      </w:pPr>
    </w:p>
    <w:p w14:paraId="07A3D8AF">
      <w:pPr>
        <w:snapToGrid w:val="0"/>
        <w:spacing w:before="0" w:beforeAutospacing="0" w:after="200" w:afterAutospacing="0" w:line="240" w:lineRule="auto"/>
        <w:textAlignment w:val="baseline"/>
        <w:rPr>
          <w:rFonts w:ascii="Times New Roman" w:eastAsia="黑体"/>
          <w:b w:val="0"/>
          <w:i w:val="0"/>
          <w:caps w:val="0"/>
          <w:spacing w:val="0"/>
          <w:w w:val="100"/>
          <w:sz w:val="28"/>
          <w:szCs w:val="28"/>
        </w:rPr>
      </w:pPr>
    </w:p>
    <w:p w14:paraId="1D400743">
      <w:pPr>
        <w:snapToGrid w:val="0"/>
        <w:spacing w:before="0" w:beforeAutospacing="0" w:after="200" w:afterAutospacing="0" w:line="240" w:lineRule="auto"/>
        <w:textAlignment w:val="baseline"/>
        <w:rPr>
          <w:rFonts w:ascii="Times New Roman" w:eastAsia="黑体"/>
          <w:b w:val="0"/>
          <w:i w:val="0"/>
          <w:caps w:val="0"/>
          <w:spacing w:val="0"/>
          <w:w w:val="100"/>
          <w:sz w:val="28"/>
          <w:szCs w:val="28"/>
        </w:rPr>
      </w:pPr>
    </w:p>
    <w:p w14:paraId="1950D2D5">
      <w:pPr>
        <w:snapToGrid w:val="0"/>
        <w:spacing w:before="0" w:beforeAutospacing="0" w:after="200" w:afterAutospacing="0" w:line="240" w:lineRule="auto"/>
        <w:textAlignment w:val="baseline"/>
        <w:rPr>
          <w:rFonts w:ascii="Times New Roman" w:hAnsi="Times New Roman" w:eastAsia="黑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Times New Roman" w:eastAsia="黑体"/>
          <w:b w:val="0"/>
          <w:i w:val="0"/>
          <w:caps w:val="0"/>
          <w:spacing w:val="0"/>
          <w:w w:val="100"/>
          <w:sz w:val="28"/>
          <w:szCs w:val="28"/>
        </w:rPr>
        <w:t>第一部分：拟转移废物基本情况</w:t>
      </w:r>
    </w:p>
    <w:tbl>
      <w:tblPr>
        <w:tblStyle w:val="7"/>
        <w:tblW w:w="10092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91"/>
        <w:gridCol w:w="1803"/>
        <w:gridCol w:w="230"/>
        <w:gridCol w:w="1465"/>
        <w:gridCol w:w="114"/>
        <w:gridCol w:w="2151"/>
        <w:gridCol w:w="346"/>
        <w:gridCol w:w="2132"/>
      </w:tblGrid>
      <w:tr w14:paraId="6A01A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0092" w:type="dxa"/>
            <w:gridSpan w:val="9"/>
            <w:vAlign w:val="center"/>
          </w:tcPr>
          <w:p w14:paraId="2ED2F1DC"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Times New Roman" w:hAnsi="Times New Roman" w:eastAsia="黑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eastAsia="黑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表</w:t>
            </w:r>
            <w:r>
              <w:rPr>
                <w:rFonts w:ascii="Times New Roman" w:hAnsi="Times New Roman" w:eastAsia="黑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1 </w:t>
            </w:r>
            <w:r>
              <w:rPr>
                <w:rFonts w:hint="eastAsia" w:ascii="Times New Roman" w:eastAsia="黑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废物产生情况</w:t>
            </w:r>
          </w:p>
        </w:tc>
      </w:tr>
      <w:tr w14:paraId="0B1FE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0092" w:type="dxa"/>
            <w:gridSpan w:val="9"/>
          </w:tcPr>
          <w:p w14:paraId="5A736F59">
            <w:pPr>
              <w:snapToGrid w:val="0"/>
              <w:spacing w:before="0" w:beforeAutospacing="0" w:after="200" w:afterAutospacing="0" w:line="300" w:lineRule="exact"/>
              <w:jc w:val="center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废物产生企业概况（企业投产时间、主要经营范围及规模）</w:t>
            </w:r>
          </w:p>
          <w:p w14:paraId="2B66053D">
            <w:pPr>
              <w:snapToGrid w:val="0"/>
              <w:spacing w:before="0" w:beforeAutospacing="0" w:after="200" w:afterAutospacing="0" w:line="300" w:lineRule="exact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  <w:lang w:eastAsia="zh-CN"/>
              </w:rPr>
              <w:t>常州市武进戴溪有色金属制品有限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公司成立于</w:t>
            </w:r>
            <w:r>
              <w:rPr>
                <w:rFonts w:hint="default"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  <w:lang w:val="en-US"/>
              </w:rPr>
              <w:t>1987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年</w:t>
            </w:r>
            <w:r>
              <w:rPr>
                <w:rFonts w:hint="default"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月</w:t>
            </w:r>
            <w:r>
              <w:rPr>
                <w:rFonts w:hint="default"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日，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  <w:lang w:val="en-US" w:eastAsia="zh-CN"/>
              </w:rPr>
              <w:t>注册资金</w:t>
            </w:r>
            <w:r>
              <w:rPr>
                <w:rFonts w:hint="default"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  <w:lang w:val="en-US" w:eastAsia="zh-CN"/>
              </w:rPr>
              <w:t>38.31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  <w:lang w:val="en-US" w:eastAsia="zh-CN"/>
              </w:rPr>
              <w:t>万元，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该厂主要经营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  <w:lang w:eastAsia="zh-CN"/>
              </w:rPr>
              <w:t>铝合金装饰品，铜管及铜管制品制造等。</w:t>
            </w:r>
          </w:p>
        </w:tc>
      </w:tr>
      <w:tr w14:paraId="449B6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092" w:type="dxa"/>
            <w:gridSpan w:val="9"/>
            <w:vAlign w:val="center"/>
          </w:tcPr>
          <w:p w14:paraId="7FAF9C61">
            <w:pPr>
              <w:snapToGrid w:val="0"/>
              <w:spacing w:before="0" w:beforeAutospacing="0" w:after="200" w:afterAutospacing="0" w:line="300" w:lineRule="exact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产品及产废情况</w:t>
            </w:r>
          </w:p>
        </w:tc>
      </w:tr>
      <w:tr w14:paraId="6BF47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5349" w:type="dxa"/>
            <w:gridSpan w:val="5"/>
            <w:vAlign w:val="center"/>
          </w:tcPr>
          <w:p w14:paraId="6AE7E53E">
            <w:pPr>
              <w:snapToGrid w:val="0"/>
              <w:spacing w:before="0" w:beforeAutospacing="0" w:after="200" w:afterAutospacing="0" w:line="300" w:lineRule="exact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产品情况</w:t>
            </w:r>
          </w:p>
        </w:tc>
        <w:tc>
          <w:tcPr>
            <w:tcW w:w="4743" w:type="dxa"/>
            <w:gridSpan w:val="4"/>
            <w:vAlign w:val="center"/>
          </w:tcPr>
          <w:p w14:paraId="1B0890EF">
            <w:pPr>
              <w:snapToGrid w:val="0"/>
              <w:spacing w:before="0" w:beforeAutospacing="0" w:after="200" w:afterAutospacing="0" w:line="300" w:lineRule="exact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产生危险废物情况</w:t>
            </w:r>
          </w:p>
        </w:tc>
      </w:tr>
      <w:tr w14:paraId="4AE1B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660" w:type="dxa"/>
            <w:vAlign w:val="center"/>
          </w:tcPr>
          <w:p w14:paraId="62130D14">
            <w:pPr>
              <w:snapToGrid w:val="0"/>
              <w:spacing w:before="0" w:beforeAutospacing="0" w:after="200" w:afterAutospacing="0" w:line="300" w:lineRule="exact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产品名称</w:t>
            </w:r>
          </w:p>
        </w:tc>
        <w:tc>
          <w:tcPr>
            <w:tcW w:w="2224" w:type="dxa"/>
            <w:gridSpan w:val="3"/>
            <w:vAlign w:val="center"/>
          </w:tcPr>
          <w:p w14:paraId="028F7761">
            <w:pPr>
              <w:snapToGrid w:val="0"/>
              <w:spacing w:before="0" w:beforeAutospacing="0" w:after="200" w:afterAutospacing="0" w:line="300" w:lineRule="exact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主要成分化学名</w:t>
            </w:r>
          </w:p>
        </w:tc>
        <w:tc>
          <w:tcPr>
            <w:tcW w:w="1465" w:type="dxa"/>
            <w:vAlign w:val="center"/>
          </w:tcPr>
          <w:p w14:paraId="7ACCBC0D">
            <w:pPr>
              <w:snapToGrid w:val="0"/>
              <w:spacing w:before="0" w:beforeAutospacing="0" w:after="200" w:afterAutospacing="0" w:line="300" w:lineRule="exact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年产量</w:t>
            </w:r>
          </w:p>
        </w:tc>
        <w:tc>
          <w:tcPr>
            <w:tcW w:w="2611" w:type="dxa"/>
            <w:gridSpan w:val="3"/>
            <w:vAlign w:val="center"/>
          </w:tcPr>
          <w:p w14:paraId="272A2739">
            <w:pPr>
              <w:snapToGrid w:val="0"/>
              <w:spacing w:before="0" w:beforeAutospacing="0" w:after="200" w:afterAutospacing="0" w:line="300" w:lineRule="exact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废物名称</w:t>
            </w:r>
          </w:p>
        </w:tc>
        <w:tc>
          <w:tcPr>
            <w:tcW w:w="2132" w:type="dxa"/>
            <w:vAlign w:val="center"/>
          </w:tcPr>
          <w:p w14:paraId="4DBAA0B3">
            <w:pPr>
              <w:snapToGrid w:val="0"/>
              <w:spacing w:before="0" w:beforeAutospacing="0" w:after="200" w:afterAutospacing="0" w:line="300" w:lineRule="exact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年产生量</w:t>
            </w:r>
          </w:p>
        </w:tc>
      </w:tr>
      <w:tr w14:paraId="77EE6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660" w:type="dxa"/>
          </w:tcPr>
          <w:p w14:paraId="7C203C78">
            <w:pPr>
              <w:snapToGrid w:val="0"/>
              <w:spacing w:before="0" w:beforeAutospacing="0" w:after="200" w:afterAutospacing="0" w:line="300" w:lineRule="exact"/>
              <w:jc w:val="center"/>
              <w:textAlignment w:val="baseline"/>
              <w:rPr>
                <w:rFonts w:hint="eastAsia" w:ascii="Times New Roman" w:hAnsi="Times New Roman" w:eastAsia="微软雅黑"/>
                <w:b w:val="0"/>
                <w:i w:val="0"/>
                <w:caps w:val="0"/>
                <w:spacing w:val="0"/>
                <w:w w:val="100"/>
                <w:sz w:val="20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/>
              </w:rPr>
              <w:t>铜管</w:t>
            </w:r>
          </w:p>
        </w:tc>
        <w:tc>
          <w:tcPr>
            <w:tcW w:w="2224" w:type="dxa"/>
            <w:gridSpan w:val="3"/>
          </w:tcPr>
          <w:p w14:paraId="1F529D61">
            <w:pPr>
              <w:snapToGrid w:val="0"/>
              <w:spacing w:before="0" w:beforeAutospacing="0" w:after="200" w:afterAutospacing="0" w:line="300" w:lineRule="exact"/>
              <w:textAlignment w:val="baseline"/>
              <w:rPr>
                <w:rFonts w:hint="eastAsia" w:ascii="Times New Roman" w:hAnsi="Times New Roman" w:eastAsia="微软雅黑"/>
                <w:b w:val="0"/>
                <w:i w:val="0"/>
                <w:caps w:val="0"/>
                <w:spacing w:val="0"/>
                <w:w w:val="100"/>
                <w:sz w:val="20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4"/>
                <w:lang w:eastAsia="zh-CN"/>
              </w:rPr>
              <w:t>铜</w:t>
            </w:r>
          </w:p>
        </w:tc>
        <w:tc>
          <w:tcPr>
            <w:tcW w:w="1465" w:type="dxa"/>
          </w:tcPr>
          <w:p w14:paraId="3C81F0B9">
            <w:pPr>
              <w:snapToGrid w:val="0"/>
              <w:spacing w:before="0" w:beforeAutospacing="0" w:after="200" w:afterAutospacing="0" w:line="300" w:lineRule="exact"/>
              <w:textAlignment w:val="baseline"/>
              <w:rPr>
                <w:rFonts w:hint="eastAsia" w:ascii="Times New Roman" w:hAnsi="Times New Roman" w:eastAsia="微软雅黑"/>
                <w:b w:val="0"/>
                <w:i w:val="0"/>
                <w:caps w:val="0"/>
                <w:spacing w:val="0"/>
                <w:w w:val="100"/>
                <w:sz w:val="20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/>
              </w:rPr>
              <w:t>110吨</w:t>
            </w:r>
          </w:p>
        </w:tc>
        <w:tc>
          <w:tcPr>
            <w:tcW w:w="2611" w:type="dxa"/>
            <w:gridSpan w:val="3"/>
            <w:vMerge w:val="restart"/>
            <w:vAlign w:val="center"/>
          </w:tcPr>
          <w:p w14:paraId="385982C3">
            <w:pPr>
              <w:snapToGrid w:val="0"/>
              <w:spacing w:before="0" w:beforeAutospacing="0" w:after="200" w:afterAutospacing="0" w:line="240" w:lineRule="atLeast"/>
              <w:jc w:val="center"/>
              <w:textAlignment w:val="baseline"/>
              <w:rPr>
                <w:rFonts w:hint="default" w:ascii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/>
              </w:rPr>
            </w:pPr>
            <w:r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  <w:t>表面</w:t>
            </w:r>
            <w:r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处理污泥</w:t>
            </w:r>
          </w:p>
        </w:tc>
        <w:tc>
          <w:tcPr>
            <w:tcW w:w="2132" w:type="dxa"/>
            <w:vMerge w:val="restart"/>
            <w:vAlign w:val="center"/>
          </w:tcPr>
          <w:p w14:paraId="22EB42F6">
            <w:pPr>
              <w:snapToGrid w:val="0"/>
              <w:spacing w:before="0" w:beforeAutospacing="0" w:after="200" w:afterAutospacing="0" w:line="240" w:lineRule="atLeas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吨</w:t>
            </w:r>
          </w:p>
        </w:tc>
      </w:tr>
      <w:tr w14:paraId="33F66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660" w:type="dxa"/>
            <w:vAlign w:val="center"/>
          </w:tcPr>
          <w:p w14:paraId="0550CB19">
            <w:pPr>
              <w:snapToGrid w:val="0"/>
              <w:spacing w:before="0" w:beforeAutospacing="0" w:after="200" w:afterAutospacing="0" w:line="300" w:lineRule="exact"/>
              <w:jc w:val="center"/>
              <w:textAlignment w:val="baseline"/>
              <w:rPr>
                <w:rFonts w:hint="eastAsia" w:ascii="Times New Roman" w:hAnsi="Times New Roman" w:eastAsia="微软雅黑"/>
                <w:b w:val="0"/>
                <w:i w:val="0"/>
                <w:caps w:val="0"/>
                <w:spacing w:val="0"/>
                <w:w w:val="100"/>
                <w:sz w:val="20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4"/>
                <w:lang w:eastAsia="zh-CN"/>
              </w:rPr>
              <w:t>铝管</w:t>
            </w:r>
          </w:p>
        </w:tc>
        <w:tc>
          <w:tcPr>
            <w:tcW w:w="2224" w:type="dxa"/>
            <w:gridSpan w:val="3"/>
            <w:vAlign w:val="center"/>
          </w:tcPr>
          <w:p w14:paraId="60287534">
            <w:pPr>
              <w:snapToGrid w:val="0"/>
              <w:spacing w:before="0" w:beforeAutospacing="0" w:after="200" w:afterAutospacing="0" w:line="300" w:lineRule="exact"/>
              <w:textAlignment w:val="baseline"/>
              <w:rPr>
                <w:rFonts w:hint="eastAsia" w:ascii="Times New Roman" w:hAnsi="Times New Roman" w:eastAsia="微软雅黑"/>
                <w:b w:val="0"/>
                <w:i w:val="0"/>
                <w:caps w:val="0"/>
                <w:spacing w:val="0"/>
                <w:w w:val="100"/>
                <w:sz w:val="20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4"/>
                <w:lang w:eastAsia="zh-CN"/>
              </w:rPr>
              <w:t>铝</w:t>
            </w:r>
          </w:p>
        </w:tc>
        <w:tc>
          <w:tcPr>
            <w:tcW w:w="1465" w:type="dxa"/>
            <w:vAlign w:val="center"/>
          </w:tcPr>
          <w:p w14:paraId="66B2156B">
            <w:pPr>
              <w:snapToGrid w:val="0"/>
              <w:spacing w:before="0" w:beforeAutospacing="0" w:after="200" w:afterAutospacing="0" w:line="300" w:lineRule="exact"/>
              <w:textAlignment w:val="baseline"/>
              <w:rPr>
                <w:rFonts w:hint="eastAsia" w:ascii="Times New Roman" w:hAnsi="Times New Roman" w:eastAsia="微软雅黑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/>
              </w:rPr>
              <w:t>90吨</w:t>
            </w:r>
          </w:p>
        </w:tc>
        <w:tc>
          <w:tcPr>
            <w:tcW w:w="2611" w:type="dxa"/>
            <w:gridSpan w:val="3"/>
            <w:vMerge w:val="continue"/>
            <w:vAlign w:val="center"/>
          </w:tcPr>
          <w:p w14:paraId="471F7687">
            <w:pPr>
              <w:snapToGrid w:val="0"/>
              <w:spacing w:before="0" w:beforeAutospacing="0" w:after="200" w:afterAutospacing="0" w:line="240" w:lineRule="atLeas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132" w:type="dxa"/>
            <w:vMerge w:val="continue"/>
            <w:vAlign w:val="center"/>
          </w:tcPr>
          <w:p w14:paraId="7C09957F">
            <w:pPr>
              <w:snapToGrid w:val="0"/>
              <w:spacing w:before="0" w:beforeAutospacing="0" w:after="200" w:afterAutospacing="0" w:line="240" w:lineRule="atLeas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25B05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92" w:type="dxa"/>
            <w:gridSpan w:val="9"/>
          </w:tcPr>
          <w:p w14:paraId="5FCAE0CE">
            <w:pPr>
              <w:snapToGrid w:val="0"/>
              <w:spacing w:before="0" w:beforeAutospacing="0" w:after="200" w:afterAutospacing="0" w:line="240" w:lineRule="auto"/>
              <w:ind w:left="9779" w:leftChars="245" w:hangingChars="3300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8"/>
              </w:rPr>
              <w:t>表2与申请转移废物相关的生产工艺</w:t>
            </w:r>
          </w:p>
          <w:p w14:paraId="6949A9C4">
            <w:pPr>
              <w:snapToGrid w:val="0"/>
              <w:spacing w:before="0" w:beforeAutospacing="0" w:after="200" w:afterAutospacing="0" w:line="240" w:lineRule="auto"/>
              <w:ind w:left="540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文字描述及工艺流程图： </w:t>
            </w:r>
          </w:p>
          <w:p w14:paraId="7B31DE04">
            <w:pPr>
              <w:snapToGrid w:val="0"/>
              <w:spacing w:before="0" w:beforeAutospacing="0" w:after="200" w:afterAutospacing="0" w:line="240" w:lineRule="auto"/>
              <w:ind w:left="540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铜、铝生产工艺：</w:t>
            </w:r>
          </w:p>
          <w:p w14:paraId="75CD4D28">
            <w:pPr>
              <w:snapToGrid w:val="0"/>
              <w:spacing w:before="0" w:beforeAutospacing="0" w:after="200" w:afterAutospacing="0" w:line="240" w:lineRule="auto"/>
              <w:ind w:left="540"/>
              <w:textAlignment w:val="baseline"/>
              <w:rPr>
                <w:rFonts w:hint="eastAsia" w:ascii="微软雅黑" w:hAnsi="微软雅黑" w:cs="微软雅黑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现将铜铝管断料，再进行车床成型，然后在进行酸洗，烘干、检验包装，在整个生产过程中会产生一定的废水</w:t>
            </w:r>
            <w:r>
              <w:rPr>
                <w:rFonts w:hint="eastAsia" w:ascii="微软雅黑" w:hAnsi="微软雅黑" w:cs="微软雅黑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，废水经过处理后产生（危废）污泥。</w:t>
            </w:r>
          </w:p>
          <w:p w14:paraId="3A3C17B5">
            <w:pPr>
              <w:snapToGrid w:val="0"/>
              <w:spacing w:before="0" w:beforeAutospacing="0" w:after="200" w:afterAutospacing="0" w:line="240" w:lineRule="auto"/>
              <w:ind w:left="540"/>
              <w:textAlignment w:val="baseline"/>
              <w:rPr>
                <w:rFonts w:hint="default" w:ascii="微软雅黑" w:hAnsi="微软雅黑" w:cs="微软雅黑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1"/>
              </w:rPr>
              <w:pict>
                <v:line id="_x0000_s1033" o:spid="_x0000_s1033" o:spt="20" style="position:absolute;left:0pt;margin-left:263.55pt;margin-top:11.35pt;height:0.05pt;width:29.25pt;z-index:251662336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/>
                </v:line>
              </w:pict>
            </w:r>
            <w:r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1"/>
              </w:rPr>
              <w:pict>
                <v:line id="_x0000_s1032" o:spid="_x0000_s1032" o:spt="20" style="position:absolute;left:0pt;margin-left:190.8pt;margin-top:11.35pt;height:0.05pt;width:29.25pt;z-index:251661312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/>
                </v:line>
              </w:pict>
            </w:r>
            <w:r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1"/>
              </w:rPr>
              <w:pict>
                <v:line id="_x0000_s1034" o:spid="_x0000_s1034" o:spt="20" style="position:absolute;left:0pt;margin-left:312.3pt;margin-top:10.6pt;height:0.05pt;width:29.25pt;z-index:251663360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/>
                </v:line>
              </w:pict>
            </w:r>
            <w:r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1"/>
              </w:rPr>
              <w:pict>
                <v:shape id="_x0000_s1030" o:spid="_x0000_s1030" o:spt="32" type="#_x0000_t32" style="position:absolute;left:0pt;flip:x;margin-left:237.3pt;margin-top:19.6pt;height:22.9pt;width:0.75pt;z-index:251660288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/>
                </v:shape>
              </w:pict>
            </w:r>
            <w:r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1"/>
              </w:rPr>
              <w:pict>
                <v:line id="_x0000_s1026" o:spid="_x0000_s1026" o:spt="20" style="position:absolute;left:0pt;margin-left:103.8pt;margin-top:11.35pt;height:0.05pt;width:29.25pt;z-index:251659264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/>
                </v:line>
              </w:pict>
            </w:r>
            <w:r>
              <w:rPr>
                <w:rFonts w:hint="eastAsia" w:ascii="微软雅黑" w:hAnsi="微软雅黑" w:cs="微软雅黑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准备原材料切料           铜铝管成型          酸洗去污          烘干         检验包装入库</w:t>
            </w:r>
          </w:p>
          <w:p w14:paraId="7828A488">
            <w:pPr>
              <w:snapToGrid w:val="0"/>
              <w:spacing w:before="0" w:beforeAutospacing="0" w:after="200" w:afterAutospacing="0" w:line="240" w:lineRule="auto"/>
              <w:ind w:left="540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  <w:drawing>
                <wp:inline distT="0" distB="0" distL="114300" distR="114300">
                  <wp:extent cx="5821045" cy="1312545"/>
                  <wp:effectExtent l="0" t="0" r="635" b="13335"/>
                  <wp:docPr id="7" name="图片 7" descr="16383349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638334994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1046" cy="131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  <w:t xml:space="preserve">         </w:t>
            </w:r>
          </w:p>
        </w:tc>
      </w:tr>
      <w:tr w14:paraId="30BC9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92" w:type="dxa"/>
            <w:gridSpan w:val="9"/>
            <w:vAlign w:val="center"/>
          </w:tcPr>
          <w:p w14:paraId="78ED5A22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eastAsia="黑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表</w:t>
            </w:r>
            <w:r>
              <w:rPr>
                <w:rFonts w:ascii="Times New Roman" w:hAnsi="Times New Roman" w:eastAsia="黑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3   </w:t>
            </w:r>
            <w:r>
              <w:rPr>
                <w:rFonts w:hint="eastAsia" w:ascii="Times New Roman" w:eastAsia="黑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废物组分、特性（详见附件）</w:t>
            </w:r>
          </w:p>
        </w:tc>
      </w:tr>
      <w:tr w14:paraId="122D3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1" w:type="dxa"/>
            <w:gridSpan w:val="2"/>
            <w:vAlign w:val="center"/>
          </w:tcPr>
          <w:p w14:paraId="0C06BDDB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宋体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废物名称</w:t>
            </w:r>
          </w:p>
        </w:tc>
        <w:tc>
          <w:tcPr>
            <w:tcW w:w="1803" w:type="dxa"/>
            <w:vAlign w:val="center"/>
          </w:tcPr>
          <w:p w14:paraId="1D87F038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宋体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主要组分</w:t>
            </w:r>
          </w:p>
        </w:tc>
        <w:tc>
          <w:tcPr>
            <w:tcW w:w="1809" w:type="dxa"/>
            <w:gridSpan w:val="3"/>
            <w:vAlign w:val="center"/>
          </w:tcPr>
          <w:p w14:paraId="62FDFE5A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宋体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相应比例（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%</w:t>
            </w:r>
            <w:r>
              <w:rPr>
                <w:rFonts w:hint="eastAsia" w:ascii="Times New Roman" w:hAnsi="宋体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）</w:t>
            </w:r>
          </w:p>
        </w:tc>
        <w:tc>
          <w:tcPr>
            <w:tcW w:w="2151" w:type="dxa"/>
            <w:vAlign w:val="center"/>
          </w:tcPr>
          <w:p w14:paraId="5A51823E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宋体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危害特性</w:t>
            </w:r>
          </w:p>
        </w:tc>
        <w:tc>
          <w:tcPr>
            <w:tcW w:w="2478" w:type="dxa"/>
            <w:gridSpan w:val="2"/>
            <w:vAlign w:val="center"/>
          </w:tcPr>
          <w:p w14:paraId="62BA2EC1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宋体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形态</w:t>
            </w:r>
          </w:p>
        </w:tc>
      </w:tr>
      <w:tr w14:paraId="68856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851" w:type="dxa"/>
            <w:gridSpan w:val="2"/>
            <w:vMerge w:val="restart"/>
            <w:vAlign w:val="top"/>
          </w:tcPr>
          <w:p w14:paraId="296BF665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  <w:lang w:val="en-US" w:eastAsia="zh-CN"/>
              </w:rPr>
              <w:t>表面处理污泥</w:t>
            </w:r>
          </w:p>
        </w:tc>
        <w:tc>
          <w:tcPr>
            <w:tcW w:w="1803" w:type="dxa"/>
            <w:vAlign w:val="top"/>
          </w:tcPr>
          <w:p w14:paraId="79EA0FCC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  <w:lang w:val="en-US" w:eastAsia="zh-CN"/>
              </w:rPr>
              <w:t>Fe（OH）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  <w:vertAlign w:val="subscript"/>
                <w:lang w:val="en-US" w:eastAsia="zh-CN"/>
              </w:rPr>
              <w:t>2</w:t>
            </w:r>
          </w:p>
        </w:tc>
        <w:tc>
          <w:tcPr>
            <w:tcW w:w="1809" w:type="dxa"/>
            <w:gridSpan w:val="3"/>
            <w:vAlign w:val="top"/>
          </w:tcPr>
          <w:p w14:paraId="2C55B330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  <w:lang w:val="en-US" w:eastAsia="zh-CN"/>
              </w:rPr>
              <w:t>20</w:t>
            </w:r>
          </w:p>
        </w:tc>
        <w:tc>
          <w:tcPr>
            <w:tcW w:w="2151" w:type="dxa"/>
            <w:vMerge w:val="restart"/>
            <w:vAlign w:val="center"/>
          </w:tcPr>
          <w:p w14:paraId="30ABA1F0">
            <w:pPr>
              <w:snapToGrid w:val="0"/>
              <w:spacing w:before="0" w:beforeAutospacing="0" w:after="200" w:afterAutospacing="0" w:line="240" w:lineRule="exact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宋体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腐蚀性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 xml:space="preserve">         </w:t>
            </w:r>
            <w:r>
              <w:rPr>
                <w:rFonts w:hint="eastAsia" w:ascii="Times New Roman" w:hAnsi="宋体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□</w:t>
            </w:r>
          </w:p>
          <w:p w14:paraId="79CB563D">
            <w:pPr>
              <w:snapToGrid w:val="0"/>
              <w:spacing w:before="0" w:beforeAutospacing="0" w:after="200" w:afterAutospacing="0" w:line="240" w:lineRule="exact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宋体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毒性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 xml:space="preserve">          </w:t>
            </w:r>
            <w:r>
              <w:rPr>
                <w:rFonts w:ascii="微软雅黑" w:hAnsi="微软雅黑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 xml:space="preserve">  </w:t>
            </w:r>
            <w:r>
              <w:rPr>
                <w:rFonts w:hint="eastAsia" w:ascii="微软雅黑" w:hAnsi="微软雅黑"/>
                <w:b w:val="0"/>
                <w:i w:val="0"/>
                <w:caps w:val="0"/>
                <w:spacing w:val="0"/>
                <w:w w:val="100"/>
                <w:sz w:val="22"/>
                <w:szCs w:val="21"/>
                <w:lang w:val="en-US" w:eastAsia="zh-CN"/>
              </w:rPr>
              <w:t>√</w:t>
            </w:r>
          </w:p>
          <w:p w14:paraId="32991EA0">
            <w:pPr>
              <w:snapToGrid w:val="0"/>
              <w:spacing w:before="0" w:beforeAutospacing="0" w:after="200" w:afterAutospacing="0" w:line="240" w:lineRule="exact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宋体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易燃性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 xml:space="preserve">         </w:t>
            </w:r>
            <w:r>
              <w:rPr>
                <w:rFonts w:hint="eastAsia" w:ascii="Times New Roman" w:hAnsi="宋体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□</w:t>
            </w:r>
          </w:p>
          <w:p w14:paraId="6A31F39C">
            <w:pPr>
              <w:snapToGrid w:val="0"/>
              <w:spacing w:before="0" w:beforeAutospacing="0" w:after="200" w:afterAutospacing="0" w:line="240" w:lineRule="exact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宋体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反应性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 xml:space="preserve">         </w:t>
            </w:r>
            <w:r>
              <w:rPr>
                <w:rFonts w:hint="eastAsia" w:ascii="Times New Roman" w:hAnsi="宋体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□</w:t>
            </w:r>
          </w:p>
          <w:p w14:paraId="4D7A2E3F">
            <w:pPr>
              <w:snapToGrid w:val="0"/>
              <w:spacing w:before="0" w:beforeAutospacing="0" w:after="200" w:afterAutospacing="0" w:line="240" w:lineRule="exact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宋体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感染性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 xml:space="preserve">         </w:t>
            </w:r>
            <w:r>
              <w:rPr>
                <w:rFonts w:hint="eastAsia" w:ascii="Times New Roman" w:hAnsi="宋体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□</w:t>
            </w:r>
          </w:p>
        </w:tc>
        <w:tc>
          <w:tcPr>
            <w:tcW w:w="2478" w:type="dxa"/>
            <w:gridSpan w:val="2"/>
            <w:vMerge w:val="restart"/>
            <w:vAlign w:val="center"/>
          </w:tcPr>
          <w:p w14:paraId="12DE7014">
            <w:pPr>
              <w:snapToGrid w:val="0"/>
              <w:spacing w:before="0" w:beforeAutospacing="0" w:after="200" w:afterAutospacing="0" w:line="240" w:lineRule="exact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宋体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固态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 xml:space="preserve">      </w:t>
            </w:r>
            <w:r>
              <w:rPr>
                <w:rFonts w:ascii="微软雅黑" w:hAnsi="微软雅黑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 xml:space="preserve">  </w:t>
            </w:r>
            <w:r>
              <w:rPr>
                <w:rFonts w:hint="eastAsia" w:ascii="微软雅黑" w:hAnsi="微软雅黑"/>
                <w:b w:val="0"/>
                <w:i w:val="0"/>
                <w:caps w:val="0"/>
                <w:spacing w:val="0"/>
                <w:w w:val="100"/>
                <w:sz w:val="22"/>
                <w:szCs w:val="21"/>
                <w:lang w:val="en-US" w:eastAsia="zh-CN"/>
              </w:rPr>
              <w:t xml:space="preserve"> √</w:t>
            </w:r>
          </w:p>
          <w:p w14:paraId="65CF8D5A">
            <w:pPr>
              <w:snapToGrid w:val="0"/>
              <w:spacing w:before="0" w:beforeAutospacing="0" w:after="200" w:afterAutospacing="0" w:line="240" w:lineRule="exact"/>
              <w:textAlignment w:val="baseline"/>
              <w:rPr>
                <w:rFonts w:ascii="Times New Roman" w:hAns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宋体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半固态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 xml:space="preserve">      </w:t>
            </w:r>
            <w:r>
              <w:rPr>
                <w:rFonts w:hint="eastAsia" w:ascii="Times New Roman" w:hAnsi="宋体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□</w:t>
            </w:r>
          </w:p>
          <w:p w14:paraId="717F0BED">
            <w:pPr>
              <w:snapToGrid w:val="0"/>
              <w:spacing w:before="0" w:beforeAutospacing="0" w:after="200" w:afterAutospacing="0" w:line="240" w:lineRule="exact"/>
              <w:textAlignment w:val="baseline"/>
              <w:rPr>
                <w:rFonts w:ascii="Times New Roman" w:hAns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宋体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粉末态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 xml:space="preserve">    </w:t>
            </w:r>
            <w:r>
              <w:rPr>
                <w:rFonts w:ascii="Times New Roman" w:hAnsi="宋体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 xml:space="preserve">  </w:t>
            </w:r>
            <w:r>
              <w:rPr>
                <w:rFonts w:hint="eastAsia" w:ascii="Times New Roman" w:hAnsi="宋体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□</w:t>
            </w:r>
          </w:p>
          <w:p w14:paraId="44331EA9">
            <w:pPr>
              <w:snapToGrid w:val="0"/>
              <w:spacing w:before="0" w:beforeAutospacing="0" w:after="200" w:afterAutospacing="0" w:line="240" w:lineRule="exact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宋体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颗粒态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 xml:space="preserve">      </w:t>
            </w:r>
            <w:r>
              <w:rPr>
                <w:rFonts w:hint="eastAsia" w:ascii="Times New Roman" w:hAnsi="宋体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□</w:t>
            </w:r>
          </w:p>
          <w:p w14:paraId="282C6C4A">
            <w:pPr>
              <w:snapToGrid w:val="0"/>
              <w:spacing w:before="0" w:beforeAutospacing="0" w:after="200" w:afterAutospacing="0" w:line="240" w:lineRule="exact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宋体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液态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 xml:space="preserve">          </w:t>
            </w:r>
            <w:r>
              <w:rPr>
                <w:rFonts w:hint="eastAsia" w:ascii="Times New Roman" w:hAnsi="宋体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□</w:t>
            </w:r>
          </w:p>
        </w:tc>
      </w:tr>
      <w:tr w14:paraId="1CAED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51" w:type="dxa"/>
            <w:gridSpan w:val="2"/>
            <w:vMerge w:val="continue"/>
          </w:tcPr>
          <w:p w14:paraId="7F167284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803" w:type="dxa"/>
          </w:tcPr>
          <w:p w14:paraId="5A67FF24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809" w:type="dxa"/>
            <w:gridSpan w:val="3"/>
          </w:tcPr>
          <w:p w14:paraId="6B90534A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151" w:type="dxa"/>
            <w:vMerge w:val="continue"/>
            <w:vAlign w:val="center"/>
          </w:tcPr>
          <w:p w14:paraId="17D7A43E">
            <w:pPr>
              <w:snapToGrid w:val="0"/>
              <w:spacing w:before="0" w:beforeAutospacing="0" w:after="200" w:afterAutospacing="0" w:line="240" w:lineRule="exact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478" w:type="dxa"/>
            <w:gridSpan w:val="2"/>
            <w:vMerge w:val="continue"/>
            <w:vAlign w:val="center"/>
          </w:tcPr>
          <w:p w14:paraId="26249227">
            <w:pPr>
              <w:snapToGrid w:val="0"/>
              <w:spacing w:before="0" w:beforeAutospacing="0" w:after="200" w:afterAutospacing="0" w:line="240" w:lineRule="exact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 w14:paraId="51EDC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1851" w:type="dxa"/>
            <w:gridSpan w:val="2"/>
            <w:vMerge w:val="continue"/>
          </w:tcPr>
          <w:p w14:paraId="5CEC7244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803" w:type="dxa"/>
          </w:tcPr>
          <w:p w14:paraId="335B567E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809" w:type="dxa"/>
            <w:gridSpan w:val="3"/>
          </w:tcPr>
          <w:p w14:paraId="18E5F1FF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151" w:type="dxa"/>
            <w:vMerge w:val="continue"/>
            <w:vAlign w:val="center"/>
          </w:tcPr>
          <w:p w14:paraId="1BF2F79F">
            <w:pPr>
              <w:snapToGrid w:val="0"/>
              <w:spacing w:before="0" w:beforeAutospacing="0" w:after="200" w:afterAutospacing="0" w:line="240" w:lineRule="exact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478" w:type="dxa"/>
            <w:gridSpan w:val="2"/>
            <w:vMerge w:val="continue"/>
            <w:vAlign w:val="center"/>
          </w:tcPr>
          <w:p w14:paraId="70E5D5AC">
            <w:pPr>
              <w:snapToGrid w:val="0"/>
              <w:spacing w:before="0" w:beforeAutospacing="0" w:after="200" w:afterAutospacing="0" w:line="240" w:lineRule="exact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 w14:paraId="0A14A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1851" w:type="dxa"/>
            <w:gridSpan w:val="2"/>
            <w:vMerge w:val="continue"/>
          </w:tcPr>
          <w:p w14:paraId="14B0412B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803" w:type="dxa"/>
          </w:tcPr>
          <w:p w14:paraId="3615EC1C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809" w:type="dxa"/>
            <w:gridSpan w:val="3"/>
          </w:tcPr>
          <w:p w14:paraId="08DEAAB6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151" w:type="dxa"/>
            <w:vMerge w:val="continue"/>
            <w:vAlign w:val="center"/>
          </w:tcPr>
          <w:p w14:paraId="76A9F18B">
            <w:pPr>
              <w:snapToGrid w:val="0"/>
              <w:spacing w:before="0" w:beforeAutospacing="0" w:after="200" w:afterAutospacing="0" w:line="240" w:lineRule="exact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478" w:type="dxa"/>
            <w:gridSpan w:val="2"/>
            <w:vMerge w:val="continue"/>
            <w:vAlign w:val="center"/>
          </w:tcPr>
          <w:p w14:paraId="2841530A">
            <w:pPr>
              <w:snapToGrid w:val="0"/>
              <w:spacing w:before="0" w:beforeAutospacing="0" w:after="200" w:afterAutospacing="0" w:line="240" w:lineRule="exact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 w14:paraId="0E45B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851" w:type="dxa"/>
            <w:gridSpan w:val="2"/>
            <w:vMerge w:val="continue"/>
          </w:tcPr>
          <w:p w14:paraId="33B02F3A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803" w:type="dxa"/>
          </w:tcPr>
          <w:p w14:paraId="71335BD7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809" w:type="dxa"/>
            <w:gridSpan w:val="3"/>
          </w:tcPr>
          <w:p w14:paraId="7A5E8448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151" w:type="dxa"/>
            <w:vMerge w:val="continue"/>
            <w:vAlign w:val="center"/>
          </w:tcPr>
          <w:p w14:paraId="6807F983">
            <w:pPr>
              <w:snapToGrid w:val="0"/>
              <w:spacing w:before="0" w:beforeAutospacing="0" w:after="200" w:afterAutospacing="0" w:line="240" w:lineRule="exact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478" w:type="dxa"/>
            <w:gridSpan w:val="2"/>
            <w:vMerge w:val="continue"/>
            <w:vAlign w:val="center"/>
          </w:tcPr>
          <w:p w14:paraId="73276236">
            <w:pPr>
              <w:snapToGrid w:val="0"/>
              <w:spacing w:before="0" w:beforeAutospacing="0" w:after="200" w:afterAutospacing="0" w:line="240" w:lineRule="exact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</w:tbl>
    <w:p w14:paraId="04C1B6D4">
      <w:pPr>
        <w:snapToGrid w:val="0"/>
        <w:spacing w:before="0" w:beforeAutospacing="0" w:after="200" w:afterAutospacing="0" w:line="240" w:lineRule="auto"/>
        <w:textAlignment w:val="baseline"/>
        <w:rPr>
          <w:rFonts w:ascii="Times New Roman" w:eastAsia="黑体"/>
          <w:b w:val="0"/>
          <w:i w:val="0"/>
          <w:caps w:val="0"/>
          <w:spacing w:val="0"/>
          <w:w w:val="100"/>
          <w:sz w:val="28"/>
          <w:szCs w:val="28"/>
        </w:rPr>
      </w:pPr>
    </w:p>
    <w:p w14:paraId="2EBD0EC2">
      <w:pPr>
        <w:snapToGrid w:val="0"/>
        <w:spacing w:before="0" w:beforeAutospacing="0" w:after="200" w:afterAutospacing="0" w:line="240" w:lineRule="auto"/>
        <w:textAlignment w:val="baseline"/>
        <w:rPr>
          <w:rFonts w:ascii="Times New Roman" w:hAnsi="Times New Roman" w:eastAsia="黑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Times New Roman" w:eastAsia="黑体"/>
          <w:b w:val="0"/>
          <w:i w:val="0"/>
          <w:caps w:val="0"/>
          <w:spacing w:val="0"/>
          <w:w w:val="100"/>
          <w:sz w:val="28"/>
          <w:szCs w:val="28"/>
        </w:rPr>
        <w:t>第二部分：废物包装、运输情况</w:t>
      </w:r>
    </w:p>
    <w:tbl>
      <w:tblPr>
        <w:tblStyle w:val="7"/>
        <w:tblW w:w="988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05"/>
        <w:gridCol w:w="1865"/>
        <w:gridCol w:w="1421"/>
        <w:gridCol w:w="1379"/>
        <w:gridCol w:w="2361"/>
      </w:tblGrid>
      <w:tr w14:paraId="1EA2A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885" w:type="dxa"/>
            <w:gridSpan w:val="6"/>
            <w:vAlign w:val="center"/>
          </w:tcPr>
          <w:p w14:paraId="3C059C37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/>
                <w:b/>
                <w:bCs/>
                <w:i w:val="0"/>
                <w:caps w:val="0"/>
                <w:spacing w:val="0"/>
                <w:w w:val="100"/>
                <w:sz w:val="22"/>
              </w:rPr>
              <w:t>表</w:t>
            </w:r>
            <w:r>
              <w:rPr>
                <w:rFonts w:ascii="Times New Roman" w:hAnsi="Times New Roman"/>
                <w:b/>
                <w:bCs/>
                <w:i w:val="0"/>
                <w:caps w:val="0"/>
                <w:spacing w:val="0"/>
                <w:w w:val="100"/>
                <w:sz w:val="22"/>
              </w:rPr>
              <w:t xml:space="preserve">1   </w:t>
            </w:r>
            <w:r>
              <w:rPr>
                <w:rFonts w:hint="eastAsia" w:ascii="Times New Roman"/>
                <w:b/>
                <w:bCs/>
                <w:i w:val="0"/>
                <w:caps w:val="0"/>
                <w:spacing w:val="0"/>
                <w:w w:val="100"/>
                <w:sz w:val="22"/>
              </w:rPr>
              <w:t>废物包装情况</w:t>
            </w:r>
          </w:p>
        </w:tc>
      </w:tr>
      <w:tr w14:paraId="32D33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54" w:type="dxa"/>
            <w:vAlign w:val="center"/>
          </w:tcPr>
          <w:p w14:paraId="400CA332"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</w:rPr>
              <w:t>序号</w:t>
            </w:r>
          </w:p>
        </w:tc>
        <w:tc>
          <w:tcPr>
            <w:tcW w:w="2205" w:type="dxa"/>
            <w:vAlign w:val="center"/>
          </w:tcPr>
          <w:p w14:paraId="62672E68"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</w:rPr>
              <w:t>废物名称</w:t>
            </w:r>
          </w:p>
        </w:tc>
        <w:tc>
          <w:tcPr>
            <w:tcW w:w="1865" w:type="dxa"/>
            <w:vAlign w:val="center"/>
          </w:tcPr>
          <w:p w14:paraId="0C0806CE"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</w:rPr>
              <w:t>包装物（容器）名称</w:t>
            </w:r>
          </w:p>
        </w:tc>
        <w:tc>
          <w:tcPr>
            <w:tcW w:w="1421" w:type="dxa"/>
            <w:vAlign w:val="center"/>
          </w:tcPr>
          <w:p w14:paraId="76114C3B"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</w:rPr>
              <w:t>材质</w:t>
            </w:r>
          </w:p>
        </w:tc>
        <w:tc>
          <w:tcPr>
            <w:tcW w:w="1379" w:type="dxa"/>
            <w:vAlign w:val="center"/>
          </w:tcPr>
          <w:p w14:paraId="6F98D408"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</w:rPr>
              <w:t>容积</w:t>
            </w:r>
          </w:p>
        </w:tc>
        <w:tc>
          <w:tcPr>
            <w:tcW w:w="2361" w:type="dxa"/>
            <w:vAlign w:val="center"/>
          </w:tcPr>
          <w:p w14:paraId="5162E0BB"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</w:rPr>
              <w:t>是否有危废标签</w:t>
            </w:r>
          </w:p>
        </w:tc>
      </w:tr>
      <w:tr w14:paraId="271B1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4" w:type="dxa"/>
            <w:vAlign w:val="center"/>
          </w:tcPr>
          <w:p w14:paraId="33673C60"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</w:rPr>
              <w:t>1</w:t>
            </w:r>
          </w:p>
        </w:tc>
        <w:tc>
          <w:tcPr>
            <w:tcW w:w="2205" w:type="dxa"/>
            <w:vAlign w:val="center"/>
          </w:tcPr>
          <w:p w14:paraId="0BBA0C22"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  <w:t>表面处理</w:t>
            </w:r>
            <w:r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污泥</w:t>
            </w:r>
          </w:p>
        </w:tc>
        <w:tc>
          <w:tcPr>
            <w:tcW w:w="1865" w:type="dxa"/>
            <w:vAlign w:val="center"/>
          </w:tcPr>
          <w:p w14:paraId="01AA3553"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</w:rPr>
              <w:t>吨袋</w:t>
            </w:r>
          </w:p>
        </w:tc>
        <w:tc>
          <w:tcPr>
            <w:tcW w:w="1421" w:type="dxa"/>
            <w:vAlign w:val="center"/>
          </w:tcPr>
          <w:p w14:paraId="1ECEB645"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</w:rPr>
              <w:t>化纤</w:t>
            </w:r>
          </w:p>
        </w:tc>
        <w:tc>
          <w:tcPr>
            <w:tcW w:w="1379" w:type="dxa"/>
          </w:tcPr>
          <w:p w14:paraId="11B76BD8"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</w:rPr>
              <w:t>800~1000Kg</w:t>
            </w:r>
          </w:p>
        </w:tc>
        <w:tc>
          <w:tcPr>
            <w:tcW w:w="2361" w:type="dxa"/>
            <w:vAlign w:val="center"/>
          </w:tcPr>
          <w:p w14:paraId="6F83DC96"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</w:rPr>
              <w:t>有</w:t>
            </w:r>
          </w:p>
        </w:tc>
      </w:tr>
    </w:tbl>
    <w:p w14:paraId="7DDBB80D">
      <w:pPr>
        <w:snapToGrid w:val="0"/>
        <w:spacing w:before="0" w:beforeAutospacing="0" w:after="200" w:afterAutospacing="0" w:line="240" w:lineRule="auto"/>
        <w:textAlignment w:val="baseline"/>
        <w:rPr>
          <w:rFonts w:ascii="Times New Roman" w:hAnsi="Times New Roman" w:eastAsia="黑体"/>
          <w:b w:val="0"/>
          <w:i w:val="0"/>
          <w:caps w:val="0"/>
          <w:spacing w:val="0"/>
          <w:w w:val="100"/>
          <w:sz w:val="28"/>
          <w:szCs w:val="28"/>
        </w:rPr>
      </w:pPr>
    </w:p>
    <w:tbl>
      <w:tblPr>
        <w:tblStyle w:val="7"/>
        <w:tblW w:w="988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5"/>
      </w:tblGrid>
      <w:tr w14:paraId="2384E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6" w:hRule="atLeast"/>
        </w:trPr>
        <w:tc>
          <w:tcPr>
            <w:tcW w:w="9885" w:type="dxa"/>
            <w:vAlign w:val="center"/>
          </w:tcPr>
          <w:p w14:paraId="1D10F6F9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/>
                <w:b/>
                <w:bCs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Times New Roman"/>
                <w:b/>
                <w:bCs/>
                <w:i w:val="0"/>
                <w:caps w:val="0"/>
                <w:spacing w:val="0"/>
                <w:w w:val="100"/>
                <w:sz w:val="22"/>
                <w:szCs w:val="24"/>
              </w:rPr>
              <w:t>表</w:t>
            </w:r>
            <w:r>
              <w:rPr>
                <w:rFonts w:ascii="Times New Roman" w:hAnsi="Times New Roman"/>
                <w:b/>
                <w:bCs/>
                <w:i w:val="0"/>
                <w:caps w:val="0"/>
                <w:spacing w:val="0"/>
                <w:w w:val="100"/>
                <w:sz w:val="22"/>
                <w:szCs w:val="24"/>
              </w:rPr>
              <w:t xml:space="preserve">2  </w:t>
            </w:r>
            <w:r>
              <w:rPr>
                <w:rFonts w:hint="eastAsia" w:ascii="Times New Roman"/>
                <w:b/>
                <w:bCs/>
                <w:i w:val="0"/>
                <w:caps w:val="0"/>
                <w:spacing w:val="0"/>
                <w:w w:val="100"/>
                <w:sz w:val="22"/>
                <w:szCs w:val="24"/>
              </w:rPr>
              <w:t>废物运输情况</w:t>
            </w:r>
          </w:p>
          <w:p w14:paraId="6015F69F">
            <w:pPr>
              <w:snapToGrid w:val="0"/>
              <w:spacing w:before="0" w:beforeAutospacing="0" w:after="200" w:afterAutospacing="0" w:line="280" w:lineRule="exact"/>
              <w:ind w:firstLine="440" w:firstLineChars="200"/>
              <w:textAlignment w:val="baseline"/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  <w:szCs w:val="24"/>
              </w:rPr>
              <w:t>运输是否符合交管部门运输相关规定（文字描述）运输是否符合交管部门运输相关规定（文字描述）</w:t>
            </w:r>
          </w:p>
          <w:p w14:paraId="6DD5F071">
            <w:pPr>
              <w:snapToGrid w:val="0"/>
              <w:spacing w:before="0" w:beforeAutospacing="0" w:after="200" w:afterAutospacing="0" w:line="280" w:lineRule="exact"/>
              <w:ind w:firstLine="440" w:firstLineChars="200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</w:rPr>
              <w:t>（1）危险废物在运输要严格按照《危险废物污染防治技术政策》进行，符合</w:t>
            </w:r>
            <w:r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</w:rPr>
              <w:t>交管部门运输相关规定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</w:rPr>
              <w:t>。</w:t>
            </w:r>
          </w:p>
          <w:p w14:paraId="7F5D255C">
            <w:pPr>
              <w:snapToGrid w:val="0"/>
              <w:spacing w:before="0" w:beforeAutospacing="0" w:after="200" w:afterAutospacing="0" w:line="280" w:lineRule="exact"/>
              <w:ind w:firstLine="420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</w:rPr>
              <w:t>（2）危险废物运输使用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专用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</w:rPr>
              <w:t>危险废物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运输车进行运输，配有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</w:rPr>
              <w:t>危险废物运输资格的驾驶员和押运员。</w:t>
            </w:r>
          </w:p>
          <w:p w14:paraId="1A3E4062">
            <w:pPr>
              <w:snapToGrid w:val="0"/>
              <w:spacing w:before="0" w:beforeAutospacing="0" w:after="200" w:afterAutospacing="0" w:line="280" w:lineRule="exact"/>
              <w:ind w:firstLine="420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（3）运输车辆要安装GPS定位系统，设置危险废物运输专用警示牌等。</w:t>
            </w:r>
          </w:p>
          <w:p w14:paraId="2E8F36F1">
            <w:pPr>
              <w:snapToGrid w:val="0"/>
              <w:spacing w:before="0" w:beforeAutospacing="0" w:after="200" w:afterAutospacing="0" w:line="280" w:lineRule="exact"/>
              <w:ind w:firstLine="420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（4）在运输途中，按照汽车行驶安全规定严格执行，不准超载、不准超速，安全可靠、平稳运输。</w:t>
            </w:r>
          </w:p>
          <w:p w14:paraId="5B6466CF">
            <w:pPr>
              <w:snapToGrid w:val="0"/>
              <w:spacing w:before="0" w:beforeAutospacing="0" w:after="200" w:afterAutospacing="0" w:line="280" w:lineRule="exac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</w:rPr>
              <w:t xml:space="preserve">    （5）危险废物在转运装车时应采用人工搬运，不可使用吊钩吊运以防止包装物破损、危险废物渗漏。</w:t>
            </w:r>
          </w:p>
          <w:p w14:paraId="751DDC3F">
            <w:pPr>
              <w:snapToGrid w:val="0"/>
              <w:spacing w:before="0" w:beforeAutospacing="0" w:after="200" w:afterAutospacing="0" w:line="280" w:lineRule="exact"/>
              <w:ind w:firstLine="435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</w:rPr>
              <w:t>（6）运输过程中，保证包装物结构完整，运输过程中将在车底及四周用聚乙烯薄膜进行阻漏，防止散落。</w:t>
            </w:r>
          </w:p>
          <w:p w14:paraId="304FB1E6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</w:rPr>
              <w:t>（7）严格按照危险货物运输的管理规定，以减少运输过程中的二次污染和可能造成的对环境风险影响。</w:t>
            </w:r>
          </w:p>
          <w:p w14:paraId="06F8B212">
            <w:pPr>
              <w:tabs>
                <w:tab w:val="left" w:pos="3075"/>
              </w:tabs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Times New Roman" w:hAnsi="Times New Roman"/>
                <w:b/>
                <w:i w:val="0"/>
                <w:caps w:val="0"/>
                <w:spacing w:val="0"/>
                <w:w w:val="100"/>
                <w:sz w:val="22"/>
                <w:szCs w:val="24"/>
                <w:lang w:val="en-US" w:eastAsia="zh-CN"/>
              </w:rPr>
              <w:t>宣城市勇兆物流有限公</w:t>
            </w:r>
            <w:r>
              <w:rPr>
                <w:rFonts w:hint="eastAsia" w:ascii="Times New Roman" w:hAnsi="Times New Roman"/>
                <w:b/>
                <w:i w:val="0"/>
                <w:caps w:val="0"/>
                <w:spacing w:val="0"/>
                <w:w w:val="100"/>
                <w:sz w:val="22"/>
                <w:szCs w:val="24"/>
              </w:rPr>
              <w:t>司</w:t>
            </w:r>
            <w:r>
              <w:rPr>
                <w:rFonts w:hint="eastAsia" w:ascii="Times New Roman" w:hAnsi="Times New Roman"/>
                <w:b/>
                <w:i w:val="0"/>
                <w:caps w:val="0"/>
                <w:spacing w:val="0"/>
                <w:w w:val="100"/>
                <w:sz w:val="22"/>
                <w:szCs w:val="24"/>
              </w:rPr>
              <w:tab/>
            </w:r>
          </w:p>
          <w:p w14:paraId="6C2551F0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hint="default" w:ascii="Times New Roman" w:hAnsi="Times New Roman" w:eastAsia="微软雅黑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4"/>
              </w:rPr>
              <w:t>道路运输经营许可证：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4"/>
                <w:lang w:eastAsia="zh-CN"/>
              </w:rPr>
              <w:t>皖交运管许可证字宜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/>
              </w:rPr>
              <w:t>341800400032</w:t>
            </w:r>
          </w:p>
          <w:p w14:paraId="01733508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4"/>
              </w:rPr>
              <w:t>具有普通货运、经营性危险货物运输（危险废物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4"/>
              </w:rPr>
              <w:t>第8类、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/>
              </w:rPr>
              <w:t>9类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4"/>
              </w:rPr>
              <w:t>）的资质</w:t>
            </w:r>
          </w:p>
        </w:tc>
      </w:tr>
      <w:tr w14:paraId="6A227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885" w:type="dxa"/>
            <w:vAlign w:val="center"/>
          </w:tcPr>
          <w:p w14:paraId="5A05099D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  <w:szCs w:val="24"/>
              </w:rPr>
              <w:t>运输方式：道路</w:t>
            </w:r>
            <w:r>
              <w:rPr>
                <w:rFonts w:hint="eastAsia" w:ascii="微软雅黑" w:hAnsi="微软雅黑"/>
                <w:b w:val="0"/>
                <w:i w:val="0"/>
                <w:caps w:val="0"/>
                <w:spacing w:val="0"/>
                <w:w w:val="100"/>
                <w:sz w:val="22"/>
                <w:szCs w:val="24"/>
              </w:rPr>
              <w:t>■</w:t>
            </w:r>
            <w:r>
              <w:rPr>
                <w:rFonts w:hint="eastAsia" w:ascii="Times New Roman" w:hAnsi="宋体"/>
                <w:b w:val="0"/>
                <w:i w:val="0"/>
                <w:caps w:val="0"/>
                <w:spacing w:val="0"/>
                <w:w w:val="100"/>
                <w:sz w:val="22"/>
                <w:szCs w:val="24"/>
              </w:rPr>
              <w:t>铁路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4"/>
              </w:rPr>
              <w:t xml:space="preserve"> □      </w:t>
            </w:r>
            <w:r>
              <w:rPr>
                <w:rFonts w:hint="eastAsia" w:ascii="Times New Roman" w:hAnsi="宋体"/>
                <w:b w:val="0"/>
                <w:i w:val="0"/>
                <w:caps w:val="0"/>
                <w:spacing w:val="0"/>
                <w:w w:val="100"/>
                <w:sz w:val="22"/>
                <w:szCs w:val="24"/>
              </w:rPr>
              <w:t>水路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4"/>
              </w:rPr>
              <w:t xml:space="preserve"> □</w:t>
            </w:r>
          </w:p>
        </w:tc>
      </w:tr>
      <w:tr w14:paraId="1B32F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0" w:hRule="atLeast"/>
        </w:trPr>
        <w:tc>
          <w:tcPr>
            <w:tcW w:w="9885" w:type="dxa"/>
          </w:tcPr>
          <w:p w14:paraId="51EA8DB7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hint="eastAsia" w:ascii="Times New Roman" w:eastAsia="微软雅黑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/>
              </w:rPr>
            </w:pP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  <w:szCs w:val="24"/>
              </w:rPr>
              <w:t>运输路线文字描述：（写明途经省、市、县（区），附路线图</w:t>
            </w: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/>
              </w:rPr>
              <w:t>:</w:t>
            </w:r>
          </w:p>
          <w:p w14:paraId="1ADD60E5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常州市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2"/>
                <w:szCs w:val="21"/>
                <w:lang w:eastAsia="zh-CN"/>
              </w:rPr>
              <w:t>武进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戴溪有色金属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2"/>
                <w:szCs w:val="21"/>
                <w:lang w:eastAsia="zh-CN"/>
              </w:rPr>
              <w:t>制品有限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公司出发---新胜路S232---南环线---青洋快速路---沪宜高速---溧宁高速---沪渝高速---宣城绕城高速---宣城富旺金属材料公司</w:t>
            </w:r>
          </w:p>
          <w:p w14:paraId="6B21B05F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途径主要省辖市：</w:t>
            </w:r>
          </w:p>
          <w:p w14:paraId="0BDA07FF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微软雅黑" w:hAnsi="微软雅黑" w:cs="微软雅黑"/>
                <w:b w:val="0"/>
                <w:i w:val="0"/>
                <w:caps w:val="0"/>
                <w:spacing w:val="0"/>
                <w:w w:val="100"/>
                <w:sz w:val="22"/>
                <w:szCs w:val="21"/>
                <w:lang w:eastAsia="zh-CN"/>
              </w:rPr>
              <w:t xml:space="preserve"> 江苏常州市武进区</w:t>
            </w:r>
            <w:r>
              <w:rPr>
                <w:rFonts w:hint="eastAsia" w:ascii="微软雅黑" w:hAnsi="微软雅黑" w:cs="微软雅黑"/>
                <w:b w:val="0"/>
                <w:i w:val="0"/>
                <w:caps w:val="0"/>
                <w:spacing w:val="0"/>
                <w:w w:val="100"/>
                <w:sz w:val="22"/>
                <w:szCs w:val="21"/>
                <w:lang w:val="en-US" w:eastAsia="zh-CN"/>
              </w:rPr>
              <w:t>----溧阳市</w:t>
            </w:r>
            <w:r>
              <w:rPr>
                <w:rFonts w:hint="eastAsia" w:ascii="微软雅黑" w:hAnsi="微软雅黑" w:cs="微软雅黑"/>
                <w:b w:val="0"/>
                <w:i w:val="0"/>
                <w:caps w:val="0"/>
                <w:spacing w:val="0"/>
                <w:w w:val="100"/>
                <w:sz w:val="22"/>
                <w:szCs w:val="21"/>
                <w:lang w:eastAsia="zh-CN"/>
              </w:rPr>
              <w:t xml:space="preserve"> </w:t>
            </w:r>
            <w:r>
              <w:rPr>
                <w:rFonts w:hint="eastAsia" w:ascii="微软雅黑" w:hAnsi="微软雅黑" w:cs="微软雅黑"/>
                <w:b w:val="0"/>
                <w:i w:val="0"/>
                <w:caps w:val="0"/>
                <w:spacing w:val="0"/>
                <w:w w:val="100"/>
                <w:sz w:val="22"/>
                <w:szCs w:val="21"/>
                <w:lang w:val="en-US" w:eastAsia="zh-CN"/>
              </w:rPr>
              <w:t>---</w:t>
            </w:r>
            <w:r>
              <w:rPr>
                <w:rFonts w:hint="eastAsia" w:ascii="微软雅黑" w:hAnsi="微软雅黑" w:cs="微软雅黑"/>
                <w:b w:val="0"/>
                <w:i w:val="0"/>
                <w:caps w:val="0"/>
                <w:spacing w:val="0"/>
                <w:w w:val="100"/>
                <w:sz w:val="22"/>
                <w:szCs w:val="21"/>
                <w:lang w:eastAsia="zh-CN"/>
              </w:rPr>
              <w:t>安徽宣城市宣州区</w:t>
            </w:r>
          </w:p>
          <w:p w14:paraId="08871C0D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eastAsia="微软雅黑"/>
                <w:b w:val="0"/>
                <w:i w:val="0"/>
                <w:caps w:val="0"/>
                <w:spacing w:val="0"/>
                <w:w w:val="100"/>
                <w:sz w:val="22"/>
                <w:szCs w:val="21"/>
                <w:lang w:eastAsia="zh-CN"/>
              </w:rPr>
              <w:drawing>
                <wp:inline distT="0" distB="0" distL="114300" distR="114300">
                  <wp:extent cx="5631180" cy="3916680"/>
                  <wp:effectExtent l="0" t="0" r="7620" b="0"/>
                  <wp:docPr id="5" name="图片 5" descr="163471179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34711796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1180" cy="391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5B311A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hint="eastAsia" w:eastAsia="微软雅黑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ab/>
            </w:r>
          </w:p>
          <w:p w14:paraId="3E400408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hint="eastAsia" w:eastAsia="微软雅黑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</w:p>
          <w:p w14:paraId="0089A171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hint="eastAsia" w:ascii="Times New Roman" w:eastAsia="微软雅黑"/>
                <w:b/>
                <w:bCs/>
                <w:i w:val="0"/>
                <w:caps w:val="0"/>
                <w:spacing w:val="0"/>
                <w:w w:val="100"/>
                <w:sz w:val="20"/>
                <w:szCs w:val="24"/>
                <w:lang w:eastAsia="zh-CN"/>
              </w:rPr>
            </w:pPr>
          </w:p>
          <w:p w14:paraId="5BB09DBD"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</w:p>
          <w:p w14:paraId="0D96F7C5"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</w:p>
        </w:tc>
      </w:tr>
    </w:tbl>
    <w:p w14:paraId="663B1E5E">
      <w:pPr>
        <w:snapToGrid w:val="0"/>
        <w:spacing w:before="0" w:beforeAutospacing="0" w:after="200" w:afterAutospacing="0" w:line="240" w:lineRule="auto"/>
        <w:textAlignment w:val="baseline"/>
        <w:rPr>
          <w:rFonts w:ascii="Times New Roman" w:hAnsi="Times New Roman"/>
          <w:b w:val="0"/>
          <w:i w:val="0"/>
          <w:caps w:val="0"/>
          <w:spacing w:val="0"/>
          <w:w w:val="100"/>
          <w:sz w:val="20"/>
          <w:szCs w:val="24"/>
        </w:rPr>
        <w:sectPr>
          <w:pgSz w:w="11906" w:h="16838"/>
          <w:pgMar w:top="1134" w:right="1797" w:bottom="851" w:left="1797" w:header="851" w:footer="992" w:gutter="0"/>
          <w:cols w:space="425" w:num="1"/>
          <w:docGrid w:type="lines" w:linePitch="286" w:charSpace="0"/>
        </w:sectPr>
      </w:pPr>
    </w:p>
    <w:tbl>
      <w:tblPr>
        <w:tblStyle w:val="7"/>
        <w:tblW w:w="934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 w14:paraId="4E133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345" w:type="dxa"/>
            <w:vAlign w:val="center"/>
          </w:tcPr>
          <w:p w14:paraId="038189DE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/>
                <w:bCs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Times New Roman"/>
                <w:b/>
                <w:bCs/>
                <w:i w:val="0"/>
                <w:caps w:val="0"/>
                <w:spacing w:val="0"/>
                <w:w w:val="100"/>
                <w:sz w:val="22"/>
                <w:szCs w:val="24"/>
              </w:rPr>
              <w:t>表</w:t>
            </w:r>
            <w:r>
              <w:rPr>
                <w:rFonts w:ascii="Times New Roman" w:hAnsi="Times New Roman"/>
                <w:b/>
                <w:bCs/>
                <w:i w:val="0"/>
                <w:caps w:val="0"/>
                <w:spacing w:val="0"/>
                <w:w w:val="100"/>
                <w:sz w:val="22"/>
                <w:szCs w:val="24"/>
              </w:rPr>
              <w:t xml:space="preserve">3  </w:t>
            </w:r>
            <w:r>
              <w:rPr>
                <w:rFonts w:hint="eastAsia" w:ascii="Times New Roman"/>
                <w:b/>
                <w:bCs/>
                <w:i w:val="0"/>
                <w:caps w:val="0"/>
                <w:spacing w:val="0"/>
                <w:w w:val="100"/>
                <w:sz w:val="22"/>
                <w:szCs w:val="24"/>
              </w:rPr>
              <w:t>转移的污染防治、安全防护和应急措施</w:t>
            </w:r>
          </w:p>
        </w:tc>
      </w:tr>
      <w:tr w14:paraId="0B2F8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9345" w:type="dxa"/>
          </w:tcPr>
          <w:p w14:paraId="51042D05">
            <w:pPr>
              <w:widowControl w:val="0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微软雅黑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（一）、</w:t>
            </w:r>
            <w:r>
              <w:rPr>
                <w:rFonts w:hint="eastAsia" w:ascii="Times New Roman" w:hAnsi="Times New Roman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宣城市勇兆物流有限公司</w:t>
            </w:r>
          </w:p>
          <w:p w14:paraId="19B216C7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危险废物一旦发生交通事故或自然灾害，即会引起重大安全事故，给人民生命和国家财产造成重大的损失，为预防重大事故发生，提高紧急处理情况的应变能力，沉着灵活应对各种突如其来的事故（灾害），以最大限度减少人员伤亡，财产损失，保护环境为目标，根据我司目前的安全工作情况，和跨区域运输的特点，特制定以下事故（灾害）抢险应急预警方案。</w:t>
            </w:r>
          </w:p>
          <w:p w14:paraId="00D2DDD8">
            <w:pPr>
              <w:widowControl w:val="0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</w:rPr>
              <w:t>一.</w:t>
            </w:r>
            <w:r>
              <w:rPr>
                <w:rFonts w:hint="eastAsia" w:ascii="Times New Roman" w:hAnsi="Times New Roman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宣城市勇兆物流有限公司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</w:rPr>
              <w:t xml:space="preserve">事故（灾害）应急处理指挥机构及工作小组事故（灾害）抢救应急指挥部指挥 </w:t>
            </w:r>
          </w:p>
          <w:p w14:paraId="57C3B8B0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组       长：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胡小妹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联系方式：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18098539688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</w:p>
          <w:p w14:paraId="4B50F51E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hint="default" w:eastAsia="微软雅黑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副   组  长：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章卫兵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联系方式：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13083132572</w:t>
            </w:r>
          </w:p>
          <w:p w14:paraId="59F087EB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小 组 成 员：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潘志祥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13705639597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GPS监控管理员</w:t>
            </w:r>
          </w:p>
          <w:p w14:paraId="2173642C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殷明纲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13731882694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）</w:t>
            </w:r>
          </w:p>
          <w:p w14:paraId="79BC9A6E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张万婷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18256331252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）</w:t>
            </w:r>
          </w:p>
          <w:p w14:paraId="29E9B896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现场施救组：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殷明纲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13731882694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）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张万婷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18256331252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）</w:t>
            </w:r>
          </w:p>
          <w:p w14:paraId="3CB2014C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后勤保障组：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殷明纲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13731882694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）                 </w:t>
            </w:r>
          </w:p>
          <w:p w14:paraId="6CF18A69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二.事故报告程序</w:t>
            </w:r>
          </w:p>
          <w:p w14:paraId="79316E2E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（1）事故发生后，事故发生单位及当事人除了拨打110 、119 、</w:t>
            </w:r>
          </w:p>
          <w:p w14:paraId="29B706CB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120 电话外，必须立即将事故发生地、人员伤亡和财产损失等初步情</w:t>
            </w:r>
          </w:p>
          <w:p w14:paraId="4A13EB5B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况电话报告安全管理部门（安全管理员）。安全管理部门（安全管理</w:t>
            </w:r>
          </w:p>
          <w:p w14:paraId="354F2AD3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员）接到事故报告后，立即向领导小组汇报。道路交通事故按《行车</w:t>
            </w:r>
          </w:p>
          <w:p w14:paraId="6BBDA83A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事故统计和报告制度》的规定上报相关部门。</w:t>
            </w:r>
          </w:p>
          <w:p w14:paraId="630211BC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（2）事故发生单位应在事故发生后2小时内将事故简要情况书</w:t>
            </w:r>
          </w:p>
          <w:p w14:paraId="144364EC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面上报安全管理部门（安全管理员），事故书面报告的主要内容有：</w:t>
            </w:r>
          </w:p>
          <w:p w14:paraId="6009D431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A 、事故发生的时间、地点、车辆号码和驾驶员姓名或操作人员</w:t>
            </w:r>
          </w:p>
          <w:p w14:paraId="29B40025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姓名等；</w:t>
            </w:r>
          </w:p>
          <w:p w14:paraId="3728E72A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B 、事故发生的简要经过，伤亡人数和初步估计的直接经济损失</w:t>
            </w:r>
          </w:p>
          <w:p w14:paraId="786BBB8E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情况；</w:t>
            </w:r>
          </w:p>
          <w:p w14:paraId="4300B43C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C 、事故发生的初步原因；</w:t>
            </w:r>
          </w:p>
          <w:p w14:paraId="56F1E5D5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D 、事故发生后采取的措施及事故控制情况；</w:t>
            </w:r>
          </w:p>
          <w:p w14:paraId="35B161EF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E 、事故报告单位及联系电话。</w:t>
            </w:r>
          </w:p>
          <w:p w14:paraId="6D642CC9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（3）事故现场情况发生变化，伤亡人员数量发生变化时，事故</w:t>
            </w:r>
          </w:p>
          <w:p w14:paraId="46D0E2EF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发生单位应及时补报。</w:t>
            </w:r>
          </w:p>
          <w:p w14:paraId="21E12409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三、设备器材保障</w:t>
            </w:r>
          </w:p>
          <w:p w14:paraId="629729DA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1、应急指挥车一辆</w:t>
            </w:r>
          </w:p>
          <w:p w14:paraId="13A708E8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2、过滤式呼吸器5副，自给式呼吸器5副，化学安全防护眼镜5套，戴防尘面具（全面罩）2副，防毒服2套等。</w:t>
            </w:r>
          </w:p>
          <w:p w14:paraId="6A813DE5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四、预警级别</w:t>
            </w:r>
          </w:p>
          <w:p w14:paraId="02368451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一级警别：指重特大交通事故，车辆起火、爆炸，以及因不可抗拒因素造成车毁人亡，致使财产损失5万以上，人员伤亡2人以上（含2人）或危险废物泄露造成重大水体污染和环境污染；</w:t>
            </w:r>
          </w:p>
          <w:p w14:paraId="19CFDD54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二级警别：指重大交通事故导致人员伤亡事故，或因危险废物污染环境、水体污染造成财产损失3万元以上5万元以内的；</w:t>
            </w:r>
          </w:p>
          <w:p w14:paraId="56E9FA0B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三级警别：指一般交通事故（灾害），虽未造成人员伤亡，但致使财产损失2万元以上3万元以内的。</w:t>
            </w:r>
          </w:p>
          <w:p w14:paraId="52FBA1F4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预警控制范围及应急防范措施：</w:t>
            </w:r>
          </w:p>
          <w:p w14:paraId="4AD22813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(1)预警控制范围包括：货车进出装卸作业现场、停车场、行驶途中等。</w:t>
            </w:r>
          </w:p>
          <w:p w14:paraId="7CD34A43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(2)应急防范措施：</w:t>
            </w:r>
          </w:p>
          <w:p w14:paraId="6AAE12CF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1、进出危险废物作业区时，驾驶人员应在进库前，检查随灭火器材是否齐全有效，遵守并按规定交出车上和个人携带的着火器。装危险废物现场，驾驶员应对作业现场保持警视状态，一旦事故（灾害）发生，应立即进行自救和报警求救，详细说明事故（灾害）地点、人员伤亡和损失情况，以及事故（灾害）对周围环境的危害程度，并能果断做出施救的最佳方案以供参考。</w:t>
            </w:r>
          </w:p>
          <w:p w14:paraId="0F044915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2、防护措施: 可能接触有毒气体时，应该佩戴过滤式呼吸器。紧急事态抢救或逃生时，建议佩戴自给式呼吸器。戴化学安全防护眼镜。穿防毒工作服。戴橡胶手套。工作完毕沐浴更衣。单独存放被毒物污染的衣物，洗后再用。保持良好的卫生习惯。</w:t>
            </w:r>
          </w:p>
          <w:p w14:paraId="085B0B9C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3、公司安全应急机构接到事故（灾害）报警后，应在最短的时间内按原先制定的应预案和应急措施，立即召集现场指挥和后勤保障组成员，以最快的时间赶到事故（灾害）现场，同时各种救助器材、和后勤保障用品要同时跟上。各司其责措施到位有效。</w:t>
            </w:r>
          </w:p>
          <w:p w14:paraId="082392DC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五、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应急处理措施。</w:t>
            </w:r>
          </w:p>
          <w:p w14:paraId="15980E4C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道路交通事故（灾害）应急措施：</w:t>
            </w:r>
          </w:p>
          <w:p w14:paraId="59761CDD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如发生道路交通事故，应立即报122交通警、119消防警、120救护警和运管部门，保护现场抢救伤员。并立即切断车辆电源开关、监视车辆的安全情况，告诫围观的群众远离现场，用手提消防器材布置好安全警戒线。如是装危险废物的重车，应在事故现场处理完毕后和交警协调，危险废物卸掉后再进行事故处理，避免引起意外事故的发生。</w:t>
            </w:r>
          </w:p>
          <w:p w14:paraId="6CC0396D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  2、发生危险废物事故应急措施</w:t>
            </w:r>
          </w:p>
          <w:p w14:paraId="5F0366AF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2.1 泄漏处理：切断火源。戴好自给式呼吸器和手套。穿防毒工作服。不要直接接触泄漏物。尽可能切断泄漏源。用工具把泄漏物放入车里，并对地面进行环保处理。</w:t>
            </w:r>
          </w:p>
          <w:p w14:paraId="2A97C53D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2.2急救：</w:t>
            </w:r>
          </w:p>
          <w:p w14:paraId="47BF2454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吸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入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:迅速脱离现场至空气新鲜处。如呼吸困难，给输氧。如呼吸停止，立即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进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行人工呼吸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。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就医。皮肤或眼晴接触:用大量流动清水冲洗至少15分钟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。</w:t>
            </w: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就医。食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入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:用水漱口，给饮牛奶或蛋清。就医。</w:t>
            </w:r>
          </w:p>
          <w:p w14:paraId="1EBA116B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2.3灭火方法：</w:t>
            </w:r>
          </w:p>
          <w:p w14:paraId="3F5DD6AC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用碱性物质如碳酸氢钠，碳酸钙，消石灰等中和。也可用水大量补救。</w:t>
            </w:r>
          </w:p>
          <w:p w14:paraId="7F373749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七、防台风、防汛应急处理措施</w:t>
            </w:r>
          </w:p>
          <w:p w14:paraId="72B354EE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①、我公司应建立健全各类天气、地质预报的收集工作，加强值班，一旦接到台风或汛情预报，应立即通知下属各车从业人员，做好预防工作，并与配送单位联系（尤其是可能会发生灾害地区的送货单位）共同制定应防事故应急方案。</w:t>
            </w:r>
          </w:p>
          <w:p w14:paraId="1141986B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②、要随时了解和掌握台风、汛情的量能，即时流向和及时通知各部车辆驾驶员采取有效的防范措施。争取在灾情到来之前将危险废物送达各厂家，来不及送的，应立即通知驾驶员回停车场，防止冒然前往灾害发生地。驾驶员应保持通讯工具畅通，及时与分公司应急指挥部联系。</w:t>
            </w:r>
          </w:p>
          <w:p w14:paraId="242FEC4A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③、灾情到达之前，应急小组人员应深入现场指挥，对灾情的发生要提出有效的防范措施，及时通知所有在途车辆立即在就近安全地带停靠、避险，待灾情解除后方可上路行驶。</w:t>
            </w:r>
          </w:p>
          <w:p w14:paraId="13145D9C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④、遇到强台风时，所有车辆都不许冒险上路行驶，应避其风头选择有背风的地带行车避险。</w:t>
            </w:r>
          </w:p>
          <w:p w14:paraId="2FDDE64F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⑤、遇到汛情时，应选择地势较高安全地带停车，不许在有下水道、河道边的低洼地停车。如是在傍山路，应避开桥梁、悬崖边有可能滑坡的地带停车。</w:t>
            </w:r>
          </w:p>
          <w:p w14:paraId="731C9AD3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八、职责分工</w:t>
            </w:r>
          </w:p>
          <w:p w14:paraId="405B2CAE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1、指挥（副指挥），负责组织对人、财、物抢险过程的指挥协调工作。</w:t>
            </w:r>
          </w:p>
          <w:p w14:paraId="7B1BE08C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2、现场指挥组：主要负责泄漏危险废物的回收、转移，人员上网护送抢救和现场保护工作。</w:t>
            </w:r>
          </w:p>
          <w:p w14:paraId="0286EDDD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3、后勤保障组：主要负责抢险期间的现场清点，做好现场记录，抢救物品调集等后勤保障工作，抢险后的善后处理工作。</w:t>
            </w:r>
          </w:p>
          <w:p w14:paraId="5505E119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4、预警防范期间，所有从业人员对预警范围内任何重大异常情况，有权在第一时间向所在单位指挥（副指挥）或工作小组成员及上级机关报告。</w:t>
            </w:r>
          </w:p>
          <w:p w14:paraId="24F9BA2A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九、工作程序</w:t>
            </w:r>
          </w:p>
          <w:p w14:paraId="54CD5920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各组在指挥人员的指挥下，紧密配合，团结协作，并保持临危不乱的状态，迅速投入抢险。</w:t>
            </w:r>
          </w:p>
          <w:p w14:paraId="27C625BF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现场指挥组：迅速转移伤亡人员，回收危险废物，做好防止事故扩大的抢险救灾工作。</w:t>
            </w:r>
          </w:p>
          <w:p w14:paraId="15756EEF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后勤保障组：做好警戒，事故记录，迅速投入保障工作。</w:t>
            </w:r>
          </w:p>
          <w:p w14:paraId="1C955D6D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十、事故（灾害）报告</w:t>
            </w:r>
          </w:p>
          <w:p w14:paraId="489A59F8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发生一级和二级预警或重大交通事故及人员伤亡的，公司应急指挥部应在得到消息的同时，立即报告各相关部门。发生三级预警或一般交通事故造成人员受伤的，应在得到信息30分钟内报告各相关部门。发生一般交通事故或其他安全事故未造成人员伤亡的，应在6小时内报告各相关部门。</w:t>
            </w:r>
          </w:p>
          <w:p w14:paraId="5752CFDB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十一、善后处理</w:t>
            </w:r>
          </w:p>
          <w:p w14:paraId="77EFA673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事故（灾害）抢险结束后，后勤保障组应对现场周围进行认真清查，消除遗留隐患，做好现场记录，在24小时内按规定向上级报告事故详细情况，提出处理意见。</w:t>
            </w:r>
          </w:p>
          <w:p w14:paraId="78342353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 w14:paraId="1C70AFB3">
            <w:pPr>
              <w:pStyle w:val="6"/>
              <w:snapToGrid w:val="0"/>
              <w:spacing w:before="0" w:beforeAutospacing="0" w:after="0" w:afterAutospacing="0" w:line="240" w:lineRule="auto"/>
              <w:ind w:firstLine="240" w:firstLineChars="100"/>
              <w:textAlignment w:val="baseline"/>
              <w:rPr>
                <w:rFonts w:ascii="Tahoma" w:hAnsi="Tahoma" w:eastAsia="微软雅黑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运输单位事故应急人员 / 方式：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胡小妹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18098539688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</w:p>
          <w:p w14:paraId="38A84BF1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/>
                <w:b w:val="0"/>
                <w:bCs/>
                <w:i w:val="0"/>
                <w:caps w:val="0"/>
                <w:spacing w:val="0"/>
                <w:w w:val="100"/>
                <w:sz w:val="20"/>
                <w:szCs w:val="24"/>
              </w:rPr>
            </w:pPr>
          </w:p>
        </w:tc>
      </w:tr>
    </w:tbl>
    <w:p w14:paraId="49860F06">
      <w:pPr>
        <w:snapToGrid w:val="0"/>
        <w:spacing w:before="0" w:beforeAutospacing="0" w:after="200" w:afterAutospacing="0" w:line="240" w:lineRule="auto"/>
        <w:textAlignment w:val="baseline"/>
        <w:rPr>
          <w:rFonts w:ascii="Times New Roman" w:hAnsi="Times New Roman" w:eastAsia="黑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Times New Roman" w:eastAsia="黑体"/>
          <w:b w:val="0"/>
          <w:i w:val="0"/>
          <w:caps w:val="0"/>
          <w:spacing w:val="0"/>
          <w:w w:val="100"/>
          <w:sz w:val="28"/>
          <w:szCs w:val="28"/>
        </w:rPr>
        <w:t>第三部分废物处理处置情况</w:t>
      </w:r>
    </w:p>
    <w:tbl>
      <w:tblPr>
        <w:tblStyle w:val="7"/>
        <w:tblW w:w="934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4"/>
        <w:gridCol w:w="4551"/>
      </w:tblGrid>
      <w:tr w14:paraId="0F28E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9345" w:type="dxa"/>
            <w:gridSpan w:val="2"/>
            <w:vAlign w:val="center"/>
          </w:tcPr>
          <w:p w14:paraId="70B8A777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/>
                <w:b/>
                <w:bCs/>
                <w:i w:val="0"/>
                <w:caps w:val="0"/>
                <w:spacing w:val="0"/>
                <w:w w:val="100"/>
                <w:sz w:val="22"/>
              </w:rPr>
              <w:t>表</w:t>
            </w:r>
            <w:r>
              <w:rPr>
                <w:rFonts w:ascii="Times New Roman" w:hAnsi="Times New Roman"/>
                <w:b/>
                <w:bCs/>
                <w:i w:val="0"/>
                <w:caps w:val="0"/>
                <w:spacing w:val="0"/>
                <w:w w:val="100"/>
                <w:sz w:val="22"/>
              </w:rPr>
              <w:t xml:space="preserve">1   </w:t>
            </w:r>
            <w:r>
              <w:rPr>
                <w:rFonts w:hint="eastAsia" w:ascii="Times New Roman"/>
                <w:b/>
                <w:bCs/>
                <w:i w:val="0"/>
                <w:caps w:val="0"/>
                <w:spacing w:val="0"/>
                <w:w w:val="100"/>
                <w:sz w:val="22"/>
              </w:rPr>
              <w:t>接受单位基本情况</w:t>
            </w:r>
          </w:p>
        </w:tc>
      </w:tr>
      <w:tr w14:paraId="38821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9345" w:type="dxa"/>
            <w:gridSpan w:val="2"/>
            <w:vAlign w:val="center"/>
          </w:tcPr>
          <w:p w14:paraId="3E31EBA3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hint="eastAsia" w:ascii="Times New Roman" w:hAnsi="Times New Roman" w:eastAsia="微软雅黑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</w:rPr>
              <w:t>单位名称：</w:t>
            </w: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  <w:lang w:eastAsia="zh-CN"/>
              </w:rPr>
              <w:t>宣城市富旺金属材料有限公司</w:t>
            </w:r>
          </w:p>
        </w:tc>
      </w:tr>
      <w:tr w14:paraId="157D7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794" w:type="dxa"/>
            <w:vAlign w:val="center"/>
          </w:tcPr>
          <w:p w14:paraId="2F8F3809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</w:rPr>
              <w:t>危废经营许可证编号：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</w:rPr>
              <w:t>341802002</w:t>
            </w:r>
          </w:p>
        </w:tc>
        <w:tc>
          <w:tcPr>
            <w:tcW w:w="4551" w:type="dxa"/>
            <w:vAlign w:val="center"/>
          </w:tcPr>
          <w:p w14:paraId="6C7F0233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</w:rPr>
              <w:t>有效期：</w:t>
            </w: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  <w:t>2021年9月2日至</w:t>
            </w:r>
            <w:r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</w:rPr>
              <w:t>202</w:t>
            </w: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  <w:t>6</w:t>
            </w: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</w:rPr>
              <w:t>年</w:t>
            </w: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  <w:t>9</w:t>
            </w: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</w:rPr>
              <w:t>月</w:t>
            </w: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  <w:t>1</w:t>
            </w: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</w:rPr>
              <w:t>日</w:t>
            </w:r>
          </w:p>
        </w:tc>
      </w:tr>
      <w:tr w14:paraId="1A53C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</w:trPr>
        <w:tc>
          <w:tcPr>
            <w:tcW w:w="9345" w:type="dxa"/>
            <w:gridSpan w:val="2"/>
          </w:tcPr>
          <w:p w14:paraId="013621BE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</w:rPr>
              <w:t>经营核准内容（废物名称、类别、数量）：</w:t>
            </w:r>
          </w:p>
          <w:p w14:paraId="4D7BEE06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2BA99AA4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</w:rPr>
              <w:t>收集﹑贮存﹑综合利用</w:t>
            </w:r>
            <w:r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</w:rPr>
              <w:t>HW17</w:t>
            </w: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</w:rPr>
              <w:t>表面处理废物</w:t>
            </w: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  <w:lang w:eastAsia="zh-CN"/>
              </w:rPr>
              <w:t>（</w:t>
            </w: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  <w:t>336-052-17、336-054-17、336-055-17、336-057-17、336-058-17、336-059-17、336-062-17、336-063-17、336-064-17、336-066-17）</w:t>
            </w: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</w:rPr>
              <w:t>、</w:t>
            </w:r>
            <w:r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</w:rPr>
              <w:t>HW22</w:t>
            </w: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</w:rPr>
              <w:t>含铜</w:t>
            </w: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  <w:lang w:eastAsia="zh-CN"/>
              </w:rPr>
              <w:t>废物</w:t>
            </w: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</w:rPr>
              <w:t>（</w:t>
            </w: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  <w:t>304-001-22、398-004-22、398-005-22、398-051-22</w:t>
            </w: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</w:rPr>
              <w:t>）﹑</w:t>
            </w: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  <w:t>HW23</w:t>
            </w: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  <w:lang w:eastAsia="zh-CN"/>
              </w:rPr>
              <w:t>含锌废物（</w:t>
            </w: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  <w:t>312-001-23）、HW46含镍废物（261-087-46）、</w:t>
            </w:r>
            <w:r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</w:rPr>
              <w:t>HW48</w:t>
            </w: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</w:rPr>
              <w:t>有色金属</w:t>
            </w: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  <w:lang w:eastAsia="zh-CN"/>
              </w:rPr>
              <w:t>采选和</w:t>
            </w: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</w:rPr>
              <w:t>冶炼废物（</w:t>
            </w: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  <w:t>091-001-48、321-002-48、321-003-48、321-008-48、321-019-48、321-021-48、321-023-48、321-025-48、321-027-48、321-028-48、321-031-48、321-032-48</w:t>
            </w: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</w:rPr>
              <w:t>）</w:t>
            </w: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  <w:lang w:eastAsia="zh-CN"/>
              </w:rPr>
              <w:t>、</w:t>
            </w: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  <w:t>HW49</w:t>
            </w: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  <w:lang w:eastAsia="zh-CN"/>
              </w:rPr>
              <w:t>其他废物（</w:t>
            </w: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  <w:t>900-046-49）</w:t>
            </w: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</w:rPr>
              <w:t>共</w:t>
            </w: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  <w:lang w:eastAsia="zh-CN"/>
              </w:rPr>
              <w:t>计</w:t>
            </w:r>
            <w:r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</w:rPr>
              <w:t>1</w:t>
            </w: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  <w:t>6.68</w:t>
            </w: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</w:rPr>
              <w:t>万吨</w:t>
            </w: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  <w:t>/年</w:t>
            </w: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</w:rPr>
              <w:t>。</w:t>
            </w:r>
          </w:p>
          <w:p w14:paraId="09424E3D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3F660B76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</w:tbl>
    <w:p w14:paraId="0C258335">
      <w:pPr>
        <w:snapToGrid w:val="0"/>
        <w:spacing w:before="0" w:beforeAutospacing="0" w:after="200" w:afterAutospacing="0" w:line="240" w:lineRule="auto"/>
        <w:textAlignment w:val="baseline"/>
        <w:rPr>
          <w:rFonts w:ascii="Times New Roman" w:hAnsi="Times New Roman"/>
          <w:b w:val="0"/>
          <w:i w:val="0"/>
          <w:caps w:val="0"/>
          <w:spacing w:val="0"/>
          <w:w w:val="100"/>
          <w:sz w:val="20"/>
        </w:rPr>
      </w:pPr>
    </w:p>
    <w:tbl>
      <w:tblPr>
        <w:tblStyle w:val="7"/>
        <w:tblW w:w="9363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3"/>
      </w:tblGrid>
      <w:tr w14:paraId="138AC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1" w:hRule="atLeast"/>
        </w:trPr>
        <w:tc>
          <w:tcPr>
            <w:tcW w:w="9363" w:type="dxa"/>
          </w:tcPr>
          <w:p w14:paraId="6C0A7BF0">
            <w:pPr>
              <w:snapToGrid w:val="0"/>
              <w:spacing w:before="0" w:beforeAutospacing="0" w:after="200" w:afterAutospacing="0" w:line="300" w:lineRule="exac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Times New Roman"/>
                <w:b/>
                <w:bCs/>
                <w:i w:val="0"/>
                <w:caps w:val="0"/>
                <w:spacing w:val="0"/>
                <w:w w:val="100"/>
                <w:sz w:val="22"/>
              </w:rPr>
              <w:t>表</w:t>
            </w:r>
            <w:r>
              <w:rPr>
                <w:rFonts w:ascii="Times New Roman" w:hAnsi="Times New Roman"/>
                <w:b/>
                <w:bCs/>
                <w:i w:val="0"/>
                <w:caps w:val="0"/>
                <w:spacing w:val="0"/>
                <w:w w:val="100"/>
                <w:sz w:val="22"/>
              </w:rPr>
              <w:t xml:space="preserve">2   </w:t>
            </w:r>
            <w:r>
              <w:rPr>
                <w:rFonts w:hint="eastAsia" w:ascii="Times New Roman"/>
                <w:b/>
                <w:bCs/>
                <w:i w:val="0"/>
                <w:caps w:val="0"/>
                <w:spacing w:val="0"/>
                <w:w w:val="100"/>
                <w:sz w:val="22"/>
              </w:rPr>
              <w:t>与接收废物相关的处理处置情况</w:t>
            </w:r>
          </w:p>
          <w:p w14:paraId="4F5B7CF1">
            <w:pPr>
              <w:snapToGrid w:val="0"/>
              <w:spacing w:before="0" w:beforeAutospacing="0" w:after="200" w:afterAutospacing="0" w:line="300" w:lineRule="exac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  <w:szCs w:val="24"/>
              </w:rPr>
              <w:t>文字描述及工艺流程图</w:t>
            </w:r>
          </w:p>
          <w:p w14:paraId="400186FE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处理处置工艺技术（文字说明）：</w:t>
            </w:r>
          </w:p>
          <w:p w14:paraId="06165325">
            <w:pPr>
              <w:snapToGrid w:val="0"/>
              <w:spacing w:before="0" w:beforeAutospacing="0" w:after="200" w:afterAutospacing="0" w:line="300" w:lineRule="exact"/>
              <w:textAlignment w:val="baseline"/>
              <w:rPr>
                <w:rFonts w:hint="default"/>
                <w:b/>
                <w:i w:val="0"/>
                <w:caps w:val="0"/>
                <w:spacing w:val="0"/>
                <w:w w:val="100"/>
                <w:sz w:val="32"/>
                <w:szCs w:val="32"/>
                <w:lang w:val="en-US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</w:rPr>
              <w:t>将危险废物置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  <w:lang w:eastAsia="zh-CN"/>
              </w:rPr>
              <w:t>通过预处理烘干，制砖将含铜污泥和铜粉石灰等物料制作铜砖（方便物料冶炼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4"/>
                <w:lang w:eastAsia="zh-CN"/>
              </w:rPr>
              <w:t>），铜砖送粗炼间，粗炼炉生产黑铜，在精炼车间精炼炉生产粗铜含铜约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/>
              </w:rPr>
              <w:t>97.5%，销售铜陵有色金属生产阳极铜。</w:t>
            </w:r>
          </w:p>
          <w:p w14:paraId="0D6DB09B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hint="eastAsia" w:eastAsia="微软雅黑"/>
                <w:b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</w:pPr>
          </w:p>
          <w:p w14:paraId="760DC325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hint="eastAsia" w:eastAsia="微软雅黑"/>
                <w:b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eastAsia="微软雅黑"/>
                <w:b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5090160" cy="5570220"/>
                  <wp:effectExtent l="0" t="0" r="0" b="7620"/>
                  <wp:docPr id="8" name="图片 8" descr="163471427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634714271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0160" cy="557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08ADCA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b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</w:tbl>
    <w:p w14:paraId="064C3CE1">
      <w:pPr>
        <w:snapToGrid w:val="0"/>
        <w:spacing w:before="0" w:beforeAutospacing="0" w:after="200" w:afterAutospacing="0" w:line="240" w:lineRule="auto"/>
        <w:textAlignment w:val="baseline"/>
        <w:rPr>
          <w:rFonts w:ascii="Times New Roman" w:hAnsi="Times New Roman"/>
          <w:b w:val="0"/>
          <w:i w:val="0"/>
          <w:caps w:val="0"/>
          <w:spacing w:val="0"/>
          <w:w w:val="100"/>
          <w:sz w:val="20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 w14:paraId="39A305D4">
      <w:pPr>
        <w:snapToGrid w:val="0"/>
        <w:spacing w:before="0" w:beforeAutospacing="0" w:after="200" w:afterAutospacing="0" w:line="240" w:lineRule="auto"/>
        <w:textAlignment w:val="baseline"/>
        <w:rPr>
          <w:rFonts w:ascii="Times New Roman" w:hAnsi="Times New Roman" w:eastAsia="黑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Times New Roman" w:eastAsia="黑体"/>
          <w:b w:val="0"/>
          <w:i w:val="0"/>
          <w:caps w:val="0"/>
          <w:spacing w:val="0"/>
          <w:w w:val="100"/>
          <w:sz w:val="28"/>
          <w:szCs w:val="28"/>
        </w:rPr>
        <w:t>第四部分上年度固体（危险）废物跨省转移情况</w:t>
      </w:r>
    </w:p>
    <w:tbl>
      <w:tblPr>
        <w:tblStyle w:val="7"/>
        <w:tblW w:w="15168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460"/>
        <w:gridCol w:w="1460"/>
        <w:gridCol w:w="1460"/>
        <w:gridCol w:w="1460"/>
        <w:gridCol w:w="1460"/>
        <w:gridCol w:w="1460"/>
        <w:gridCol w:w="1460"/>
        <w:gridCol w:w="1460"/>
        <w:gridCol w:w="1744"/>
      </w:tblGrid>
      <w:tr w14:paraId="5426C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  <w:vAlign w:val="center"/>
          </w:tcPr>
          <w:p w14:paraId="7AEBD782"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 w:hAnsi="宋体"/>
                <w:b w:val="0"/>
                <w:i w:val="0"/>
                <w:caps w:val="0"/>
                <w:spacing w:val="0"/>
                <w:w w:val="100"/>
                <w:sz w:val="22"/>
              </w:rPr>
              <w:t>出厂日期</w:t>
            </w:r>
          </w:p>
        </w:tc>
        <w:tc>
          <w:tcPr>
            <w:tcW w:w="1460" w:type="dxa"/>
            <w:vAlign w:val="center"/>
          </w:tcPr>
          <w:p w14:paraId="4B15B1D3"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 w:hAnsi="宋体"/>
                <w:b w:val="0"/>
                <w:i w:val="0"/>
                <w:caps w:val="0"/>
                <w:spacing w:val="0"/>
                <w:w w:val="100"/>
                <w:sz w:val="22"/>
              </w:rPr>
              <w:t>转移批次</w:t>
            </w:r>
          </w:p>
        </w:tc>
        <w:tc>
          <w:tcPr>
            <w:tcW w:w="1460" w:type="dxa"/>
            <w:vAlign w:val="center"/>
          </w:tcPr>
          <w:p w14:paraId="6F13722B"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 w:hAnsi="宋体"/>
                <w:b w:val="0"/>
                <w:i w:val="0"/>
                <w:caps w:val="0"/>
                <w:spacing w:val="0"/>
                <w:w w:val="100"/>
                <w:sz w:val="22"/>
              </w:rPr>
              <w:t>联单编号</w:t>
            </w:r>
          </w:p>
        </w:tc>
        <w:tc>
          <w:tcPr>
            <w:tcW w:w="1460" w:type="dxa"/>
            <w:vAlign w:val="center"/>
          </w:tcPr>
          <w:p w14:paraId="3B4E4EF8"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 w:hAnsi="宋体"/>
                <w:b w:val="0"/>
                <w:i w:val="0"/>
                <w:caps w:val="0"/>
                <w:spacing w:val="0"/>
                <w:w w:val="100"/>
                <w:sz w:val="22"/>
              </w:rPr>
              <w:t>废物名称</w:t>
            </w:r>
          </w:p>
        </w:tc>
        <w:tc>
          <w:tcPr>
            <w:tcW w:w="1460" w:type="dxa"/>
            <w:vAlign w:val="center"/>
          </w:tcPr>
          <w:p w14:paraId="2C76F7BD"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 w:hAnsi="宋体"/>
                <w:b w:val="0"/>
                <w:i w:val="0"/>
                <w:caps w:val="0"/>
                <w:spacing w:val="0"/>
                <w:w w:val="100"/>
                <w:sz w:val="22"/>
              </w:rPr>
              <w:t>类别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</w:rPr>
              <w:t>/</w:t>
            </w:r>
            <w:r>
              <w:rPr>
                <w:rFonts w:hint="eastAsia" w:ascii="Times New Roman" w:hAnsi="宋体"/>
                <w:b w:val="0"/>
                <w:i w:val="0"/>
                <w:caps w:val="0"/>
                <w:spacing w:val="0"/>
                <w:w w:val="100"/>
                <w:sz w:val="22"/>
              </w:rPr>
              <w:t>代码</w:t>
            </w:r>
          </w:p>
        </w:tc>
        <w:tc>
          <w:tcPr>
            <w:tcW w:w="1460" w:type="dxa"/>
            <w:vAlign w:val="center"/>
          </w:tcPr>
          <w:p w14:paraId="76338D5D"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 w:hAnsi="宋体"/>
                <w:b w:val="0"/>
                <w:i w:val="0"/>
                <w:caps w:val="0"/>
                <w:spacing w:val="0"/>
                <w:w w:val="100"/>
                <w:sz w:val="22"/>
              </w:rPr>
              <w:t>转移量（吨）</w:t>
            </w:r>
          </w:p>
        </w:tc>
        <w:tc>
          <w:tcPr>
            <w:tcW w:w="1460" w:type="dxa"/>
            <w:vAlign w:val="center"/>
          </w:tcPr>
          <w:p w14:paraId="554804F1"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</w:rPr>
              <w:t>运输单位</w:t>
            </w:r>
          </w:p>
        </w:tc>
        <w:tc>
          <w:tcPr>
            <w:tcW w:w="1460" w:type="dxa"/>
            <w:vAlign w:val="center"/>
          </w:tcPr>
          <w:p w14:paraId="2F72CCEF"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/>
                <w:b w:val="0"/>
                <w:i w:val="0"/>
                <w:caps w:val="0"/>
                <w:spacing w:val="0"/>
                <w:w w:val="100"/>
                <w:sz w:val="22"/>
              </w:rPr>
              <w:t>车号</w:t>
            </w:r>
          </w:p>
        </w:tc>
        <w:tc>
          <w:tcPr>
            <w:tcW w:w="1460" w:type="dxa"/>
            <w:vAlign w:val="center"/>
          </w:tcPr>
          <w:p w14:paraId="061DCCA1"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 w:hAnsi="宋体"/>
                <w:b w:val="0"/>
                <w:i w:val="0"/>
                <w:caps w:val="0"/>
                <w:spacing w:val="0"/>
                <w:w w:val="100"/>
                <w:sz w:val="22"/>
              </w:rPr>
              <w:t>接收单位</w:t>
            </w:r>
          </w:p>
        </w:tc>
        <w:tc>
          <w:tcPr>
            <w:tcW w:w="1744" w:type="dxa"/>
            <w:vAlign w:val="center"/>
          </w:tcPr>
          <w:p w14:paraId="74A60EAB"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 w:hAnsi="宋体"/>
                <w:b w:val="0"/>
                <w:i w:val="0"/>
                <w:caps w:val="0"/>
                <w:spacing w:val="0"/>
                <w:w w:val="100"/>
                <w:sz w:val="22"/>
              </w:rPr>
              <w:t>接收日期</w:t>
            </w:r>
          </w:p>
        </w:tc>
      </w:tr>
      <w:tr w14:paraId="1B0CE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</w:tcPr>
          <w:p w14:paraId="09D94FA6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hint="eastAsia" w:ascii="Times New Roman" w:hAnsi="Times New Roman" w:eastAsia="微软雅黑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lang w:eastAsia="zh-CN"/>
              </w:rPr>
              <w:t>无</w:t>
            </w:r>
          </w:p>
        </w:tc>
        <w:tc>
          <w:tcPr>
            <w:tcW w:w="1460" w:type="dxa"/>
          </w:tcPr>
          <w:p w14:paraId="78847F43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60" w:type="dxa"/>
          </w:tcPr>
          <w:p w14:paraId="64FEB340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60" w:type="dxa"/>
          </w:tcPr>
          <w:p w14:paraId="39727F52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60" w:type="dxa"/>
          </w:tcPr>
          <w:p w14:paraId="3747E646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60" w:type="dxa"/>
          </w:tcPr>
          <w:p w14:paraId="3B55BA0B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60" w:type="dxa"/>
          </w:tcPr>
          <w:p w14:paraId="02E055C8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60" w:type="dxa"/>
          </w:tcPr>
          <w:p w14:paraId="62D663D3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60" w:type="dxa"/>
          </w:tcPr>
          <w:p w14:paraId="01D9A01F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44" w:type="dxa"/>
          </w:tcPr>
          <w:p w14:paraId="636B1AC4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57B1E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</w:tcPr>
          <w:p w14:paraId="5EF13F64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60" w:type="dxa"/>
          </w:tcPr>
          <w:p w14:paraId="35D03C95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60" w:type="dxa"/>
          </w:tcPr>
          <w:p w14:paraId="23CFDAED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60" w:type="dxa"/>
          </w:tcPr>
          <w:p w14:paraId="102BEAE4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60" w:type="dxa"/>
          </w:tcPr>
          <w:p w14:paraId="278A4853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60" w:type="dxa"/>
          </w:tcPr>
          <w:p w14:paraId="3308B7AF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60" w:type="dxa"/>
          </w:tcPr>
          <w:p w14:paraId="5317851B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60" w:type="dxa"/>
          </w:tcPr>
          <w:p w14:paraId="648324F8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60" w:type="dxa"/>
          </w:tcPr>
          <w:p w14:paraId="02498A0D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44" w:type="dxa"/>
          </w:tcPr>
          <w:p w14:paraId="7E233B34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506D0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</w:tcPr>
          <w:p w14:paraId="3995CAA1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60" w:type="dxa"/>
          </w:tcPr>
          <w:p w14:paraId="0A89B1D8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60" w:type="dxa"/>
          </w:tcPr>
          <w:p w14:paraId="2AE679FF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60" w:type="dxa"/>
          </w:tcPr>
          <w:p w14:paraId="16694CAB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60" w:type="dxa"/>
          </w:tcPr>
          <w:p w14:paraId="1E5E97C1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60" w:type="dxa"/>
          </w:tcPr>
          <w:p w14:paraId="2BB67D0A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60" w:type="dxa"/>
          </w:tcPr>
          <w:p w14:paraId="411FF361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60" w:type="dxa"/>
          </w:tcPr>
          <w:p w14:paraId="4071165A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60" w:type="dxa"/>
          </w:tcPr>
          <w:p w14:paraId="32CD6F98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44" w:type="dxa"/>
          </w:tcPr>
          <w:p w14:paraId="1EEA6050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63F14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</w:tcPr>
          <w:p w14:paraId="4531A4C6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60" w:type="dxa"/>
          </w:tcPr>
          <w:p w14:paraId="1C15BAA4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60" w:type="dxa"/>
          </w:tcPr>
          <w:p w14:paraId="77274539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60" w:type="dxa"/>
          </w:tcPr>
          <w:p w14:paraId="154EABF2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60" w:type="dxa"/>
          </w:tcPr>
          <w:p w14:paraId="0543E4FB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60" w:type="dxa"/>
          </w:tcPr>
          <w:p w14:paraId="71777318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60" w:type="dxa"/>
          </w:tcPr>
          <w:p w14:paraId="1334CF0E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60" w:type="dxa"/>
          </w:tcPr>
          <w:p w14:paraId="70D88803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60" w:type="dxa"/>
          </w:tcPr>
          <w:p w14:paraId="1E639351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44" w:type="dxa"/>
          </w:tcPr>
          <w:p w14:paraId="3298D541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44B5A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168" w:type="dxa"/>
            <w:gridSpan w:val="10"/>
          </w:tcPr>
          <w:p w14:paraId="68E430F9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hint="eastAsia" w:ascii="Times New Roman" w:hAnsi="Times New Roman" w:eastAsia="微软雅黑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2"/>
                <w:lang w:eastAsia="zh-CN"/>
              </w:rPr>
              <w:t>上年度未进行跨省转移</w:t>
            </w:r>
          </w:p>
        </w:tc>
      </w:tr>
    </w:tbl>
    <w:p w14:paraId="166F46BC">
      <w:pPr>
        <w:snapToGrid w:val="0"/>
        <w:spacing w:before="0" w:beforeAutospacing="0" w:after="200" w:afterAutospacing="0" w:line="440" w:lineRule="exact"/>
        <w:textAlignment w:val="baseline"/>
        <w:rPr>
          <w:rFonts w:ascii="Times New Roman"/>
          <w:b w:val="0"/>
          <w:i w:val="0"/>
          <w:caps w:val="0"/>
          <w:spacing w:val="0"/>
          <w:w w:val="100"/>
          <w:sz w:val="20"/>
        </w:rPr>
      </w:pPr>
      <w:r>
        <w:rPr>
          <w:rFonts w:hint="eastAsia" w:ascii="Times New Roman"/>
          <w:b w:val="0"/>
          <w:i w:val="0"/>
          <w:caps w:val="0"/>
          <w:spacing w:val="0"/>
          <w:w w:val="100"/>
          <w:sz w:val="22"/>
        </w:rPr>
        <w:t>注：每种废物请填写合计量</w:t>
      </w:r>
    </w:p>
    <w:p w14:paraId="7A2783E3">
      <w:pPr>
        <w:snapToGrid w:val="0"/>
        <w:spacing w:before="0" w:beforeAutospacing="0" w:after="200" w:afterAutospacing="0" w:line="440" w:lineRule="exact"/>
        <w:textAlignment w:val="baseline"/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sz w:val="32"/>
          <w:szCs w:val="32"/>
        </w:rPr>
      </w:pPr>
    </w:p>
    <w:sectPr>
      <w:footerReference r:id="rId4" w:type="default"/>
      <w:pgSz w:w="16838" w:h="11906" w:orient="landscape"/>
      <w:pgMar w:top="1803" w:right="1440" w:bottom="1803" w:left="1440" w:header="708" w:footer="709" w:gutter="0"/>
      <w:cols w:space="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FC7B6">
    <w:pPr>
      <w:pStyle w:val="4"/>
      <w:framePr w:wrap="around" w:vAnchor="text" w:hAnchor="margin" w:xAlign="center" w:y="1"/>
      <w:rPr>
        <w:rStyle w:val="9"/>
      </w:rPr>
    </w:pPr>
  </w:p>
  <w:p w14:paraId="25BF5544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0D31D50"/>
    <w:rsid w:val="00010AED"/>
    <w:rsid w:val="00011499"/>
    <w:rsid w:val="000229A6"/>
    <w:rsid w:val="00026BBD"/>
    <w:rsid w:val="00075A44"/>
    <w:rsid w:val="000812DF"/>
    <w:rsid w:val="0008390D"/>
    <w:rsid w:val="00093C85"/>
    <w:rsid w:val="000B2ACE"/>
    <w:rsid w:val="000E1E4D"/>
    <w:rsid w:val="000F12B0"/>
    <w:rsid w:val="00102CB8"/>
    <w:rsid w:val="00123965"/>
    <w:rsid w:val="0013663E"/>
    <w:rsid w:val="001649A7"/>
    <w:rsid w:val="0022487A"/>
    <w:rsid w:val="00251B29"/>
    <w:rsid w:val="002641B2"/>
    <w:rsid w:val="002661EE"/>
    <w:rsid w:val="00275EC6"/>
    <w:rsid w:val="00284081"/>
    <w:rsid w:val="0028576A"/>
    <w:rsid w:val="00287FFE"/>
    <w:rsid w:val="002A5B60"/>
    <w:rsid w:val="002B725B"/>
    <w:rsid w:val="0031291B"/>
    <w:rsid w:val="00323B43"/>
    <w:rsid w:val="00324252"/>
    <w:rsid w:val="00330CE7"/>
    <w:rsid w:val="00340658"/>
    <w:rsid w:val="00361D13"/>
    <w:rsid w:val="003660CB"/>
    <w:rsid w:val="0037396B"/>
    <w:rsid w:val="003749DD"/>
    <w:rsid w:val="00395801"/>
    <w:rsid w:val="003D37D8"/>
    <w:rsid w:val="003F285C"/>
    <w:rsid w:val="003F6405"/>
    <w:rsid w:val="00405813"/>
    <w:rsid w:val="00417E57"/>
    <w:rsid w:val="004229A0"/>
    <w:rsid w:val="00426133"/>
    <w:rsid w:val="004358AB"/>
    <w:rsid w:val="00482353"/>
    <w:rsid w:val="004914DE"/>
    <w:rsid w:val="004C2A76"/>
    <w:rsid w:val="004D7670"/>
    <w:rsid w:val="004E469A"/>
    <w:rsid w:val="004E6049"/>
    <w:rsid w:val="0051572C"/>
    <w:rsid w:val="00522E85"/>
    <w:rsid w:val="005238FC"/>
    <w:rsid w:val="00535312"/>
    <w:rsid w:val="00591575"/>
    <w:rsid w:val="005964A7"/>
    <w:rsid w:val="005B0D17"/>
    <w:rsid w:val="005B6B44"/>
    <w:rsid w:val="005D2EA9"/>
    <w:rsid w:val="005F0C40"/>
    <w:rsid w:val="005F331C"/>
    <w:rsid w:val="00634EE7"/>
    <w:rsid w:val="00653AB7"/>
    <w:rsid w:val="006547F6"/>
    <w:rsid w:val="006553F1"/>
    <w:rsid w:val="006837F4"/>
    <w:rsid w:val="006A1D9B"/>
    <w:rsid w:val="006E5C04"/>
    <w:rsid w:val="006E7443"/>
    <w:rsid w:val="006F0ACA"/>
    <w:rsid w:val="006F1350"/>
    <w:rsid w:val="007320A8"/>
    <w:rsid w:val="00772E89"/>
    <w:rsid w:val="00785B4C"/>
    <w:rsid w:val="007A2AF9"/>
    <w:rsid w:val="007B7F1A"/>
    <w:rsid w:val="007D0DBA"/>
    <w:rsid w:val="007D23F2"/>
    <w:rsid w:val="007E7391"/>
    <w:rsid w:val="0081077F"/>
    <w:rsid w:val="00834C8D"/>
    <w:rsid w:val="00850D69"/>
    <w:rsid w:val="00874B56"/>
    <w:rsid w:val="0089571C"/>
    <w:rsid w:val="008B2572"/>
    <w:rsid w:val="008B7726"/>
    <w:rsid w:val="008D6E09"/>
    <w:rsid w:val="008F7FA5"/>
    <w:rsid w:val="00916820"/>
    <w:rsid w:val="00920004"/>
    <w:rsid w:val="00941FF1"/>
    <w:rsid w:val="0095743E"/>
    <w:rsid w:val="00977F0A"/>
    <w:rsid w:val="00990035"/>
    <w:rsid w:val="009930AE"/>
    <w:rsid w:val="009A0A73"/>
    <w:rsid w:val="009A7DC1"/>
    <w:rsid w:val="009F2B7B"/>
    <w:rsid w:val="009F2F47"/>
    <w:rsid w:val="009F6C9A"/>
    <w:rsid w:val="00A03C67"/>
    <w:rsid w:val="00A07274"/>
    <w:rsid w:val="00A10C31"/>
    <w:rsid w:val="00A15087"/>
    <w:rsid w:val="00A314CC"/>
    <w:rsid w:val="00A45AD3"/>
    <w:rsid w:val="00A47476"/>
    <w:rsid w:val="00A50EFD"/>
    <w:rsid w:val="00A734F0"/>
    <w:rsid w:val="00A74197"/>
    <w:rsid w:val="00A809CA"/>
    <w:rsid w:val="00A95AED"/>
    <w:rsid w:val="00AC0BF1"/>
    <w:rsid w:val="00AD0A96"/>
    <w:rsid w:val="00AD3894"/>
    <w:rsid w:val="00AE129B"/>
    <w:rsid w:val="00B01CFD"/>
    <w:rsid w:val="00B12862"/>
    <w:rsid w:val="00B22983"/>
    <w:rsid w:val="00B2427B"/>
    <w:rsid w:val="00B43AF0"/>
    <w:rsid w:val="00B44D10"/>
    <w:rsid w:val="00B65C92"/>
    <w:rsid w:val="00BB3120"/>
    <w:rsid w:val="00BC256B"/>
    <w:rsid w:val="00BE5688"/>
    <w:rsid w:val="00C462E9"/>
    <w:rsid w:val="00C50414"/>
    <w:rsid w:val="00C50BF9"/>
    <w:rsid w:val="00C914A9"/>
    <w:rsid w:val="00C962C9"/>
    <w:rsid w:val="00CA3651"/>
    <w:rsid w:val="00CA68EF"/>
    <w:rsid w:val="00CA7D7B"/>
    <w:rsid w:val="00CC2D4C"/>
    <w:rsid w:val="00CD3464"/>
    <w:rsid w:val="00D07257"/>
    <w:rsid w:val="00D261A9"/>
    <w:rsid w:val="00D31D50"/>
    <w:rsid w:val="00DA482E"/>
    <w:rsid w:val="00DB16F4"/>
    <w:rsid w:val="00DD171B"/>
    <w:rsid w:val="00DE12D9"/>
    <w:rsid w:val="00E16878"/>
    <w:rsid w:val="00E5759B"/>
    <w:rsid w:val="00E63817"/>
    <w:rsid w:val="00E64E88"/>
    <w:rsid w:val="00E74D28"/>
    <w:rsid w:val="00EA08FB"/>
    <w:rsid w:val="00ED186D"/>
    <w:rsid w:val="00EE3A4A"/>
    <w:rsid w:val="00F7255C"/>
    <w:rsid w:val="00F73C36"/>
    <w:rsid w:val="00FB2FFD"/>
    <w:rsid w:val="00FC71CE"/>
    <w:rsid w:val="00FC783B"/>
    <w:rsid w:val="00FD150B"/>
    <w:rsid w:val="00FD3CB2"/>
    <w:rsid w:val="00FD7434"/>
    <w:rsid w:val="00FF60A3"/>
    <w:rsid w:val="010F450E"/>
    <w:rsid w:val="01BF3EBE"/>
    <w:rsid w:val="01F93C3C"/>
    <w:rsid w:val="030A3167"/>
    <w:rsid w:val="06221EEA"/>
    <w:rsid w:val="084429A8"/>
    <w:rsid w:val="08D72000"/>
    <w:rsid w:val="0B6F7B5A"/>
    <w:rsid w:val="0DDC02D7"/>
    <w:rsid w:val="121F281E"/>
    <w:rsid w:val="141250E6"/>
    <w:rsid w:val="1C450063"/>
    <w:rsid w:val="1EF94219"/>
    <w:rsid w:val="1F6939D7"/>
    <w:rsid w:val="20A93FE1"/>
    <w:rsid w:val="280F3A4F"/>
    <w:rsid w:val="29CF2CA9"/>
    <w:rsid w:val="2CF5520C"/>
    <w:rsid w:val="2D005FF7"/>
    <w:rsid w:val="36FB3B66"/>
    <w:rsid w:val="41C329C8"/>
    <w:rsid w:val="423E1BD4"/>
    <w:rsid w:val="44801DA4"/>
    <w:rsid w:val="45105568"/>
    <w:rsid w:val="456F7AF9"/>
    <w:rsid w:val="46C954D9"/>
    <w:rsid w:val="48594D9F"/>
    <w:rsid w:val="49B30CD4"/>
    <w:rsid w:val="51EF5509"/>
    <w:rsid w:val="555510EA"/>
    <w:rsid w:val="56A03FBC"/>
    <w:rsid w:val="56AF3095"/>
    <w:rsid w:val="56DD4DDB"/>
    <w:rsid w:val="58C94B8F"/>
    <w:rsid w:val="5B215840"/>
    <w:rsid w:val="5C0C5B31"/>
    <w:rsid w:val="5C3407D9"/>
    <w:rsid w:val="5D5270E3"/>
    <w:rsid w:val="5D5960BF"/>
    <w:rsid w:val="5E637A61"/>
    <w:rsid w:val="5F054E74"/>
    <w:rsid w:val="62B869B4"/>
    <w:rsid w:val="632A5F2A"/>
    <w:rsid w:val="64881494"/>
    <w:rsid w:val="6720446F"/>
    <w:rsid w:val="6FA9349B"/>
    <w:rsid w:val="70025F4D"/>
    <w:rsid w:val="72897066"/>
    <w:rsid w:val="74D2204F"/>
    <w:rsid w:val="751A2A49"/>
    <w:rsid w:val="75E8491A"/>
    <w:rsid w:val="79053793"/>
    <w:rsid w:val="7A413590"/>
    <w:rsid w:val="7A713AB7"/>
    <w:rsid w:val="7A83519F"/>
    <w:rsid w:val="7BB67EC4"/>
    <w:rsid w:val="7E65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semiHidden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/>
      <w:kern w:val="2"/>
      <w:sz w:val="21"/>
      <w:szCs w:val="21"/>
    </w:rPr>
  </w:style>
  <w:style w:type="paragraph" w:styleId="3">
    <w:name w:val="Balloon Text"/>
    <w:basedOn w:val="1"/>
    <w:link w:val="16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纯文本 Char"/>
    <w:basedOn w:val="8"/>
    <w:link w:val="2"/>
    <w:semiHidden/>
    <w:qFormat/>
    <w:locked/>
    <w:uiPriority w:val="99"/>
    <w:rPr>
      <w:rFonts w:ascii="宋体" w:hAnsi="Courier New" w:eastAsia="宋体" w:cs="Times New Roman"/>
      <w:kern w:val="2"/>
      <w:sz w:val="21"/>
      <w:szCs w:val="21"/>
    </w:rPr>
  </w:style>
  <w:style w:type="character" w:customStyle="1" w:styleId="11">
    <w:name w:val="页脚 Char"/>
    <w:basedOn w:val="8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2">
    <w:name w:val="页眉 Char"/>
    <w:basedOn w:val="8"/>
    <w:link w:val="5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customStyle="1" w:styleId="13">
    <w:name w:val="默认段落字体 Para Char Char Char1 Char Char Char Char Char Char Char Char Char Char"/>
    <w:basedOn w:val="1"/>
    <w:qFormat/>
    <w:uiPriority w:val="99"/>
    <w:pPr>
      <w:widowControl w:val="0"/>
      <w:adjustRightInd/>
      <w:snapToGrid/>
      <w:spacing w:after="0"/>
      <w:jc w:val="both"/>
    </w:pPr>
    <w:rPr>
      <w:rFonts w:ascii="Times New Roman" w:hAnsi="Times New Roman" w:eastAsia="宋体"/>
      <w:kern w:val="2"/>
      <w:sz w:val="21"/>
      <w:szCs w:val="20"/>
    </w:rPr>
  </w:style>
  <w:style w:type="character" w:customStyle="1" w:styleId="14">
    <w:name w:val="新正文 Char1"/>
    <w:basedOn w:val="8"/>
    <w:link w:val="15"/>
    <w:qFormat/>
    <w:locked/>
    <w:uiPriority w:val="99"/>
    <w:rPr>
      <w:rFonts w:ascii="仿宋_GB2312" w:eastAsia="仿宋_GB2312" w:cs="Times New Roman"/>
      <w:bCs/>
      <w:kern w:val="2"/>
      <w:sz w:val="24"/>
      <w:szCs w:val="24"/>
      <w:lang w:bidi="ar-SA"/>
    </w:rPr>
  </w:style>
  <w:style w:type="paragraph" w:customStyle="1" w:styleId="15">
    <w:name w:val="新正文"/>
    <w:basedOn w:val="1"/>
    <w:link w:val="14"/>
    <w:qFormat/>
    <w:uiPriority w:val="99"/>
    <w:pPr>
      <w:widowControl w:val="0"/>
      <w:adjustRightInd/>
      <w:snapToGrid/>
      <w:spacing w:after="0" w:line="480" w:lineRule="exact"/>
      <w:ind w:firstLine="567"/>
      <w:jc w:val="both"/>
    </w:pPr>
    <w:rPr>
      <w:rFonts w:ascii="仿宋_GB2312" w:hAnsi="Times New Roman" w:eastAsia="仿宋_GB2312"/>
      <w:bCs/>
      <w:kern w:val="2"/>
      <w:sz w:val="28"/>
      <w:szCs w:val="24"/>
    </w:rPr>
  </w:style>
  <w:style w:type="character" w:customStyle="1" w:styleId="16">
    <w:name w:val="批注框文本 Char"/>
    <w:basedOn w:val="8"/>
    <w:link w:val="3"/>
    <w:semiHidden/>
    <w:qFormat/>
    <w:uiPriority w:val="99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3"/>
    <customShpInfo spid="_x0000_s1032"/>
    <customShpInfo spid="_x0000_s1034"/>
    <customShpInfo spid="_x0000_s103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4403</Words>
  <Characters>4894</Characters>
  <Lines>49</Lines>
  <Paragraphs>14</Paragraphs>
  <TotalTime>11</TotalTime>
  <ScaleCrop>false</ScaleCrop>
  <LinksUpToDate>false</LinksUpToDate>
  <CharactersWithSpaces>5268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张润华</dc:creator>
  <cp:lastModifiedBy>烨</cp:lastModifiedBy>
  <cp:lastPrinted>2021-12-02T01:51:00Z</cp:lastPrinted>
  <dcterms:modified xsi:type="dcterms:W3CDTF">2025-07-21T02:02:33Z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04C682ACCEFE42FFBBF1ABB8DCBF3C02</vt:lpwstr>
  </property>
  <property fmtid="{D5CDD505-2E9C-101B-9397-08002B2CF9AE}" pid="4" name="KSOTemplateDocerSaveRecord">
    <vt:lpwstr>eyJoZGlkIjoiZjhmZDViYmJhNjUzZDZlOWQxZGI0NDQ2NjQwMGU4ZmQiLCJ1c2VySWQiOiI3NDc5OTMxNTcifQ==</vt:lpwstr>
  </property>
</Properties>
</file>