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方正小标宋简体" w:cs="Times New Roman"/>
          <w:color w:val="333333"/>
          <w:kern w:val="0"/>
          <w:sz w:val="44"/>
          <w:szCs w:val="44"/>
          <w:shd w:val="clear" w:color="auto" w:fill="FFFFFF"/>
        </w:rPr>
      </w:pPr>
      <w:bookmarkStart w:id="0" w:name="_GoBack"/>
      <w:r>
        <w:rPr>
          <w:rFonts w:hint="default" w:ascii="Times New Roman" w:hAnsi="Times New Roman" w:eastAsia="方正小标宋简体" w:cs="Times New Roman"/>
          <w:color w:val="333333"/>
          <w:kern w:val="0"/>
          <w:sz w:val="44"/>
          <w:szCs w:val="44"/>
          <w:shd w:val="clear" w:color="auto" w:fill="FFFFFF"/>
        </w:rPr>
        <w:t>“十链千企”产业链对接系列活动方案</w:t>
      </w:r>
    </w:p>
    <w:bookmarkEnd w:id="0"/>
    <w:p>
      <w:pPr>
        <w:adjustRightInd w:val="0"/>
        <w:snapToGrid w:val="0"/>
        <w:spacing w:line="500" w:lineRule="exact"/>
        <w:ind w:firstLine="640" w:firstLineChars="200"/>
        <w:jc w:val="left"/>
        <w:rPr>
          <w:rFonts w:hint="default" w:ascii="Times New Roman" w:hAnsi="Times New Roman" w:eastAsia="仿宋_GB2312" w:cs="Times New Roman"/>
          <w:color w:val="333333"/>
          <w:kern w:val="0"/>
          <w:sz w:val="32"/>
          <w:szCs w:val="32"/>
          <w:shd w:val="clear" w:color="auto" w:fill="FFFFFF"/>
        </w:rPr>
      </w:pPr>
    </w:p>
    <w:p>
      <w:pPr>
        <w:adjustRightInd w:val="0"/>
        <w:snapToGrid w:val="0"/>
        <w:spacing w:line="560" w:lineRule="exact"/>
        <w:ind w:firstLine="640" w:firstLineChars="200"/>
        <w:jc w:val="left"/>
        <w:rPr>
          <w:rFonts w:hint="default" w:ascii="Times New Roman" w:hAnsi="Times New Roman" w:eastAsia="仿宋_GB2312" w:cs="Times New Roman"/>
          <w:color w:val="333333"/>
          <w:kern w:val="0"/>
          <w:sz w:val="32"/>
          <w:szCs w:val="32"/>
          <w:shd w:val="clear" w:color="auto" w:fill="FFFFFF"/>
          <w:lang w:bidi="ar"/>
        </w:rPr>
      </w:pPr>
      <w:r>
        <w:rPr>
          <w:rFonts w:hint="default" w:ascii="Times New Roman" w:hAnsi="Times New Roman" w:eastAsia="仿宋_GB2312" w:cs="Times New Roman"/>
          <w:color w:val="333333"/>
          <w:kern w:val="0"/>
          <w:sz w:val="32"/>
          <w:szCs w:val="32"/>
          <w:shd w:val="clear" w:color="auto" w:fill="FFFFFF"/>
          <w:lang w:bidi="ar"/>
        </w:rPr>
        <w:t>为持续升级壮大武进“95X”先进制造业集群，加快落实省“1650”和市“1028”产业体系建设部署，推动链主企业、龙头企业、骨干企业和中小企业协同生产、融通创新，促进创新链产业链资金链人才链服务链深度融合，经研究，决定在全区范围内开展“十链千企”产业链对接系列活动，具体方案如下：</w:t>
      </w:r>
    </w:p>
    <w:p>
      <w:pPr>
        <w:adjustRightInd w:val="0"/>
        <w:snapToGrid w:val="0"/>
        <w:spacing w:line="560" w:lineRule="exact"/>
        <w:ind w:firstLine="640" w:firstLineChars="200"/>
        <w:jc w:val="left"/>
        <w:rPr>
          <w:rFonts w:hint="default" w:ascii="Times New Roman" w:hAnsi="Times New Roman" w:eastAsia="方正小标宋简体" w:cs="Times New Roman"/>
          <w:bCs/>
          <w:color w:val="333333"/>
          <w:sz w:val="32"/>
          <w:szCs w:val="32"/>
        </w:rPr>
      </w:pPr>
      <w:r>
        <w:rPr>
          <w:rStyle w:val="15"/>
          <w:rFonts w:hint="default" w:ascii="Times New Roman" w:hAnsi="Times New Roman" w:eastAsia="方正小标宋简体" w:cs="Times New Roman"/>
          <w:b w:val="0"/>
          <w:bCs/>
          <w:color w:val="333333"/>
          <w:sz w:val="32"/>
          <w:szCs w:val="32"/>
          <w:shd w:val="clear" w:color="auto" w:fill="FFFFFF"/>
        </w:rPr>
        <w:t>一、活动目标</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建立多部门协作、多机构参与、多链条互动的组织架构，集聚知识产权服务机构、高等院校、科研院所、金融机构等各方资源，为产业链链主企业、龙头企业、骨干企业和中小企业搭建交流、展示、服务、对接平台，推动更多中小企业融入龙头企业和骨干企业创新链、供应链，通过提升创业链活跃度和供应链强韧度，提高产业链竞争力，助推新质生产力发展。</w:t>
      </w:r>
    </w:p>
    <w:p>
      <w:pPr>
        <w:pStyle w:val="10"/>
        <w:widowControl/>
        <w:shd w:val="clear" w:color="auto" w:fill="FFFFFF"/>
        <w:spacing w:beforeAutospacing="0" w:afterAutospacing="0" w:line="560" w:lineRule="exact"/>
        <w:ind w:firstLine="640" w:firstLineChars="200"/>
        <w:rPr>
          <w:rFonts w:hint="default" w:ascii="Times New Roman" w:hAnsi="Times New Roman" w:eastAsia="方正小标宋简体" w:cs="Times New Roman"/>
          <w:bCs/>
          <w:color w:val="333333"/>
          <w:sz w:val="32"/>
          <w:szCs w:val="32"/>
        </w:rPr>
      </w:pPr>
      <w:r>
        <w:rPr>
          <w:rStyle w:val="15"/>
          <w:rFonts w:hint="default" w:ascii="Times New Roman" w:hAnsi="Times New Roman" w:eastAsia="方正小标宋简体" w:cs="Times New Roman"/>
          <w:b w:val="0"/>
          <w:bCs/>
          <w:color w:val="333333"/>
          <w:sz w:val="32"/>
          <w:szCs w:val="32"/>
          <w:shd w:val="clear" w:color="auto" w:fill="FFFFFF"/>
        </w:rPr>
        <w:t>二、活动时间</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shd w:val="clear" w:color="auto" w:fill="FFFFFF"/>
        </w:rPr>
        <w:t>2025年全年。</w:t>
      </w:r>
    </w:p>
    <w:p>
      <w:pPr>
        <w:pStyle w:val="10"/>
        <w:widowControl/>
        <w:shd w:val="clear" w:color="auto" w:fill="FFFFFF"/>
        <w:spacing w:beforeAutospacing="0" w:afterAutospacing="0" w:line="560" w:lineRule="exact"/>
        <w:ind w:firstLine="640" w:firstLineChars="200"/>
        <w:rPr>
          <w:rFonts w:hint="default" w:ascii="Times New Roman" w:hAnsi="Times New Roman" w:eastAsia="方正小标宋简体" w:cs="Times New Roman"/>
          <w:bCs/>
          <w:color w:val="333333"/>
          <w:sz w:val="32"/>
          <w:szCs w:val="32"/>
        </w:rPr>
      </w:pPr>
      <w:r>
        <w:rPr>
          <w:rStyle w:val="15"/>
          <w:rFonts w:hint="default" w:ascii="Times New Roman" w:hAnsi="Times New Roman" w:eastAsia="方正小标宋简体" w:cs="Times New Roman"/>
          <w:b w:val="0"/>
          <w:bCs/>
          <w:color w:val="333333"/>
          <w:sz w:val="32"/>
          <w:szCs w:val="32"/>
          <w:shd w:val="clear" w:color="auto" w:fill="FFFFFF"/>
        </w:rPr>
        <w:t>三、活动内容</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rPr>
        <w:t>1.</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活动形式。</w:t>
      </w:r>
      <w:r>
        <w:rPr>
          <w:rFonts w:hint="default" w:ascii="Times New Roman" w:hAnsi="Times New Roman" w:eastAsia="仿宋_GB2312" w:cs="Times New Roman"/>
          <w:color w:val="333333"/>
          <w:sz w:val="32"/>
          <w:szCs w:val="32"/>
          <w:shd w:val="clear" w:color="auto" w:fill="FFFFFF"/>
        </w:rPr>
        <w:t>组织开展产业链专场对接活动。以各产业链链主企业、龙头企业为依托，汇集各镇、开发区，区级各部门，各专业服务商力量，组织开展新能源汽车、高端农机、工程机械等产业链对接活动。</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rPr>
        <w:t>2.</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活动时间</w:t>
      </w:r>
      <w:r>
        <w:rPr>
          <w:rFonts w:hint="eastAsia" w:ascii="Times New Roman" w:hAnsi="Times New Roman" w:eastAsia="楷体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按照“月月有活动，时时在跟踪”的原则，1月至12月，每月组织一条优势产业链开展对接交流活动（见附件），并常态化协调解决对接交流收集的问题和需求；12月底召开总结会议，各单位和企业代表交流对接活动经验，指导下一轮对接活动更科学有效开展。</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rPr>
        <w:t>3.</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对接内容。</w:t>
      </w:r>
      <w:r>
        <w:rPr>
          <w:rFonts w:hint="default" w:ascii="Times New Roman" w:hAnsi="Times New Roman" w:eastAsia="仿宋_GB2312" w:cs="Times New Roman"/>
          <w:color w:val="333333"/>
          <w:sz w:val="32"/>
          <w:szCs w:val="32"/>
          <w:shd w:val="clear" w:color="auto" w:fill="FFFFFF"/>
        </w:rPr>
        <w:t>采取“N+N+1”模式，充分发挥区级各部门职能，优选“N家”知识产权、金融服务、高校院所等机构，组织“N家”产业链上下游中小微企业，调动1家以上链主企业和龙头企业，开放创新链和供应链资源，结合产业链发展实际需求，开展供需对接、专利发布、路演展示、投融资对接等活动。</w:t>
      </w:r>
    </w:p>
    <w:p>
      <w:pPr>
        <w:pStyle w:val="10"/>
        <w:widowControl/>
        <w:shd w:val="clear" w:color="auto" w:fill="FFFFFF"/>
        <w:spacing w:beforeAutospacing="0" w:afterAutospacing="0" w:line="560" w:lineRule="exact"/>
        <w:ind w:firstLine="640" w:firstLineChars="200"/>
        <w:rPr>
          <w:rFonts w:hint="default" w:ascii="Times New Roman" w:hAnsi="Times New Roman" w:eastAsia="方正小标宋简体" w:cs="Times New Roman"/>
          <w:bCs/>
          <w:color w:val="333333"/>
          <w:sz w:val="32"/>
          <w:szCs w:val="32"/>
        </w:rPr>
      </w:pPr>
      <w:r>
        <w:rPr>
          <w:rStyle w:val="15"/>
          <w:rFonts w:hint="default" w:ascii="Times New Roman" w:hAnsi="Times New Roman" w:eastAsia="方正小标宋简体" w:cs="Times New Roman"/>
          <w:b w:val="0"/>
          <w:bCs/>
          <w:color w:val="333333"/>
          <w:sz w:val="32"/>
          <w:szCs w:val="32"/>
          <w:shd w:val="clear" w:color="auto" w:fill="FFFFFF"/>
        </w:rPr>
        <w:t>四、工作要求</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highlight w:val="cyan"/>
          <w:shd w:val="clear" w:color="auto" w:fill="FFFFFF"/>
        </w:rPr>
      </w:pPr>
      <w:r>
        <w:rPr>
          <w:rFonts w:hint="default" w:ascii="Times New Roman" w:hAnsi="Times New Roman" w:eastAsia="楷体_GB2312" w:cs="Times New Roman"/>
          <w:color w:val="333333"/>
          <w:sz w:val="32"/>
          <w:szCs w:val="32"/>
          <w:shd w:val="clear" w:color="auto" w:fill="FFFFFF"/>
        </w:rPr>
        <w:t>1.</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加强组织领导。</w:t>
      </w:r>
      <w:r>
        <w:rPr>
          <w:rFonts w:hint="default" w:ascii="Times New Roman" w:hAnsi="Times New Roman" w:eastAsia="仿宋_GB2312" w:cs="Times New Roman"/>
          <w:color w:val="333333"/>
          <w:sz w:val="32"/>
          <w:szCs w:val="32"/>
          <w:shd w:val="clear" w:color="auto" w:fill="FFFFFF"/>
        </w:rPr>
        <w:t>区政府成立</w:t>
      </w:r>
      <w:r>
        <w:rPr>
          <w:rFonts w:hint="default" w:ascii="Times New Roman" w:hAnsi="Times New Roman" w:eastAsia="仿宋_GB2312" w:cs="Times New Roman"/>
          <w:color w:val="333333"/>
          <w:sz w:val="32"/>
          <w:szCs w:val="32"/>
          <w:shd w:val="clear" w:color="auto" w:fill="FFFFFF"/>
          <w:lang w:bidi="ar"/>
        </w:rPr>
        <w:t>“十链千企”产业链对接活动专班，由区政府区长任专班组长，分管工业的副区长任副组长，政府办、</w:t>
      </w:r>
      <w:r>
        <w:rPr>
          <w:rFonts w:hint="default" w:ascii="Times New Roman" w:hAnsi="Times New Roman" w:eastAsia="仿宋_GB2312" w:cs="Times New Roman"/>
          <w:color w:val="333333"/>
          <w:sz w:val="32"/>
          <w:szCs w:val="32"/>
          <w:shd w:val="clear" w:color="auto" w:fill="FFFFFF"/>
          <w:lang w:eastAsia="zh-CN" w:bidi="ar"/>
        </w:rPr>
        <w:t>组织部（人才办）、</w:t>
      </w:r>
      <w:r>
        <w:rPr>
          <w:rFonts w:hint="default" w:ascii="Times New Roman" w:hAnsi="Times New Roman" w:eastAsia="仿宋_GB2312" w:cs="Times New Roman"/>
          <w:color w:val="333333"/>
          <w:sz w:val="32"/>
          <w:szCs w:val="32"/>
          <w:shd w:val="clear" w:color="auto" w:fill="FFFFFF"/>
          <w:lang w:bidi="ar"/>
        </w:rPr>
        <w:t>发改局、科技局、工信局、</w:t>
      </w:r>
      <w:r>
        <w:rPr>
          <w:rFonts w:hint="default" w:ascii="Times New Roman" w:hAnsi="Times New Roman" w:eastAsia="仿宋_GB2312" w:cs="Times New Roman"/>
          <w:color w:val="333333"/>
          <w:sz w:val="32"/>
          <w:szCs w:val="32"/>
          <w:shd w:val="clear" w:color="auto" w:fill="FFFFFF"/>
          <w:lang w:eastAsia="zh-CN" w:bidi="ar"/>
        </w:rPr>
        <w:t>财政局、人社局、</w:t>
      </w:r>
      <w:r>
        <w:rPr>
          <w:rFonts w:hint="default" w:ascii="Times New Roman" w:hAnsi="Times New Roman" w:eastAsia="仿宋_GB2312" w:cs="Times New Roman"/>
          <w:color w:val="333333"/>
          <w:sz w:val="32"/>
          <w:szCs w:val="32"/>
          <w:shd w:val="clear" w:color="auto" w:fill="FFFFFF"/>
          <w:lang w:bidi="ar"/>
        </w:rPr>
        <w:t>商务局、</w:t>
      </w:r>
      <w:r>
        <w:rPr>
          <w:rFonts w:hint="default" w:ascii="Times New Roman" w:hAnsi="Times New Roman" w:eastAsia="仿宋_GB2312" w:cs="Times New Roman"/>
          <w:color w:val="333333"/>
          <w:sz w:val="32"/>
          <w:szCs w:val="32"/>
          <w:shd w:val="clear" w:color="auto" w:fill="FFFFFF"/>
          <w:lang w:eastAsia="zh-CN" w:bidi="ar"/>
        </w:rPr>
        <w:t>数据局、</w:t>
      </w:r>
      <w:r>
        <w:rPr>
          <w:rFonts w:hint="default" w:ascii="Times New Roman" w:hAnsi="Times New Roman" w:eastAsia="仿宋_GB2312" w:cs="Times New Roman"/>
          <w:color w:val="333333"/>
          <w:sz w:val="32"/>
          <w:szCs w:val="32"/>
          <w:shd w:val="clear" w:color="auto" w:fill="FFFFFF"/>
          <w:lang w:bidi="ar"/>
        </w:rPr>
        <w:t>市场监管局</w:t>
      </w:r>
      <w:r>
        <w:rPr>
          <w:rFonts w:hint="default" w:ascii="Times New Roman" w:hAnsi="Times New Roman" w:eastAsia="仿宋_GB2312" w:cs="Times New Roman"/>
          <w:color w:val="333333"/>
          <w:sz w:val="32"/>
          <w:szCs w:val="32"/>
          <w:shd w:val="clear" w:color="auto" w:fill="FFFFFF"/>
          <w:lang w:eastAsia="zh-CN" w:bidi="ar"/>
        </w:rPr>
        <w:t>、税务局</w:t>
      </w:r>
      <w:r>
        <w:rPr>
          <w:rFonts w:hint="eastAsia" w:ascii="Times New Roman" w:hAnsi="Times New Roman" w:eastAsia="仿宋_GB2312" w:cs="Times New Roman"/>
          <w:color w:val="333333"/>
          <w:sz w:val="32"/>
          <w:szCs w:val="32"/>
          <w:shd w:val="clear" w:color="auto" w:fill="FFFFFF"/>
          <w:lang w:eastAsia="zh-CN" w:bidi="ar"/>
        </w:rPr>
        <w:t>、</w:t>
      </w:r>
      <w:r>
        <w:rPr>
          <w:rFonts w:hint="default" w:ascii="Times New Roman" w:hAnsi="Times New Roman" w:eastAsia="仿宋_GB2312" w:cs="Times New Roman"/>
          <w:color w:val="333333"/>
          <w:sz w:val="32"/>
          <w:szCs w:val="32"/>
          <w:shd w:val="clear" w:color="auto" w:fill="FFFFFF"/>
          <w:lang w:eastAsia="zh-CN" w:bidi="ar"/>
        </w:rPr>
        <w:t>工商联各相关国企平台公司</w:t>
      </w:r>
      <w:r>
        <w:rPr>
          <w:rFonts w:hint="default" w:ascii="Times New Roman" w:hAnsi="Times New Roman" w:eastAsia="仿宋_GB2312" w:cs="Times New Roman"/>
          <w:color w:val="333333"/>
          <w:sz w:val="32"/>
          <w:szCs w:val="32"/>
          <w:shd w:val="clear" w:color="auto" w:fill="FFFFFF"/>
          <w:lang w:bidi="ar"/>
        </w:rPr>
        <w:t>等部门任专班成员，专班日常工作由区工信局负责组织协调。</w:t>
      </w:r>
      <w:r>
        <w:rPr>
          <w:rFonts w:hint="default" w:ascii="Times New Roman" w:hAnsi="Times New Roman" w:eastAsia="仿宋_GB2312" w:cs="Times New Roman"/>
          <w:color w:val="333333"/>
          <w:sz w:val="32"/>
          <w:szCs w:val="32"/>
          <w:shd w:val="clear" w:color="auto" w:fill="FFFFFF"/>
        </w:rPr>
        <w:t>各镇、开发区经发局（办）确定专人负责产业链对接活动相关工作。</w:t>
      </w:r>
    </w:p>
    <w:p>
      <w:pPr>
        <w:pStyle w:val="10"/>
        <w:widowControl/>
        <w:shd w:val="clear" w:color="auto" w:fill="FFFFFF"/>
        <w:spacing w:beforeAutospacing="0" w:afterAutospacing="0" w:line="560" w:lineRule="exact"/>
        <w:ind w:firstLine="640" w:firstLineChars="200"/>
        <w:rPr>
          <w:rFonts w:hint="default" w:ascii="Times New Roman" w:hAnsi="Times New Roman" w:eastAsia="楷体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rPr>
        <w:t>2.</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加强工作支撑。</w:t>
      </w:r>
      <w:r>
        <w:rPr>
          <w:rFonts w:hint="default" w:ascii="Times New Roman" w:hAnsi="Times New Roman" w:eastAsia="仿宋_GB2312" w:cs="Times New Roman"/>
          <w:color w:val="333333"/>
          <w:sz w:val="32"/>
          <w:szCs w:val="32"/>
          <w:shd w:val="clear" w:color="auto" w:fill="FFFFFF"/>
        </w:rPr>
        <w:t>支持各镇、开发区聚焦本地产业链，部门聚焦本职业务，单独或协同开展专题产业链对接交流活动，对列入专班计划的产业链对接活动，由专班承担50%的活动费用，单场承担最高不超过5万元；鼓励有影响力的产业链龙头企业组织召开供应商大会，单场支持最高不超过50万元；对未列入专班计划，确有需要举办的产业链对接活动，经报专班组长同意，按相同政策执行。</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rPr>
      </w:pPr>
      <w:r>
        <w:rPr>
          <w:rFonts w:hint="default" w:ascii="Times New Roman" w:hAnsi="Times New Roman" w:eastAsia="楷体_GB2312" w:cs="Times New Roman"/>
          <w:color w:val="333333"/>
          <w:sz w:val="32"/>
          <w:szCs w:val="32"/>
          <w:shd w:val="clear" w:color="auto" w:fill="FFFFFF"/>
        </w:rPr>
        <w:t>3.</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做好活动分工。</w:t>
      </w:r>
      <w:r>
        <w:rPr>
          <w:rFonts w:hint="default" w:ascii="Times New Roman" w:hAnsi="Times New Roman" w:eastAsia="仿宋_GB2312" w:cs="Times New Roman"/>
          <w:color w:val="333333"/>
          <w:sz w:val="32"/>
          <w:szCs w:val="32"/>
          <w:shd w:val="clear" w:color="auto" w:fill="FFFFFF"/>
        </w:rPr>
        <w:t>工信局要聚焦各特色优势产业链发展特点，提前摸排大企业需求，根据企业合作意愿以及能力匹配程度，会同各镇、开发区广泛动员产业链上下游中小微企业，做好会前沟通指导，确定预对接企业名单，提升对接精准度和成功率；专班各部门要根据部门职责协调解决收集的问题和需求，优选各相关机构参与对接活动；开发区要充分发挥国家先进制造业集群、中小企业特色产业集群的产业集聚优势，广泛动员本地中小微企业，做好对接活动的支撑保障；各镇要广泛动员本地中小微企业积极参加对接活动。</w:t>
      </w:r>
    </w:p>
    <w:p>
      <w:pPr>
        <w:pStyle w:val="10"/>
        <w:widowControl/>
        <w:shd w:val="clear" w:color="auto" w:fill="FFFFFF"/>
        <w:spacing w:beforeAutospacing="0" w:afterAutospacing="0" w:line="560" w:lineRule="exact"/>
        <w:ind w:firstLine="640" w:firstLineChars="200"/>
        <w:rPr>
          <w:rFonts w:hint="default" w:ascii="Times New Roman" w:hAnsi="Times New Roman" w:eastAsia="仿宋_GB2312" w:cs="Times New Roman"/>
          <w:color w:val="333333"/>
          <w:sz w:val="32"/>
          <w:szCs w:val="32"/>
        </w:rPr>
      </w:pPr>
      <w:r>
        <w:rPr>
          <w:rFonts w:hint="default" w:ascii="Times New Roman" w:hAnsi="Times New Roman" w:eastAsia="楷体_GB2312" w:cs="Times New Roman"/>
          <w:color w:val="333333"/>
          <w:sz w:val="32"/>
          <w:szCs w:val="32"/>
          <w:shd w:val="clear" w:color="auto" w:fill="FFFFFF"/>
        </w:rPr>
        <w:t>4.</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丰富活动形式。</w:t>
      </w:r>
      <w:r>
        <w:rPr>
          <w:rFonts w:hint="default" w:ascii="Times New Roman" w:hAnsi="Times New Roman" w:eastAsia="仿宋_GB2312" w:cs="Times New Roman"/>
          <w:color w:val="333333"/>
          <w:sz w:val="32"/>
          <w:szCs w:val="32"/>
          <w:shd w:val="clear" w:color="auto" w:fill="FFFFFF"/>
        </w:rPr>
        <w:t>根据各优势产业链发展特点和发展需求，围绕上下游供需对接、科技成果转化、投融资服务、数字化转型等主题，明确每场活动一个或数个对接内容，将产业链对接工作与区委区政府中心工作和部门职责相结合开展，提升活动成效。</w:t>
      </w:r>
    </w:p>
    <w:p>
      <w:pPr>
        <w:pStyle w:val="9"/>
        <w:ind w:firstLine="640" w:firstLineChars="200"/>
        <w:rPr>
          <w:rFonts w:hint="default" w:ascii="Times New Roman" w:hAnsi="Times New Roman" w:cs="Times New Roman"/>
        </w:rPr>
      </w:pPr>
      <w:r>
        <w:rPr>
          <w:rFonts w:hint="default" w:ascii="Times New Roman" w:hAnsi="Times New Roman" w:eastAsia="楷体_GB2312" w:cs="Times New Roman"/>
          <w:color w:val="333333"/>
          <w:sz w:val="32"/>
          <w:szCs w:val="32"/>
          <w:shd w:val="clear" w:color="auto" w:fill="FFFFFF"/>
        </w:rPr>
        <w:t>5.</w:t>
      </w:r>
      <w:r>
        <w:rPr>
          <w:rFonts w:hint="default" w:ascii="Times New Roman" w:hAnsi="Times New Roman" w:eastAsia="楷体_GB2312" w:cs="Times New Roman"/>
          <w:color w:val="333333"/>
          <w:sz w:val="32"/>
          <w:szCs w:val="32"/>
          <w:shd w:val="clear" w:color="auto" w:fill="FFFFFF"/>
          <w:lang w:val="en-US" w:eastAsia="zh-CN"/>
        </w:rPr>
        <w:t xml:space="preserve"> </w:t>
      </w:r>
      <w:r>
        <w:rPr>
          <w:rFonts w:hint="default" w:ascii="Times New Roman" w:hAnsi="Times New Roman" w:eastAsia="楷体_GB2312" w:cs="Times New Roman"/>
          <w:color w:val="333333"/>
          <w:sz w:val="32"/>
          <w:szCs w:val="32"/>
          <w:shd w:val="clear" w:color="auto" w:fill="FFFFFF"/>
        </w:rPr>
        <w:t>做好信息报送。</w:t>
      </w:r>
      <w:r>
        <w:rPr>
          <w:rFonts w:hint="default" w:ascii="Times New Roman" w:hAnsi="Times New Roman" w:eastAsia="仿宋_GB2312" w:cs="Times New Roman"/>
          <w:color w:val="333333"/>
          <w:sz w:val="32"/>
          <w:szCs w:val="32"/>
          <w:shd w:val="clear" w:color="auto" w:fill="FFFFFF"/>
        </w:rPr>
        <w:t>各镇、开发区和区各部门要做好对接活动期间和后续跟踪服务的信息报送工作，关注对接成效，深挖典型案例，在活动举办后及时报送活动信息和成效。</w:t>
      </w: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5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“十链千企”产业链对接系列活动表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36"/>
          <w:szCs w:val="36"/>
        </w:rPr>
      </w:pPr>
    </w:p>
    <w:tbl>
      <w:tblPr>
        <w:tblStyle w:val="1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111"/>
        <w:gridCol w:w="2523"/>
        <w:gridCol w:w="208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9" w:type="dxa"/>
          </w:tcPr>
          <w:p>
            <w:pPr>
              <w:spacing w:line="5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111" w:type="dxa"/>
          </w:tcPr>
          <w:p>
            <w:pPr>
              <w:spacing w:line="5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时间</w:t>
            </w:r>
          </w:p>
        </w:tc>
        <w:tc>
          <w:tcPr>
            <w:tcW w:w="2523" w:type="dxa"/>
          </w:tcPr>
          <w:p>
            <w:pPr>
              <w:spacing w:line="5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产业链</w:t>
            </w:r>
          </w:p>
        </w:tc>
        <w:tc>
          <w:tcPr>
            <w:tcW w:w="2087" w:type="dxa"/>
          </w:tcPr>
          <w:p>
            <w:pPr>
              <w:spacing w:line="5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活动主题</w:t>
            </w:r>
          </w:p>
        </w:tc>
        <w:tc>
          <w:tcPr>
            <w:tcW w:w="2448" w:type="dxa"/>
          </w:tcPr>
          <w:p>
            <w:pPr>
              <w:spacing w:line="5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909"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111" w:type="dxa"/>
            <w:vAlign w:val="center"/>
          </w:tcPr>
          <w:p>
            <w:pPr>
              <w:spacing w:line="50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1月</w:t>
            </w:r>
          </w:p>
        </w:tc>
        <w:tc>
          <w:tcPr>
            <w:tcW w:w="2523"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新能源汽车零部件</w:t>
            </w:r>
          </w:p>
        </w:tc>
        <w:tc>
          <w:tcPr>
            <w:tcW w:w="2087"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供应链对接</w:t>
            </w:r>
          </w:p>
        </w:tc>
        <w:tc>
          <w:tcPr>
            <w:tcW w:w="2448" w:type="dxa"/>
            <w:vAlign w:val="center"/>
          </w:tcPr>
          <w:p>
            <w:pPr>
              <w:spacing w:line="3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highlight w:val="none"/>
                <w:lang w:val="en-US" w:eastAsia="zh-CN"/>
              </w:rPr>
              <w:t>工信局</w:t>
            </w:r>
            <w:r>
              <w:rPr>
                <w:rFonts w:hint="eastAsia" w:ascii="微软雅黑" w:hAnsi="微软雅黑" w:eastAsia="微软雅黑" w:cs="微软雅黑"/>
                <w:sz w:val="28"/>
                <w:szCs w:val="28"/>
                <w:highlight w:val="none"/>
                <w:lang w:val="en-US" w:eastAsia="zh-CN"/>
              </w:rPr>
              <w:sym w:font="Wingdings" w:char="00AB"/>
            </w:r>
            <w:r>
              <w:rPr>
                <w:rFonts w:hint="eastAsia"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lang w:val="en-US" w:eastAsia="zh-CN"/>
              </w:rPr>
              <w:t>商务局、各镇、开发区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09" w:type="dxa"/>
            <w:vAlign w:val="center"/>
          </w:tcPr>
          <w:p>
            <w:pPr>
              <w:spacing w:line="50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1111" w:type="dxa"/>
            <w:vAlign w:val="center"/>
          </w:tcPr>
          <w:p>
            <w:pPr>
              <w:spacing w:line="500" w:lineRule="exact"/>
              <w:jc w:val="center"/>
              <w:rPr>
                <w:rFonts w:hint="default" w:ascii="Times New Roman" w:hAnsi="Times New Roman" w:eastAsia="仿宋_GB2312" w:cs="Times New Roman"/>
                <w:sz w:val="32"/>
                <w:szCs w:val="32"/>
                <w:highlight w:val="green"/>
                <w:lang w:val="en-US" w:eastAsia="zh-CN"/>
              </w:rPr>
            </w:pPr>
            <w:r>
              <w:rPr>
                <w:rFonts w:hint="eastAsia" w:ascii="Times New Roman" w:hAnsi="Times New Roman" w:eastAsia="仿宋_GB2312" w:cs="Times New Roman"/>
                <w:sz w:val="32"/>
                <w:szCs w:val="32"/>
                <w:highlight w:val="none"/>
                <w:lang w:val="en-US" w:eastAsia="zh-CN"/>
              </w:rPr>
              <w:t>2月</w:t>
            </w:r>
          </w:p>
        </w:tc>
        <w:tc>
          <w:tcPr>
            <w:tcW w:w="2523" w:type="dxa"/>
            <w:vAlign w:val="center"/>
          </w:tcPr>
          <w:p>
            <w:pPr>
              <w:spacing w:line="300" w:lineRule="exact"/>
              <w:jc w:val="center"/>
              <w:rPr>
                <w:rFonts w:hint="eastAsia" w:ascii="Times New Roman" w:hAnsi="Times New Roman" w:eastAsia="仿宋_GB2312" w:cs="Times New Roman"/>
                <w:sz w:val="28"/>
                <w:szCs w:val="28"/>
                <w:highlight w:val="green"/>
              </w:rPr>
            </w:pPr>
            <w:r>
              <w:rPr>
                <w:rFonts w:hint="eastAsia" w:ascii="Times New Roman" w:hAnsi="Times New Roman" w:eastAsia="仿宋_GB2312" w:cs="Times New Roman"/>
                <w:sz w:val="28"/>
                <w:szCs w:val="28"/>
                <w:highlight w:val="none"/>
              </w:rPr>
              <w:t>车联网及智能网联汽车</w:t>
            </w:r>
          </w:p>
        </w:tc>
        <w:tc>
          <w:tcPr>
            <w:tcW w:w="2087" w:type="dxa"/>
            <w:vAlign w:val="center"/>
          </w:tcPr>
          <w:p>
            <w:pPr>
              <w:spacing w:line="300" w:lineRule="exact"/>
              <w:jc w:val="center"/>
              <w:rPr>
                <w:rFonts w:hint="eastAsia" w:ascii="Times New Roman" w:hAnsi="Times New Roman" w:eastAsia="仿宋_GB2312" w:cs="Times New Roman"/>
                <w:sz w:val="28"/>
                <w:szCs w:val="28"/>
                <w:highlight w:val="green"/>
              </w:rPr>
            </w:pPr>
            <w:r>
              <w:rPr>
                <w:rFonts w:hint="eastAsia" w:ascii="Times New Roman" w:hAnsi="Times New Roman" w:eastAsia="仿宋_GB2312" w:cs="Times New Roman"/>
                <w:sz w:val="28"/>
                <w:szCs w:val="28"/>
                <w:highlight w:val="none"/>
              </w:rPr>
              <w:t>产业链对接、应用推广</w:t>
            </w:r>
          </w:p>
        </w:tc>
        <w:tc>
          <w:tcPr>
            <w:tcW w:w="2448" w:type="dxa"/>
            <w:vAlign w:val="center"/>
          </w:tcPr>
          <w:p>
            <w:pPr>
              <w:spacing w:line="300" w:lineRule="exact"/>
              <w:jc w:val="center"/>
              <w:rPr>
                <w:rFonts w:hint="eastAsia" w:ascii="Times New Roman" w:hAnsi="Times New Roman" w:eastAsia="仿宋_GB2312" w:cs="Times New Roman"/>
                <w:sz w:val="28"/>
                <w:szCs w:val="28"/>
                <w:highlight w:val="green"/>
                <w:lang w:val="en-US" w:eastAsia="zh-CN"/>
              </w:rPr>
            </w:pPr>
            <w:r>
              <w:rPr>
                <w:rFonts w:hint="eastAsia" w:ascii="Times New Roman" w:hAnsi="Times New Roman" w:eastAsia="仿宋_GB2312" w:cs="Times New Roman"/>
                <w:sz w:val="28"/>
                <w:szCs w:val="28"/>
                <w:lang w:val="en-US" w:eastAsia="zh-CN"/>
              </w:rPr>
              <w:t>高新区、工信局</w:t>
            </w:r>
            <w:r>
              <w:rPr>
                <w:rFonts w:hint="eastAsia" w:ascii="Times New Roman" w:hAnsi="Times New Roman" w:eastAsia="仿宋_GB2312" w:cs="Times New Roman"/>
                <w:sz w:val="28"/>
                <w:szCs w:val="28"/>
                <w:lang w:val="en-US" w:eastAsia="zh-CN"/>
              </w:rPr>
              <w:sym w:font="Wingdings" w:char="00AB"/>
            </w:r>
            <w:r>
              <w:rPr>
                <w:rFonts w:hint="eastAsia" w:ascii="Times New Roman" w:hAnsi="Times New Roman" w:eastAsia="仿宋_GB2312" w:cs="Times New Roman"/>
                <w:sz w:val="28"/>
                <w:szCs w:val="28"/>
                <w:lang w:val="en-US" w:eastAsia="zh-CN"/>
              </w:rPr>
              <w:t>、公安局、交通运输局、电信运营商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909" w:type="dxa"/>
            <w:vAlign w:val="center"/>
          </w:tcPr>
          <w:p>
            <w:pPr>
              <w:spacing w:line="50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p>
        </w:tc>
        <w:tc>
          <w:tcPr>
            <w:tcW w:w="1111"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3月</w:t>
            </w:r>
          </w:p>
        </w:tc>
        <w:tc>
          <w:tcPr>
            <w:tcW w:w="2523" w:type="dxa"/>
            <w:shd w:val="clear" w:color="auto" w:fill="auto"/>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新能源汽车及</w:t>
            </w:r>
          </w:p>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核心零部件</w:t>
            </w:r>
          </w:p>
        </w:tc>
        <w:tc>
          <w:tcPr>
            <w:tcW w:w="2087" w:type="dxa"/>
            <w:shd w:val="clear" w:color="auto" w:fill="auto"/>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供应链对接</w:t>
            </w:r>
          </w:p>
        </w:tc>
        <w:tc>
          <w:tcPr>
            <w:tcW w:w="2448"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高新区</w:t>
            </w:r>
            <w:r>
              <w:rPr>
                <w:rFonts w:hint="eastAsia" w:ascii="微软雅黑" w:hAnsi="微软雅黑" w:eastAsia="微软雅黑" w:cs="微软雅黑"/>
                <w:sz w:val="28"/>
                <w:szCs w:val="28"/>
                <w:lang w:val="en-US" w:eastAsia="zh-CN"/>
              </w:rPr>
              <w:sym w:font="Wingdings" w:char="00AB"/>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工信局</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909" w:type="dxa"/>
            <w:vAlign w:val="center"/>
          </w:tcPr>
          <w:p>
            <w:pPr>
              <w:spacing w:line="50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p>
        </w:tc>
        <w:tc>
          <w:tcPr>
            <w:tcW w:w="1111"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p>
        </w:tc>
        <w:tc>
          <w:tcPr>
            <w:tcW w:w="2523" w:type="dxa"/>
            <w:vAlign w:val="center"/>
          </w:tcPr>
          <w:p>
            <w:pPr>
              <w:spacing w:line="30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半导体</w:t>
            </w:r>
          </w:p>
        </w:tc>
        <w:tc>
          <w:tcPr>
            <w:tcW w:w="2087" w:type="dxa"/>
            <w:vAlign w:val="center"/>
          </w:tcPr>
          <w:p>
            <w:pPr>
              <w:spacing w:line="30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供应链对接</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科创协同</w:t>
            </w:r>
          </w:p>
        </w:tc>
        <w:tc>
          <w:tcPr>
            <w:tcW w:w="2448" w:type="dxa"/>
            <w:vAlign w:val="center"/>
          </w:tcPr>
          <w:p>
            <w:pPr>
              <w:spacing w:line="30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高新区</w:t>
            </w:r>
            <w:r>
              <w:rPr>
                <w:rFonts w:hint="eastAsia" w:ascii="微软雅黑" w:hAnsi="微软雅黑" w:eastAsia="微软雅黑" w:cs="微软雅黑"/>
                <w:sz w:val="28"/>
                <w:szCs w:val="28"/>
                <w:lang w:val="en-US" w:eastAsia="zh-CN"/>
              </w:rPr>
              <w:sym w:font="Wingdings" w:char="00AB"/>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科技局、</w:t>
            </w:r>
            <w:r>
              <w:rPr>
                <w:rFonts w:hint="eastAsia" w:ascii="Times New Roman" w:hAnsi="Times New Roman" w:eastAsia="仿宋_GB2312" w:cs="Times New Roman"/>
                <w:sz w:val="28"/>
                <w:szCs w:val="28"/>
              </w:rPr>
              <w:t>工信局</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909" w:type="dxa"/>
            <w:vAlign w:val="center"/>
          </w:tcPr>
          <w:p>
            <w:pPr>
              <w:spacing w:line="50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p>
        </w:tc>
        <w:tc>
          <w:tcPr>
            <w:tcW w:w="1111"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5月</w:t>
            </w:r>
          </w:p>
        </w:tc>
        <w:tc>
          <w:tcPr>
            <w:tcW w:w="2523"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储能及电力装备</w:t>
            </w:r>
          </w:p>
        </w:tc>
        <w:tc>
          <w:tcPr>
            <w:tcW w:w="2087"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供应链对接</w:t>
            </w:r>
          </w:p>
        </w:tc>
        <w:tc>
          <w:tcPr>
            <w:tcW w:w="2448" w:type="dxa"/>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发改局</w:t>
            </w:r>
            <w:r>
              <w:rPr>
                <w:rFonts w:hint="eastAsia" w:ascii="微软雅黑" w:hAnsi="微软雅黑" w:eastAsia="微软雅黑" w:cs="微软雅黑"/>
                <w:sz w:val="28"/>
                <w:szCs w:val="28"/>
                <w:lang w:val="en-US" w:eastAsia="zh-CN"/>
              </w:rPr>
              <w:sym w:font="Wingdings" w:char="00AB"/>
            </w:r>
          </w:p>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工信局</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909"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p>
        </w:tc>
        <w:tc>
          <w:tcPr>
            <w:tcW w:w="1111"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6月</w:t>
            </w:r>
          </w:p>
        </w:tc>
        <w:tc>
          <w:tcPr>
            <w:tcW w:w="2523"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人工智能</w:t>
            </w:r>
          </w:p>
        </w:tc>
        <w:tc>
          <w:tcPr>
            <w:tcW w:w="2087"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产业链交流</w:t>
            </w:r>
          </w:p>
        </w:tc>
        <w:tc>
          <w:tcPr>
            <w:tcW w:w="2448"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高新区</w:t>
            </w:r>
            <w:r>
              <w:rPr>
                <w:rFonts w:hint="eastAsia" w:ascii="Times New Roman" w:hAnsi="Times New Roman" w:eastAsia="仿宋_GB2312" w:cs="Times New Roman"/>
                <w:sz w:val="28"/>
                <w:szCs w:val="28"/>
                <w:lang w:eastAsia="zh-CN"/>
              </w:rPr>
              <w:t>、西太湖、</w:t>
            </w:r>
            <w:r>
              <w:rPr>
                <w:rFonts w:hint="eastAsia" w:ascii="Times New Roman" w:hAnsi="Times New Roman" w:eastAsia="仿宋_GB2312" w:cs="Times New Roman"/>
                <w:sz w:val="28"/>
                <w:szCs w:val="28"/>
              </w:rPr>
              <w:t>工信局</w:t>
            </w:r>
            <w:r>
              <w:rPr>
                <w:rFonts w:hint="eastAsia" w:ascii="微软雅黑" w:hAnsi="微软雅黑" w:eastAsia="微软雅黑" w:cs="微软雅黑"/>
                <w:sz w:val="28"/>
                <w:szCs w:val="28"/>
                <w:lang w:val="en-US" w:eastAsia="zh-CN"/>
              </w:rPr>
              <w:sym w:font="Wingdings" w:char="00AB"/>
            </w:r>
            <w:r>
              <w:rPr>
                <w:rFonts w:hint="eastAsia" w:ascii="Times New Roman" w:hAnsi="Times New Roman" w:eastAsia="仿宋_GB2312" w:cs="Times New Roman"/>
                <w:sz w:val="28"/>
                <w:szCs w:val="28"/>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909"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p>
        </w:tc>
        <w:tc>
          <w:tcPr>
            <w:tcW w:w="1111"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7月</w:t>
            </w:r>
          </w:p>
        </w:tc>
        <w:tc>
          <w:tcPr>
            <w:tcW w:w="2523" w:type="dxa"/>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生物医药及</w:t>
            </w:r>
          </w:p>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医疗器械</w:t>
            </w:r>
          </w:p>
        </w:tc>
        <w:tc>
          <w:tcPr>
            <w:tcW w:w="2087" w:type="dxa"/>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供应链对接、知识产权服务</w:t>
            </w:r>
          </w:p>
        </w:tc>
        <w:tc>
          <w:tcPr>
            <w:tcW w:w="2448" w:type="dxa"/>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西太湖</w:t>
            </w:r>
            <w:r>
              <w:rPr>
                <w:rFonts w:hint="eastAsia" w:ascii="微软雅黑" w:hAnsi="微软雅黑" w:eastAsia="微软雅黑" w:cs="微软雅黑"/>
                <w:sz w:val="28"/>
                <w:szCs w:val="28"/>
                <w:lang w:val="en-US" w:eastAsia="zh-CN"/>
              </w:rPr>
              <w:sym w:font="Wingdings" w:char="00AB"/>
            </w:r>
            <w:r>
              <w:rPr>
                <w:rFonts w:hint="eastAsia" w:ascii="Times New Roman" w:hAnsi="Times New Roman" w:eastAsia="仿宋_GB2312" w:cs="Times New Roman"/>
                <w:sz w:val="28"/>
                <w:szCs w:val="28"/>
              </w:rPr>
              <w:t>、工信局、</w:t>
            </w:r>
            <w:r>
              <w:rPr>
                <w:rFonts w:hint="eastAsia" w:ascii="Times New Roman" w:hAnsi="Times New Roman" w:eastAsia="仿宋_GB2312" w:cs="Times New Roman"/>
                <w:sz w:val="28"/>
                <w:szCs w:val="28"/>
                <w:lang w:val="en-US" w:eastAsia="zh-CN"/>
              </w:rPr>
              <w:t>市场监管</w:t>
            </w:r>
            <w:r>
              <w:rPr>
                <w:rFonts w:hint="eastAsia" w:ascii="Times New Roman" w:hAnsi="Times New Roman" w:eastAsia="仿宋_GB2312" w:cs="Times New Roman"/>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909"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p>
        </w:tc>
        <w:tc>
          <w:tcPr>
            <w:tcW w:w="1111" w:type="dxa"/>
            <w:vAlign w:val="center"/>
          </w:tcPr>
          <w:p>
            <w:pPr>
              <w:spacing w:line="500" w:lineRule="exact"/>
              <w:jc w:val="center"/>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8月</w:t>
            </w:r>
          </w:p>
        </w:tc>
        <w:tc>
          <w:tcPr>
            <w:tcW w:w="2523" w:type="dxa"/>
            <w:vAlign w:val="center"/>
          </w:tcPr>
          <w:p>
            <w:pPr>
              <w:spacing w:line="300" w:lineRule="exact"/>
              <w:jc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合成生物</w:t>
            </w:r>
          </w:p>
        </w:tc>
        <w:tc>
          <w:tcPr>
            <w:tcW w:w="2087" w:type="dxa"/>
            <w:vAlign w:val="center"/>
          </w:tcPr>
          <w:p>
            <w:pPr>
              <w:spacing w:line="300" w:lineRule="exact"/>
              <w:jc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科技成果转化、知识产权服务</w:t>
            </w:r>
          </w:p>
        </w:tc>
        <w:tc>
          <w:tcPr>
            <w:tcW w:w="2448" w:type="dxa"/>
            <w:vAlign w:val="center"/>
          </w:tcPr>
          <w:p>
            <w:pPr>
              <w:spacing w:line="300" w:lineRule="exact"/>
              <w:jc w:val="center"/>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西太湖</w:t>
            </w:r>
            <w:r>
              <w:rPr>
                <w:rFonts w:hint="eastAsia" w:ascii="微软雅黑" w:hAnsi="微软雅黑" w:eastAsia="微软雅黑" w:cs="微软雅黑"/>
                <w:sz w:val="28"/>
                <w:szCs w:val="28"/>
                <w:highlight w:val="none"/>
                <w:lang w:val="en-US" w:eastAsia="zh-CN"/>
              </w:rPr>
              <w:sym w:font="Wingdings" w:char="00AB"/>
            </w:r>
            <w:r>
              <w:rPr>
                <w:rFonts w:hint="eastAsia" w:ascii="Times New Roman" w:hAnsi="Times New Roman" w:eastAsia="仿宋_GB2312" w:cs="Times New Roman"/>
                <w:sz w:val="28"/>
                <w:szCs w:val="28"/>
                <w:highlight w:val="none"/>
              </w:rPr>
              <w:t>、科技局、工信局、</w:t>
            </w:r>
          </w:p>
          <w:p>
            <w:pPr>
              <w:spacing w:line="300" w:lineRule="exact"/>
              <w:jc w:val="center"/>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市场监管</w:t>
            </w:r>
            <w:r>
              <w:rPr>
                <w:rFonts w:hint="eastAsia" w:ascii="Times New Roman" w:hAnsi="Times New Roman" w:eastAsia="仿宋_GB2312" w:cs="Times New Roman"/>
                <w:sz w:val="28"/>
                <w:szCs w:val="28"/>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909"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p>
        </w:tc>
        <w:tc>
          <w:tcPr>
            <w:tcW w:w="1111"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9月</w:t>
            </w:r>
          </w:p>
        </w:tc>
        <w:tc>
          <w:tcPr>
            <w:tcW w:w="2523" w:type="dxa"/>
            <w:shd w:val="clear" w:color="auto" w:fill="auto"/>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机器人</w:t>
            </w:r>
          </w:p>
        </w:tc>
        <w:tc>
          <w:tcPr>
            <w:tcW w:w="2087" w:type="dxa"/>
            <w:shd w:val="clear" w:color="auto" w:fill="auto"/>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应用推广</w:t>
            </w:r>
          </w:p>
        </w:tc>
        <w:tc>
          <w:tcPr>
            <w:tcW w:w="2448" w:type="dxa"/>
            <w:shd w:val="clear" w:color="auto" w:fill="auto"/>
            <w:vAlign w:val="center"/>
          </w:tcPr>
          <w:p>
            <w:pPr>
              <w:spacing w:line="30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高新区</w:t>
            </w:r>
            <w:r>
              <w:rPr>
                <w:rFonts w:hint="eastAsia" w:ascii="微软雅黑" w:hAnsi="微软雅黑" w:eastAsia="微软雅黑" w:cs="微软雅黑"/>
                <w:sz w:val="28"/>
                <w:szCs w:val="28"/>
                <w:lang w:val="en-US" w:eastAsia="zh-CN"/>
              </w:rPr>
              <w:sym w:font="Wingdings" w:char="00AB"/>
            </w:r>
            <w:r>
              <w:rPr>
                <w:rFonts w:hint="eastAsia" w:ascii="Times New Roman" w:hAnsi="Times New Roman" w:eastAsia="仿宋_GB2312" w:cs="Times New Roman"/>
                <w:sz w:val="28"/>
                <w:szCs w:val="28"/>
              </w:rPr>
              <w:t>、工信局、商务局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909"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p>
        </w:tc>
        <w:tc>
          <w:tcPr>
            <w:tcW w:w="1111" w:type="dxa"/>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10月</w:t>
            </w:r>
          </w:p>
        </w:tc>
        <w:tc>
          <w:tcPr>
            <w:tcW w:w="2523" w:type="dxa"/>
            <w:shd w:val="clear" w:color="auto" w:fill="auto"/>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氢能产业</w:t>
            </w:r>
          </w:p>
        </w:tc>
        <w:tc>
          <w:tcPr>
            <w:tcW w:w="2087" w:type="dxa"/>
            <w:shd w:val="clear" w:color="auto" w:fill="auto"/>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创新链、产业链对接</w:t>
            </w:r>
          </w:p>
        </w:tc>
        <w:tc>
          <w:tcPr>
            <w:tcW w:w="2448"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西太湖</w:t>
            </w:r>
            <w:r>
              <w:rPr>
                <w:rFonts w:hint="eastAsia" w:ascii="微软雅黑" w:hAnsi="微软雅黑" w:eastAsia="微软雅黑" w:cs="微软雅黑"/>
                <w:sz w:val="28"/>
                <w:szCs w:val="28"/>
                <w:lang w:val="en-US" w:eastAsia="zh-CN"/>
              </w:rPr>
              <w:sym w:font="Wingdings" w:char="00AB"/>
            </w:r>
            <w:r>
              <w:rPr>
                <w:rFonts w:hint="eastAsia" w:ascii="Times New Roman" w:hAnsi="Times New Roman" w:eastAsia="仿宋_GB2312" w:cs="Times New Roman"/>
                <w:sz w:val="28"/>
                <w:szCs w:val="28"/>
              </w:rPr>
              <w:t>、发改局、工信局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909" w:type="dxa"/>
            <w:vAlign w:val="center"/>
          </w:tcPr>
          <w:p>
            <w:pPr>
              <w:spacing w:line="50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p>
        </w:tc>
        <w:tc>
          <w:tcPr>
            <w:tcW w:w="1111" w:type="dxa"/>
            <w:vAlign w:val="center"/>
          </w:tcPr>
          <w:p>
            <w:pPr>
              <w:spacing w:line="5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11月</w:t>
            </w:r>
          </w:p>
        </w:tc>
        <w:tc>
          <w:tcPr>
            <w:tcW w:w="2523"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农业机械</w:t>
            </w:r>
          </w:p>
        </w:tc>
        <w:tc>
          <w:tcPr>
            <w:tcW w:w="2087"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供应链对接、数字化转型</w:t>
            </w:r>
          </w:p>
        </w:tc>
        <w:tc>
          <w:tcPr>
            <w:tcW w:w="2448"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工信局</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商务局、礼嘉镇</w:t>
            </w:r>
            <w:r>
              <w:rPr>
                <w:rFonts w:hint="eastAsia" w:ascii="微软雅黑" w:hAnsi="微软雅黑" w:eastAsia="微软雅黑" w:cs="微软雅黑"/>
                <w:sz w:val="28"/>
                <w:szCs w:val="28"/>
                <w:lang w:val="en-US" w:eastAsia="zh-CN"/>
              </w:rPr>
              <w:sym w:font="Wingdings" w:char="00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909" w:type="dxa"/>
            <w:vAlign w:val="center"/>
          </w:tcPr>
          <w:p>
            <w:pPr>
              <w:spacing w:line="50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1111" w:type="dxa"/>
            <w:vAlign w:val="center"/>
          </w:tcPr>
          <w:p>
            <w:pPr>
              <w:spacing w:line="5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12月</w:t>
            </w:r>
          </w:p>
        </w:tc>
        <w:tc>
          <w:tcPr>
            <w:tcW w:w="2523"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工程机械</w:t>
            </w:r>
          </w:p>
        </w:tc>
        <w:tc>
          <w:tcPr>
            <w:tcW w:w="2087"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供应链对接、数字化转型</w:t>
            </w:r>
          </w:p>
        </w:tc>
        <w:tc>
          <w:tcPr>
            <w:tcW w:w="2448" w:type="dxa"/>
            <w:shd w:val="clear" w:color="auto" w:fill="auto"/>
            <w:vAlign w:val="center"/>
          </w:tcPr>
          <w:p>
            <w:pPr>
              <w:spacing w:line="3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高新区</w:t>
            </w:r>
            <w:r>
              <w:rPr>
                <w:rFonts w:hint="eastAsia" w:ascii="微软雅黑" w:hAnsi="微软雅黑" w:eastAsia="微软雅黑" w:cs="微软雅黑"/>
                <w:sz w:val="28"/>
                <w:szCs w:val="28"/>
                <w:lang w:val="en-US" w:eastAsia="zh-CN"/>
              </w:rPr>
              <w:sym w:font="Wingdings" w:char="00AB"/>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工信局</w:t>
            </w:r>
          </w:p>
        </w:tc>
      </w:tr>
    </w:tbl>
    <w:p>
      <w:pPr>
        <w:rPr>
          <w:rFonts w:hint="default" w:ascii="Times New Roman" w:hAnsi="Times New Roman" w:cs="Times New Roman"/>
        </w:rPr>
      </w:pPr>
      <w:r>
        <w:rPr>
          <w:rFonts w:hint="eastAsia" w:ascii="Times New Roman" w:hAnsi="Times New Roman" w:eastAsia="仿宋_GB2312" w:cs="Times New Roman"/>
          <w:color w:val="333333"/>
          <w:kern w:val="2"/>
          <w:sz w:val="32"/>
          <w:szCs w:val="32"/>
          <w:shd w:val="clear" w:color="auto" w:fill="FFFFFF"/>
          <w:lang w:val="en-US" w:eastAsia="zh-CN" w:bidi="ar-SA"/>
        </w:rPr>
        <w:t>注：承办单位后标</w:t>
      </w:r>
      <w:r>
        <w:rPr>
          <w:rFonts w:hint="eastAsia" w:ascii="Times New Roman" w:hAnsi="Times New Roman" w:eastAsia="仿宋_GB2312" w:cs="Times New Roman"/>
          <w:color w:val="333333"/>
          <w:kern w:val="2"/>
          <w:sz w:val="32"/>
          <w:szCs w:val="32"/>
          <w:shd w:val="clear" w:color="auto" w:fill="FFFFFF"/>
          <w:lang w:val="en-US" w:eastAsia="zh-CN" w:bidi="ar-SA"/>
        </w:rPr>
        <w:sym w:font="Wingdings" w:char="00AB"/>
      </w:r>
      <w:r>
        <w:rPr>
          <w:rFonts w:hint="eastAsia" w:ascii="Times New Roman" w:hAnsi="Times New Roman" w:eastAsia="仿宋_GB2312" w:cs="Times New Roman"/>
          <w:color w:val="333333"/>
          <w:kern w:val="2"/>
          <w:sz w:val="32"/>
          <w:szCs w:val="32"/>
          <w:shd w:val="clear" w:color="auto" w:fill="FFFFFF"/>
          <w:lang w:val="en-US" w:eastAsia="zh-CN" w:bidi="ar-SA"/>
        </w:rPr>
        <w:t>的为牵头单位。</w:t>
      </w:r>
    </w:p>
    <w:sectPr>
      <w:footerReference r:id="rId3" w:type="default"/>
      <w:footerReference r:id="rId4" w:type="even"/>
      <w:pgSz w:w="11906" w:h="16838"/>
      <w:pgMar w:top="2098" w:right="1531" w:bottom="1984" w:left="1531" w:header="851" w:footer="1361"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monospace">
    <w:altName w:val="汉仪仿宋S"/>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汉仪仿宋S">
    <w:panose1 w:val="00020600040101000101"/>
    <w:charset w:val="86"/>
    <w:family w:val="auto"/>
    <w:pitch w:val="default"/>
    <w:sig w:usb0="A00002BF" w:usb1="38CF7CFA" w:usb2="00000016" w:usb3="00000000" w:csb0="000400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4860290</wp:posOffset>
              </wp:positionH>
              <wp:positionV relativeFrom="paragraph">
                <wp:posOffset>-109220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2.7pt;margin-top:-8.6pt;height:144pt;width:144pt;mso-position-horizontal-relative:margin;mso-wrap-style:none;z-index:251659264;mso-width-relative:page;mso-height-relative:page;" filled="f" stroked="f" coordsize="21600,21600" o:gfxdata="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Ij2IeNkAAAAMAQAADwAAAAAAAAABACAAAAA4AAAAZHJzL2Rvd25y&#10;ZXYueG1sUEsBAhQAFAAAAAgAh07iQGUktTAgAgAANwQAAA4AAAAAAAAAAQAgAAAAPgEAAGRycy9l&#10;Mm9Eb2MueG1sUEsFBgAAAAAGAAYAWQEAANA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359410</wp:posOffset>
              </wp:positionH>
              <wp:positionV relativeFrom="paragraph">
                <wp:posOffset>-108585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8.3pt;margin-top:-8.55pt;height:144pt;width:144pt;mso-position-horizontal-relative:margin;mso-wrap-style:none;z-index:251660288;mso-width-relative:page;mso-height-relative:page;" filled="f" stroked="f" coordsize="21600,21600" o:gfxdata="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QCeuC2AAAAAoBAAAPAAAAAAAAAAEAIAAAADgAAABkcnMvZG93&#10;bnJldi54bWxQSwECFAAUAAAACACHTuJAl7if4SMCAAA3BAAADgAAAAAAAAABACAAAAA9AQAAZHJz&#10;L2Uyb0RvYy54bWxQSwUGAAAAAAYABgBZAQAA0g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attachedTemplate r:id="rId1"/>
  <w:documentProtection w:enforcement="0"/>
  <w:defaultTabStop w:val="420"/>
  <w:evenAndOddHeaders w:val="true"/>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MjcyOTQ3YmViMWVlZWExY2M3Mzk0N2FkNzMxMTYifQ=="/>
    <w:docVar w:name="KSO_WPS_MARK_KEY" w:val="6775bcd1-38b0-45c2-872f-6f9ae482f13f"/>
  </w:docVars>
  <w:rsids>
    <w:rsidRoot w:val="002A1279"/>
    <w:rsid w:val="00012FCE"/>
    <w:rsid w:val="00034B12"/>
    <w:rsid w:val="00062F9B"/>
    <w:rsid w:val="000709BC"/>
    <w:rsid w:val="000750E7"/>
    <w:rsid w:val="00075320"/>
    <w:rsid w:val="000A4552"/>
    <w:rsid w:val="000B7322"/>
    <w:rsid w:val="0012058B"/>
    <w:rsid w:val="001263C9"/>
    <w:rsid w:val="00145C41"/>
    <w:rsid w:val="001C0FE5"/>
    <w:rsid w:val="001C67BB"/>
    <w:rsid w:val="001E3CBC"/>
    <w:rsid w:val="001F649E"/>
    <w:rsid w:val="001F75C8"/>
    <w:rsid w:val="00202797"/>
    <w:rsid w:val="00285794"/>
    <w:rsid w:val="002A0C38"/>
    <w:rsid w:val="002A1279"/>
    <w:rsid w:val="002C2CA2"/>
    <w:rsid w:val="002D176C"/>
    <w:rsid w:val="002D2E3B"/>
    <w:rsid w:val="003442EB"/>
    <w:rsid w:val="00351486"/>
    <w:rsid w:val="00396A66"/>
    <w:rsid w:val="003D7124"/>
    <w:rsid w:val="00456A25"/>
    <w:rsid w:val="00467098"/>
    <w:rsid w:val="00480959"/>
    <w:rsid w:val="004C4C0D"/>
    <w:rsid w:val="004E5B39"/>
    <w:rsid w:val="00512D14"/>
    <w:rsid w:val="00585B7A"/>
    <w:rsid w:val="005A1A07"/>
    <w:rsid w:val="005D1014"/>
    <w:rsid w:val="00622F66"/>
    <w:rsid w:val="0063121C"/>
    <w:rsid w:val="0067769D"/>
    <w:rsid w:val="006B6B28"/>
    <w:rsid w:val="006B7B28"/>
    <w:rsid w:val="00736249"/>
    <w:rsid w:val="00757B1E"/>
    <w:rsid w:val="00781B48"/>
    <w:rsid w:val="00781B82"/>
    <w:rsid w:val="007D717B"/>
    <w:rsid w:val="008447FF"/>
    <w:rsid w:val="008723ED"/>
    <w:rsid w:val="00872F67"/>
    <w:rsid w:val="0089039E"/>
    <w:rsid w:val="008E4888"/>
    <w:rsid w:val="00944751"/>
    <w:rsid w:val="00953D1F"/>
    <w:rsid w:val="0096091B"/>
    <w:rsid w:val="00974F3D"/>
    <w:rsid w:val="00981026"/>
    <w:rsid w:val="009867E9"/>
    <w:rsid w:val="00A22966"/>
    <w:rsid w:val="00A4289C"/>
    <w:rsid w:val="00A64F1C"/>
    <w:rsid w:val="00AB6ED0"/>
    <w:rsid w:val="00B71F85"/>
    <w:rsid w:val="00B81E8A"/>
    <w:rsid w:val="00B900CA"/>
    <w:rsid w:val="00BB27B3"/>
    <w:rsid w:val="00BF0810"/>
    <w:rsid w:val="00C2035D"/>
    <w:rsid w:val="00CE02E2"/>
    <w:rsid w:val="00D146F7"/>
    <w:rsid w:val="00D205E9"/>
    <w:rsid w:val="00D519E0"/>
    <w:rsid w:val="00D844C8"/>
    <w:rsid w:val="00E07182"/>
    <w:rsid w:val="00E63DDD"/>
    <w:rsid w:val="00E8135D"/>
    <w:rsid w:val="00E8694F"/>
    <w:rsid w:val="00EA4EBB"/>
    <w:rsid w:val="00EE590B"/>
    <w:rsid w:val="00F00438"/>
    <w:rsid w:val="00F30EBB"/>
    <w:rsid w:val="00F32087"/>
    <w:rsid w:val="00F43997"/>
    <w:rsid w:val="00F43CE3"/>
    <w:rsid w:val="00F45FE8"/>
    <w:rsid w:val="00F65CD0"/>
    <w:rsid w:val="00F81B36"/>
    <w:rsid w:val="00F90550"/>
    <w:rsid w:val="00FB3A97"/>
    <w:rsid w:val="00FC5BA2"/>
    <w:rsid w:val="01D8499F"/>
    <w:rsid w:val="04085612"/>
    <w:rsid w:val="068230B6"/>
    <w:rsid w:val="07D3436D"/>
    <w:rsid w:val="0881769E"/>
    <w:rsid w:val="08DB23DC"/>
    <w:rsid w:val="099B2F6F"/>
    <w:rsid w:val="09F36B90"/>
    <w:rsid w:val="0A4930F8"/>
    <w:rsid w:val="0C1B3CF0"/>
    <w:rsid w:val="0C360D57"/>
    <w:rsid w:val="111B4D7F"/>
    <w:rsid w:val="117719CE"/>
    <w:rsid w:val="123832C7"/>
    <w:rsid w:val="13153920"/>
    <w:rsid w:val="15001559"/>
    <w:rsid w:val="15CC6C15"/>
    <w:rsid w:val="170A6404"/>
    <w:rsid w:val="17163A31"/>
    <w:rsid w:val="1D057753"/>
    <w:rsid w:val="227310BC"/>
    <w:rsid w:val="22CB048B"/>
    <w:rsid w:val="246E6F3C"/>
    <w:rsid w:val="270105F3"/>
    <w:rsid w:val="2AFD7DFD"/>
    <w:rsid w:val="2B520D77"/>
    <w:rsid w:val="2E5C43CC"/>
    <w:rsid w:val="2F300F6A"/>
    <w:rsid w:val="2F671CE5"/>
    <w:rsid w:val="2F747443"/>
    <w:rsid w:val="2FAD7279"/>
    <w:rsid w:val="2FD720FC"/>
    <w:rsid w:val="2FDF7615"/>
    <w:rsid w:val="304C07E8"/>
    <w:rsid w:val="31EB4B1A"/>
    <w:rsid w:val="32E414CD"/>
    <w:rsid w:val="334B460B"/>
    <w:rsid w:val="33B0487A"/>
    <w:rsid w:val="359354AC"/>
    <w:rsid w:val="35EF65E1"/>
    <w:rsid w:val="382C4A0B"/>
    <w:rsid w:val="3A7A2C80"/>
    <w:rsid w:val="3E0C59B6"/>
    <w:rsid w:val="3F3B47ED"/>
    <w:rsid w:val="403D0B6C"/>
    <w:rsid w:val="42126F22"/>
    <w:rsid w:val="427B70A5"/>
    <w:rsid w:val="42D01054"/>
    <w:rsid w:val="44212434"/>
    <w:rsid w:val="46A6038F"/>
    <w:rsid w:val="46B15291"/>
    <w:rsid w:val="471F3BBC"/>
    <w:rsid w:val="47FF2249"/>
    <w:rsid w:val="4B117226"/>
    <w:rsid w:val="53320083"/>
    <w:rsid w:val="54BE28A8"/>
    <w:rsid w:val="59007C35"/>
    <w:rsid w:val="5A2F7676"/>
    <w:rsid w:val="5C3A250A"/>
    <w:rsid w:val="5CC0462F"/>
    <w:rsid w:val="5FCD4F67"/>
    <w:rsid w:val="60793855"/>
    <w:rsid w:val="622D0ADB"/>
    <w:rsid w:val="639962F3"/>
    <w:rsid w:val="642D6134"/>
    <w:rsid w:val="69FA031E"/>
    <w:rsid w:val="6CF02C66"/>
    <w:rsid w:val="6D37308B"/>
    <w:rsid w:val="6D744440"/>
    <w:rsid w:val="70876A69"/>
    <w:rsid w:val="715045BF"/>
    <w:rsid w:val="72605DDD"/>
    <w:rsid w:val="754915A8"/>
    <w:rsid w:val="78F42805"/>
    <w:rsid w:val="7AB21E46"/>
    <w:rsid w:val="7C957BDF"/>
    <w:rsid w:val="7D2034C5"/>
    <w:rsid w:val="BF6C1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1031"/>
      <w:outlineLvl w:val="0"/>
    </w:pPr>
    <w:rPr>
      <w:rFonts w:ascii="方正小标宋简体" w:hAnsi="方正小标宋简体" w:eastAsia="方正小标宋简体" w:cs="方正小标宋简体"/>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ody Text Indent"/>
    <w:basedOn w:val="1"/>
    <w:qFormat/>
    <w:uiPriority w:val="0"/>
    <w:pPr>
      <w:spacing w:after="120"/>
      <w:ind w:left="420" w:leftChars="200"/>
    </w:pPr>
  </w:style>
  <w:style w:type="paragraph" w:styleId="5">
    <w:name w:val="Balloon Text"/>
    <w:basedOn w:val="1"/>
    <w:semiHidden/>
    <w:qFormat/>
    <w:uiPriority w:val="0"/>
    <w:rPr>
      <w:rFonts w:ascii="Times New Roman" w:hAnsi="Times New Roman" w:eastAsia="宋体" w:cs="Times New Roman"/>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tabs>
        <w:tab w:val="right" w:leader="dot" w:pos="8834"/>
      </w:tabs>
    </w:pPr>
    <w:rPr>
      <w:rFonts w:eastAsia="Calibri"/>
      <w:smallCaps/>
      <w:sz w:val="30"/>
      <w:szCs w:val="20"/>
    </w:rPr>
  </w:style>
  <w:style w:type="paragraph" w:styleId="9">
    <w:name w:val="Body Text 2"/>
    <w:basedOn w:val="1"/>
    <w:qFormat/>
    <w:uiPriority w:val="0"/>
    <w:pPr>
      <w:spacing w:line="480" w:lineRule="auto"/>
    </w:pPr>
  </w:style>
  <w:style w:type="paragraph" w:styleId="10">
    <w:name w:val="Normal (Web)"/>
    <w:basedOn w:val="1"/>
    <w:qFormat/>
    <w:uiPriority w:val="0"/>
    <w:rPr>
      <w:sz w:val="24"/>
    </w:rPr>
  </w:style>
  <w:style w:type="paragraph" w:styleId="11">
    <w:name w:val="Body Text First Indent 2"/>
    <w:basedOn w:val="4"/>
    <w:qFormat/>
    <w:uiPriority w:val="0"/>
    <w:pPr>
      <w:ind w:firstLine="42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FollowedHyperlink"/>
    <w:basedOn w:val="14"/>
    <w:qFormat/>
    <w:uiPriority w:val="0"/>
    <w:rPr>
      <w:rFonts w:hint="eastAsia" w:ascii="微软雅黑" w:hAnsi="微软雅黑" w:eastAsia="微软雅黑" w:cs="微软雅黑"/>
      <w:color w:val="333333"/>
      <w:u w:val="none"/>
    </w:rPr>
  </w:style>
  <w:style w:type="character" w:styleId="17">
    <w:name w:val="Hyperlink"/>
    <w:basedOn w:val="14"/>
    <w:qFormat/>
    <w:uiPriority w:val="0"/>
    <w:rPr>
      <w:rFonts w:hint="eastAsia" w:ascii="微软雅黑" w:hAnsi="微软雅黑" w:eastAsia="微软雅黑" w:cs="微软雅黑"/>
      <w:color w:val="333333"/>
      <w:u w:val="none"/>
    </w:rPr>
  </w:style>
  <w:style w:type="character" w:styleId="18">
    <w:name w:val="HTML Code"/>
    <w:basedOn w:val="14"/>
    <w:qFormat/>
    <w:uiPriority w:val="0"/>
    <w:rPr>
      <w:rFonts w:hint="default" w:ascii="monospace" w:hAnsi="monospace" w:eastAsia="monospace" w:cs="monospace"/>
      <w:sz w:val="21"/>
      <w:szCs w:val="21"/>
    </w:rPr>
  </w:style>
  <w:style w:type="character" w:styleId="19">
    <w:name w:val="HTML Keyboard"/>
    <w:basedOn w:val="14"/>
    <w:qFormat/>
    <w:uiPriority w:val="0"/>
    <w:rPr>
      <w:rFonts w:ascii="monospace" w:hAnsi="monospace" w:eastAsia="monospace" w:cs="monospace"/>
      <w:sz w:val="21"/>
      <w:szCs w:val="21"/>
    </w:rPr>
  </w:style>
  <w:style w:type="character" w:styleId="20">
    <w:name w:val="HTML Sample"/>
    <w:basedOn w:val="14"/>
    <w:qFormat/>
    <w:uiPriority w:val="0"/>
    <w:rPr>
      <w:rFonts w:hint="default" w:ascii="monospace" w:hAnsi="monospace" w:eastAsia="monospace" w:cs="monospace"/>
      <w:sz w:val="21"/>
      <w:szCs w:val="21"/>
    </w:rPr>
  </w:style>
  <w:style w:type="character" w:customStyle="1" w:styleId="21">
    <w:name w:val="页脚 Char"/>
    <w:link w:val="6"/>
    <w:qFormat/>
    <w:uiPriority w:val="99"/>
    <w:rPr>
      <w:rFonts w:ascii="Times New Roman" w:hAnsi="Times New Roman" w:eastAsia="宋体" w:cs="Times New Roman"/>
      <w:sz w:val="18"/>
    </w:rPr>
  </w:style>
  <w:style w:type="character" w:customStyle="1" w:styleId="22">
    <w:name w:val="页眉 Char"/>
    <w:link w:val="7"/>
    <w:qFormat/>
    <w:uiPriority w:val="0"/>
    <w:rPr>
      <w:rFonts w:ascii="Times New Roman" w:hAnsi="Times New Roman" w:eastAsia="宋体" w:cs="Times New Roman"/>
      <w:sz w:val="18"/>
    </w:rPr>
  </w:style>
  <w:style w:type="paragraph" w:customStyle="1" w:styleId="23">
    <w:name w:val="Default Paragraph Font Para Char"/>
    <w:basedOn w:val="1"/>
    <w:qFormat/>
    <w:uiPriority w:val="0"/>
    <w:pPr>
      <w:widowControl/>
      <w:spacing w:after="160" w:line="400" w:lineRule="exact"/>
      <w:jc w:val="left"/>
    </w:pPr>
    <w:rPr>
      <w:rFonts w:ascii="Verdana" w:hAnsi="Verdana" w:eastAsia="宋体" w:cs="Times New Roman"/>
      <w:kern w:val="0"/>
      <w:sz w:val="20"/>
      <w:szCs w:val="20"/>
      <w:lang w:eastAsia="en-US"/>
    </w:rPr>
  </w:style>
  <w:style w:type="paragraph" w:customStyle="1" w:styleId="24">
    <w:name w:val="Normal"/>
    <w:qFormat/>
    <w:uiPriority w:val="0"/>
    <w:pPr>
      <w:jc w:val="both"/>
    </w:pPr>
    <w:rPr>
      <w:rFonts w:ascii="Arial" w:hAnsi="Arial" w:eastAsia="宋体" w:cs="Arial"/>
      <w:kern w:val="2"/>
      <w:sz w:val="21"/>
      <w:szCs w:val="21"/>
      <w:lang w:val="en-US" w:eastAsia="zh-CN" w:bidi="ar-SA"/>
    </w:rPr>
  </w:style>
  <w:style w:type="paragraph" w:styleId="25">
    <w:name w:val="List Paragraph"/>
    <w:basedOn w:val="1"/>
    <w:qFormat/>
    <w:uiPriority w:val="99"/>
    <w:pPr>
      <w:ind w:firstLine="420" w:firstLineChars="200"/>
    </w:pPr>
    <w:rPr>
      <w:rFonts w:ascii="Times New Roman" w:hAnsi="Times New Roman" w:eastAsia="宋体" w:cs="Times New Roman"/>
      <w:szCs w:val="24"/>
    </w:rPr>
  </w:style>
  <w:style w:type="paragraph" w:customStyle="1" w:styleId="26">
    <w:name w:val="正文1"/>
    <w:qFormat/>
    <w:uiPriority w:val="0"/>
    <w:pPr>
      <w:jc w:val="both"/>
    </w:pPr>
    <w:rPr>
      <w:rFonts w:ascii="Calibri" w:hAnsi="Calibri" w:eastAsia="宋体" w:cs="Calibri"/>
      <w:kern w:val="2"/>
      <w:sz w:val="21"/>
      <w:szCs w:val="21"/>
      <w:lang w:val="en-US" w:eastAsia="zh-CN" w:bidi="ar-SA"/>
    </w:rPr>
  </w:style>
  <w:style w:type="paragraph" w:customStyle="1" w:styleId="2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3.Codes\Idea\09_wjoa\src\main\webapp\public\demo\tp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Template>
  <Pages>6</Pages>
  <Words>2102</Words>
  <Characters>2157</Characters>
  <Lines>40</Lines>
  <Paragraphs>11</Paragraphs>
  <TotalTime>3</TotalTime>
  <ScaleCrop>false</ScaleCrop>
  <LinksUpToDate>false</LinksUpToDate>
  <CharactersWithSpaces>2179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2023-02-07T08:47:00Z</dcterms:created>
  <dc:creator>Administrator</dc:creator>
  <cp:lastModifiedBy>kylin</cp:lastModifiedBy>
  <cp:lastPrinted>2024-05-30T14:32:00Z</cp:lastPrinted>
  <dcterms:modified xsi:type="dcterms:W3CDTF">2025-05-15T14:54:23Z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E94C4931FB194CC0B1E358EF6BB73771_13</vt:lpwstr>
  </property>
  <property fmtid="{D5CDD505-2E9C-101B-9397-08002B2CF9AE}" pid="4" name="KSOTemplateDocerSaveRecord">
    <vt:lpwstr>eyJoZGlkIjoiNmE0MjcyOTQ3YmViMWVlZWExY2M3Mzk0N2FkNzMxMTYifQ==</vt:lpwstr>
  </property>
</Properties>
</file>