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宋体" w:hAnsi="宋体"/>
          <w:sz w:val="36"/>
          <w:szCs w:val="36"/>
        </w:rPr>
      </w:pPr>
      <w:r>
        <w:rPr>
          <w:rFonts w:hint="eastAsia" w:ascii="宋体" w:hAnsi="宋体"/>
          <w:sz w:val="36"/>
          <w:szCs w:val="36"/>
        </w:rPr>
        <w:t>附件1：</w:t>
      </w:r>
    </w:p>
    <w:p>
      <w:pPr>
        <w:spacing w:line="600" w:lineRule="exact"/>
        <w:jc w:val="center"/>
        <w:rPr>
          <w:rFonts w:ascii="宋体" w:hAnsi="宋体"/>
          <w:spacing w:val="-6"/>
          <w:sz w:val="32"/>
          <w:szCs w:val="32"/>
        </w:rPr>
      </w:pPr>
      <w:r>
        <w:rPr>
          <w:rFonts w:hint="eastAsia" w:ascii="宋体" w:hAnsi="宋体"/>
          <w:sz w:val="36"/>
          <w:szCs w:val="36"/>
        </w:rPr>
        <w:t>洛阳镇镇村环境卫生长效综合管理考评标准及扣分细则</w:t>
      </w:r>
    </w:p>
    <w:p>
      <w:pPr>
        <w:spacing w:line="360" w:lineRule="exact"/>
        <w:ind w:firstLine="212"/>
        <w:jc w:val="center"/>
        <w:rPr>
          <w:rFonts w:ascii="宋体" w:hAnsi="宋体"/>
          <w:spacing w:val="-6"/>
          <w:sz w:val="32"/>
          <w:szCs w:val="32"/>
        </w:rPr>
      </w:pPr>
      <w:r>
        <w:rPr>
          <w:rFonts w:hint="eastAsia" w:ascii="宋体" w:hAnsi="宋体"/>
          <w:spacing w:val="-6"/>
          <w:sz w:val="32"/>
          <w:szCs w:val="32"/>
        </w:rPr>
        <w:t>（住宅小区）</w:t>
      </w:r>
    </w:p>
    <w:tbl>
      <w:tblPr>
        <w:tblStyle w:val="5"/>
        <w:tblpPr w:leftFromText="180" w:rightFromText="180" w:vertAnchor="text" w:horzAnchor="page" w:tblpX="1512" w:tblpY="4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586"/>
        <w:gridCol w:w="682"/>
        <w:gridCol w:w="1826"/>
        <w:gridCol w:w="6869"/>
        <w:gridCol w:w="1026"/>
        <w:gridCol w:w="1293"/>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pPr>
              <w:widowControl/>
              <w:adjustRightInd w:val="0"/>
              <w:snapToGrid w:val="0"/>
              <w:spacing w:line="254" w:lineRule="exact"/>
              <w:ind w:left="-57" w:right="-57"/>
              <w:jc w:val="center"/>
              <w:rPr>
                <w:kern w:val="0"/>
                <w:szCs w:val="21"/>
              </w:rPr>
            </w:pPr>
            <w:r>
              <w:rPr>
                <w:rFonts w:hAnsi="宋体"/>
                <w:kern w:val="0"/>
                <w:szCs w:val="21"/>
              </w:rPr>
              <w:t>大类</w:t>
            </w:r>
          </w:p>
          <w:p>
            <w:pPr>
              <w:widowControl/>
              <w:adjustRightInd w:val="0"/>
              <w:snapToGrid w:val="0"/>
              <w:spacing w:line="254" w:lineRule="exact"/>
              <w:ind w:left="-57" w:right="-57"/>
              <w:jc w:val="center"/>
              <w:rPr>
                <w:rFonts w:hAnsi="宋体"/>
                <w:szCs w:val="21"/>
              </w:rPr>
            </w:pPr>
            <w:r>
              <w:rPr>
                <w:rFonts w:hAnsi="宋体"/>
                <w:kern w:val="0"/>
                <w:szCs w:val="21"/>
              </w:rPr>
              <w:t>名称</w:t>
            </w:r>
          </w:p>
        </w:tc>
        <w:tc>
          <w:tcPr>
            <w:tcW w:w="586" w:type="dxa"/>
            <w:vAlign w:val="center"/>
          </w:tcPr>
          <w:p>
            <w:pPr>
              <w:widowControl/>
              <w:adjustRightInd w:val="0"/>
              <w:snapToGrid w:val="0"/>
              <w:spacing w:line="254" w:lineRule="exact"/>
              <w:ind w:left="-57" w:right="-57"/>
              <w:jc w:val="center"/>
              <w:rPr>
                <w:rFonts w:hAnsi="宋体"/>
                <w:szCs w:val="21"/>
              </w:rPr>
            </w:pPr>
            <w:r>
              <w:rPr>
                <w:rFonts w:hAnsi="宋体"/>
                <w:kern w:val="0"/>
                <w:szCs w:val="21"/>
              </w:rPr>
              <w:t>分类</w:t>
            </w:r>
          </w:p>
        </w:tc>
        <w:tc>
          <w:tcPr>
            <w:tcW w:w="682" w:type="dxa"/>
            <w:vAlign w:val="center"/>
          </w:tcPr>
          <w:p>
            <w:pPr>
              <w:widowControl/>
              <w:adjustRightInd w:val="0"/>
              <w:snapToGrid w:val="0"/>
              <w:spacing w:line="254" w:lineRule="exact"/>
              <w:ind w:left="-57" w:right="-57"/>
              <w:jc w:val="center"/>
              <w:rPr>
                <w:kern w:val="0"/>
                <w:szCs w:val="21"/>
              </w:rPr>
            </w:pPr>
            <w:r>
              <w:rPr>
                <w:rFonts w:hAnsi="宋体"/>
                <w:kern w:val="0"/>
                <w:szCs w:val="21"/>
              </w:rPr>
              <w:t>小类</w:t>
            </w:r>
          </w:p>
          <w:p>
            <w:pPr>
              <w:widowControl/>
              <w:adjustRightInd w:val="0"/>
              <w:snapToGrid w:val="0"/>
              <w:spacing w:line="254" w:lineRule="exact"/>
              <w:ind w:left="-57" w:right="-57"/>
              <w:jc w:val="center"/>
              <w:rPr>
                <w:szCs w:val="21"/>
              </w:rPr>
            </w:pPr>
            <w:r>
              <w:rPr>
                <w:rFonts w:hAnsi="宋体"/>
                <w:kern w:val="0"/>
                <w:szCs w:val="21"/>
              </w:rPr>
              <w:t>代码</w:t>
            </w:r>
          </w:p>
        </w:tc>
        <w:tc>
          <w:tcPr>
            <w:tcW w:w="1826" w:type="dxa"/>
            <w:vAlign w:val="center"/>
          </w:tcPr>
          <w:p>
            <w:pPr>
              <w:widowControl/>
              <w:adjustRightInd w:val="0"/>
              <w:snapToGrid w:val="0"/>
              <w:spacing w:line="254" w:lineRule="exact"/>
              <w:ind w:left="-57" w:right="-57"/>
              <w:jc w:val="center"/>
              <w:rPr>
                <w:rFonts w:hAnsi="宋体"/>
                <w:szCs w:val="21"/>
              </w:rPr>
            </w:pPr>
            <w:r>
              <w:rPr>
                <w:rFonts w:hAnsi="宋体"/>
                <w:kern w:val="0"/>
                <w:szCs w:val="21"/>
              </w:rPr>
              <w:t>小类名称</w:t>
            </w:r>
          </w:p>
        </w:tc>
        <w:tc>
          <w:tcPr>
            <w:tcW w:w="6869" w:type="dxa"/>
            <w:vAlign w:val="center"/>
          </w:tcPr>
          <w:p>
            <w:pPr>
              <w:widowControl/>
              <w:adjustRightInd w:val="0"/>
              <w:snapToGrid w:val="0"/>
              <w:spacing w:line="254" w:lineRule="exact"/>
              <w:ind w:left="-57" w:right="-57"/>
              <w:jc w:val="center"/>
              <w:rPr>
                <w:rFonts w:hAnsi="宋体"/>
                <w:kern w:val="0"/>
                <w:szCs w:val="21"/>
              </w:rPr>
            </w:pPr>
            <w:r>
              <w:rPr>
                <w:rFonts w:hAnsi="宋体"/>
                <w:kern w:val="0"/>
                <w:szCs w:val="21"/>
              </w:rPr>
              <w:t>立案条件（扣分依据）</w:t>
            </w:r>
          </w:p>
        </w:tc>
        <w:tc>
          <w:tcPr>
            <w:tcW w:w="1026" w:type="dxa"/>
            <w:vAlign w:val="center"/>
          </w:tcPr>
          <w:p>
            <w:pPr>
              <w:widowControl/>
              <w:adjustRightInd w:val="0"/>
              <w:snapToGrid w:val="0"/>
              <w:spacing w:line="254" w:lineRule="exact"/>
              <w:ind w:left="-57" w:right="-57"/>
              <w:jc w:val="center"/>
              <w:rPr>
                <w:kern w:val="0"/>
                <w:szCs w:val="21"/>
              </w:rPr>
            </w:pPr>
            <w:r>
              <w:rPr>
                <w:rFonts w:hAnsi="宋体"/>
                <w:kern w:val="0"/>
                <w:szCs w:val="21"/>
              </w:rPr>
              <w:t>处置时限</w:t>
            </w:r>
          </w:p>
        </w:tc>
        <w:tc>
          <w:tcPr>
            <w:tcW w:w="1293" w:type="dxa"/>
            <w:vAlign w:val="center"/>
          </w:tcPr>
          <w:p>
            <w:pPr>
              <w:widowControl/>
              <w:adjustRightInd w:val="0"/>
              <w:snapToGrid w:val="0"/>
              <w:spacing w:line="254" w:lineRule="exact"/>
              <w:ind w:left="-57" w:right="-57"/>
              <w:jc w:val="center"/>
              <w:rPr>
                <w:rFonts w:hAnsi="宋体"/>
                <w:szCs w:val="21"/>
              </w:rPr>
            </w:pPr>
            <w:r>
              <w:rPr>
                <w:rFonts w:hint="eastAsia" w:hAnsi="宋体"/>
                <w:kern w:val="0"/>
                <w:szCs w:val="21"/>
              </w:rPr>
              <w:t>责任单位</w:t>
            </w:r>
          </w:p>
        </w:tc>
        <w:tc>
          <w:tcPr>
            <w:tcW w:w="868" w:type="dxa"/>
            <w:vAlign w:val="center"/>
          </w:tcPr>
          <w:p>
            <w:pPr>
              <w:widowControl/>
              <w:adjustRightInd w:val="0"/>
              <w:snapToGrid w:val="0"/>
              <w:spacing w:line="254" w:lineRule="exact"/>
              <w:ind w:left="-113" w:right="-113"/>
              <w:jc w:val="center"/>
              <w:rPr>
                <w:szCs w:val="21"/>
              </w:rPr>
            </w:pPr>
            <w:r>
              <w:rPr>
                <w:rFonts w:hAnsi="宋体"/>
                <w:kern w:val="0"/>
                <w:szCs w:val="21"/>
              </w:rPr>
              <w:t>每处（个）扣分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Merge w:val="restart"/>
            <w:vAlign w:val="center"/>
          </w:tcPr>
          <w:p>
            <w:pPr>
              <w:adjustRightInd w:val="0"/>
              <w:snapToGrid w:val="0"/>
              <w:spacing w:line="260" w:lineRule="exact"/>
              <w:ind w:left="-57" w:right="-57"/>
              <w:jc w:val="center"/>
              <w:rPr>
                <w:szCs w:val="21"/>
              </w:rPr>
            </w:pPr>
            <w:r>
              <w:rPr>
                <w:rFonts w:hAnsi="宋体"/>
                <w:szCs w:val="21"/>
              </w:rPr>
              <w:t>住宅</w:t>
            </w:r>
          </w:p>
          <w:p>
            <w:pPr>
              <w:adjustRightInd w:val="0"/>
              <w:snapToGrid w:val="0"/>
              <w:spacing w:line="260" w:lineRule="exact"/>
              <w:ind w:left="-57" w:right="-57"/>
              <w:jc w:val="center"/>
              <w:rPr>
                <w:szCs w:val="21"/>
              </w:rPr>
            </w:pPr>
            <w:r>
              <w:rPr>
                <w:rFonts w:hAnsi="宋体"/>
                <w:szCs w:val="21"/>
              </w:rPr>
              <w:t>小区</w:t>
            </w:r>
          </w:p>
        </w:tc>
        <w:tc>
          <w:tcPr>
            <w:tcW w:w="586" w:type="dxa"/>
            <w:vMerge w:val="restart"/>
            <w:vAlign w:val="center"/>
          </w:tcPr>
          <w:p>
            <w:pPr>
              <w:adjustRightInd w:val="0"/>
              <w:snapToGrid w:val="0"/>
              <w:spacing w:line="260" w:lineRule="exact"/>
              <w:ind w:left="-57" w:right="-57"/>
              <w:jc w:val="center"/>
              <w:rPr>
                <w:szCs w:val="21"/>
              </w:rPr>
            </w:pPr>
            <w:r>
              <w:rPr>
                <w:rFonts w:hAnsi="宋体"/>
                <w:szCs w:val="21"/>
              </w:rPr>
              <w:t>基础设施</w:t>
            </w:r>
          </w:p>
        </w:tc>
        <w:tc>
          <w:tcPr>
            <w:tcW w:w="682" w:type="dxa"/>
            <w:vAlign w:val="center"/>
          </w:tcPr>
          <w:p>
            <w:pPr>
              <w:adjustRightInd w:val="0"/>
              <w:snapToGrid w:val="0"/>
              <w:spacing w:line="260" w:lineRule="exact"/>
              <w:jc w:val="center"/>
              <w:rPr>
                <w:szCs w:val="21"/>
              </w:rPr>
            </w:pPr>
            <w:r>
              <w:rPr>
                <w:szCs w:val="21"/>
              </w:rPr>
              <w:t>1</w:t>
            </w:r>
          </w:p>
        </w:tc>
        <w:tc>
          <w:tcPr>
            <w:tcW w:w="1826" w:type="dxa"/>
            <w:vAlign w:val="center"/>
          </w:tcPr>
          <w:p>
            <w:pPr>
              <w:adjustRightInd w:val="0"/>
              <w:snapToGrid w:val="0"/>
              <w:spacing w:line="260" w:lineRule="exact"/>
              <w:jc w:val="center"/>
              <w:rPr>
                <w:szCs w:val="21"/>
              </w:rPr>
            </w:pPr>
            <w:r>
              <w:rPr>
                <w:rFonts w:hAnsi="宋体"/>
                <w:szCs w:val="21"/>
              </w:rPr>
              <w:t>外立面破损</w:t>
            </w:r>
          </w:p>
        </w:tc>
        <w:tc>
          <w:tcPr>
            <w:tcW w:w="6869" w:type="dxa"/>
            <w:vAlign w:val="center"/>
          </w:tcPr>
          <w:p>
            <w:pPr>
              <w:widowControl/>
              <w:adjustRightInd w:val="0"/>
              <w:snapToGrid w:val="0"/>
              <w:spacing w:line="260" w:lineRule="exact"/>
              <w:rPr>
                <w:kern w:val="0"/>
                <w:szCs w:val="21"/>
              </w:rPr>
            </w:pPr>
            <w:r>
              <w:rPr>
                <w:rFonts w:hAnsi="宋体"/>
                <w:kern w:val="0"/>
                <w:szCs w:val="21"/>
              </w:rPr>
              <w:t>房屋、附属构筑物外立面墙皮脱落、破损</w:t>
            </w:r>
            <w:r>
              <w:rPr>
                <w:kern w:val="0"/>
                <w:szCs w:val="21"/>
              </w:rPr>
              <w:t xml:space="preserve"> </w:t>
            </w:r>
          </w:p>
        </w:tc>
        <w:tc>
          <w:tcPr>
            <w:tcW w:w="1026" w:type="dxa"/>
            <w:vAlign w:val="center"/>
          </w:tcPr>
          <w:p>
            <w:pPr>
              <w:widowControl/>
              <w:adjustRightInd w:val="0"/>
              <w:snapToGrid w:val="0"/>
              <w:spacing w:line="260" w:lineRule="exact"/>
              <w:jc w:val="center"/>
              <w:rPr>
                <w:kern w:val="0"/>
                <w:szCs w:val="21"/>
              </w:rPr>
            </w:pPr>
            <w:r>
              <w:rPr>
                <w:kern w:val="0"/>
                <w:szCs w:val="21"/>
              </w:rPr>
              <w:t>3</w:t>
            </w:r>
            <w:r>
              <w:rPr>
                <w:rFonts w:hAnsi="宋体"/>
                <w:kern w:val="0"/>
                <w:szCs w:val="21"/>
              </w:rPr>
              <w:t>工作日</w:t>
            </w:r>
          </w:p>
        </w:tc>
        <w:tc>
          <w:tcPr>
            <w:tcW w:w="1293" w:type="dxa"/>
            <w:vMerge w:val="restart"/>
            <w:vAlign w:val="center"/>
          </w:tcPr>
          <w:p>
            <w:pPr>
              <w:adjustRightInd w:val="0"/>
              <w:snapToGrid w:val="0"/>
              <w:spacing w:line="260" w:lineRule="exact"/>
              <w:jc w:val="center"/>
              <w:rPr>
                <w:szCs w:val="21"/>
              </w:rPr>
            </w:pPr>
            <w:r>
              <w:rPr>
                <w:rFonts w:hint="eastAsia"/>
                <w:szCs w:val="21"/>
              </w:rPr>
              <w:t>物管科.各小区物业.</w:t>
            </w:r>
          </w:p>
        </w:tc>
        <w:tc>
          <w:tcPr>
            <w:tcW w:w="868" w:type="dxa"/>
            <w:vAlign w:val="center"/>
          </w:tcPr>
          <w:p>
            <w:pPr>
              <w:adjustRightInd w:val="0"/>
              <w:snapToGrid w:val="0"/>
              <w:spacing w:line="260" w:lineRule="exact"/>
              <w:ind w:left="-57" w:right="-57"/>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Merge w:val="continue"/>
            <w:vAlign w:val="center"/>
          </w:tcPr>
          <w:p>
            <w:pPr>
              <w:adjustRightInd w:val="0"/>
              <w:snapToGrid w:val="0"/>
              <w:spacing w:line="260" w:lineRule="exact"/>
              <w:ind w:left="-57" w:right="-57"/>
              <w:jc w:val="center"/>
              <w:rPr>
                <w:szCs w:val="21"/>
              </w:rPr>
            </w:pPr>
          </w:p>
        </w:tc>
        <w:tc>
          <w:tcPr>
            <w:tcW w:w="586" w:type="dxa"/>
            <w:vMerge w:val="continue"/>
            <w:vAlign w:val="center"/>
          </w:tcPr>
          <w:p>
            <w:pPr>
              <w:adjustRightInd w:val="0"/>
              <w:snapToGrid w:val="0"/>
              <w:spacing w:line="260" w:lineRule="exact"/>
              <w:ind w:left="-57" w:right="-57"/>
              <w:jc w:val="center"/>
              <w:rPr>
                <w:szCs w:val="21"/>
              </w:rPr>
            </w:pPr>
          </w:p>
        </w:tc>
        <w:tc>
          <w:tcPr>
            <w:tcW w:w="682" w:type="dxa"/>
            <w:vAlign w:val="center"/>
          </w:tcPr>
          <w:p>
            <w:pPr>
              <w:adjustRightInd w:val="0"/>
              <w:snapToGrid w:val="0"/>
              <w:spacing w:line="260" w:lineRule="exact"/>
              <w:jc w:val="center"/>
              <w:rPr>
                <w:szCs w:val="21"/>
              </w:rPr>
            </w:pPr>
            <w:r>
              <w:rPr>
                <w:szCs w:val="21"/>
              </w:rPr>
              <w:t>2</w:t>
            </w:r>
          </w:p>
        </w:tc>
        <w:tc>
          <w:tcPr>
            <w:tcW w:w="1826" w:type="dxa"/>
            <w:vAlign w:val="center"/>
          </w:tcPr>
          <w:p>
            <w:pPr>
              <w:adjustRightInd w:val="0"/>
              <w:snapToGrid w:val="0"/>
              <w:spacing w:line="260" w:lineRule="exact"/>
              <w:jc w:val="center"/>
              <w:rPr>
                <w:szCs w:val="21"/>
              </w:rPr>
            </w:pPr>
            <w:r>
              <w:rPr>
                <w:rFonts w:hAnsi="宋体"/>
                <w:szCs w:val="21"/>
              </w:rPr>
              <w:t>小区道路破损</w:t>
            </w:r>
          </w:p>
        </w:tc>
        <w:tc>
          <w:tcPr>
            <w:tcW w:w="6869" w:type="dxa"/>
            <w:vAlign w:val="center"/>
          </w:tcPr>
          <w:p>
            <w:pPr>
              <w:widowControl/>
              <w:adjustRightInd w:val="0"/>
              <w:snapToGrid w:val="0"/>
              <w:spacing w:line="260" w:lineRule="exact"/>
              <w:rPr>
                <w:kern w:val="0"/>
                <w:szCs w:val="21"/>
              </w:rPr>
            </w:pPr>
            <w:r>
              <w:rPr>
                <w:rFonts w:hAnsi="宋体"/>
                <w:kern w:val="0"/>
                <w:szCs w:val="21"/>
              </w:rPr>
              <w:t>小区内部道路坑洼（大于</w:t>
            </w:r>
            <w:r>
              <w:rPr>
                <w:kern w:val="0"/>
                <w:szCs w:val="21"/>
              </w:rPr>
              <w:t>0.5</w:t>
            </w:r>
            <w:r>
              <w:rPr>
                <w:rFonts w:hAnsi="宋体"/>
                <w:kern w:val="0"/>
                <w:szCs w:val="21"/>
              </w:rPr>
              <w:t>㎡）、破损</w:t>
            </w:r>
          </w:p>
        </w:tc>
        <w:tc>
          <w:tcPr>
            <w:tcW w:w="1026" w:type="dxa"/>
            <w:vAlign w:val="center"/>
          </w:tcPr>
          <w:p>
            <w:pPr>
              <w:widowControl/>
              <w:adjustRightInd w:val="0"/>
              <w:snapToGrid w:val="0"/>
              <w:spacing w:line="260" w:lineRule="exact"/>
              <w:jc w:val="center"/>
              <w:rPr>
                <w:szCs w:val="21"/>
              </w:rPr>
            </w:pPr>
            <w:r>
              <w:rPr>
                <w:kern w:val="0"/>
                <w:szCs w:val="21"/>
              </w:rPr>
              <w:t>3</w:t>
            </w:r>
            <w:r>
              <w:rPr>
                <w:rFonts w:hAnsi="宋体"/>
                <w:kern w:val="0"/>
                <w:szCs w:val="21"/>
              </w:rPr>
              <w:t>工作日</w:t>
            </w:r>
          </w:p>
        </w:tc>
        <w:tc>
          <w:tcPr>
            <w:tcW w:w="1293" w:type="dxa"/>
            <w:vMerge w:val="continue"/>
            <w:vAlign w:val="center"/>
          </w:tcPr>
          <w:p>
            <w:pPr>
              <w:adjustRightInd w:val="0"/>
              <w:snapToGrid w:val="0"/>
              <w:spacing w:line="260" w:lineRule="exact"/>
              <w:jc w:val="center"/>
              <w:rPr>
                <w:szCs w:val="21"/>
              </w:rPr>
            </w:pPr>
          </w:p>
        </w:tc>
        <w:tc>
          <w:tcPr>
            <w:tcW w:w="868" w:type="dxa"/>
            <w:vAlign w:val="center"/>
          </w:tcPr>
          <w:p>
            <w:pPr>
              <w:adjustRightInd w:val="0"/>
              <w:snapToGrid w:val="0"/>
              <w:spacing w:line="260" w:lineRule="exact"/>
              <w:ind w:left="-57" w:right="-57"/>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Merge w:val="continue"/>
            <w:vAlign w:val="center"/>
          </w:tcPr>
          <w:p>
            <w:pPr>
              <w:adjustRightInd w:val="0"/>
              <w:snapToGrid w:val="0"/>
              <w:spacing w:line="260" w:lineRule="exact"/>
              <w:ind w:left="-57" w:right="-57"/>
              <w:jc w:val="center"/>
              <w:rPr>
                <w:szCs w:val="21"/>
              </w:rPr>
            </w:pPr>
          </w:p>
        </w:tc>
        <w:tc>
          <w:tcPr>
            <w:tcW w:w="586" w:type="dxa"/>
            <w:vMerge w:val="continue"/>
            <w:vAlign w:val="center"/>
          </w:tcPr>
          <w:p>
            <w:pPr>
              <w:adjustRightInd w:val="0"/>
              <w:snapToGrid w:val="0"/>
              <w:spacing w:line="260" w:lineRule="exact"/>
              <w:ind w:left="-57" w:right="-57"/>
              <w:jc w:val="center"/>
              <w:rPr>
                <w:szCs w:val="21"/>
              </w:rPr>
            </w:pPr>
          </w:p>
        </w:tc>
        <w:tc>
          <w:tcPr>
            <w:tcW w:w="682" w:type="dxa"/>
            <w:vAlign w:val="center"/>
          </w:tcPr>
          <w:p>
            <w:pPr>
              <w:adjustRightInd w:val="0"/>
              <w:snapToGrid w:val="0"/>
              <w:spacing w:line="260" w:lineRule="exact"/>
              <w:jc w:val="center"/>
              <w:rPr>
                <w:szCs w:val="21"/>
              </w:rPr>
            </w:pPr>
            <w:r>
              <w:rPr>
                <w:szCs w:val="21"/>
              </w:rPr>
              <w:t>3</w:t>
            </w:r>
          </w:p>
        </w:tc>
        <w:tc>
          <w:tcPr>
            <w:tcW w:w="1826" w:type="dxa"/>
            <w:vAlign w:val="center"/>
          </w:tcPr>
          <w:p>
            <w:pPr>
              <w:adjustRightInd w:val="0"/>
              <w:snapToGrid w:val="0"/>
              <w:spacing w:line="260" w:lineRule="exact"/>
              <w:jc w:val="center"/>
              <w:rPr>
                <w:szCs w:val="21"/>
              </w:rPr>
            </w:pPr>
            <w:r>
              <w:rPr>
                <w:rFonts w:hAnsi="宋体"/>
                <w:szCs w:val="21"/>
              </w:rPr>
              <w:t>门牌号缺失缺损</w:t>
            </w:r>
          </w:p>
        </w:tc>
        <w:tc>
          <w:tcPr>
            <w:tcW w:w="6869" w:type="dxa"/>
            <w:vAlign w:val="center"/>
          </w:tcPr>
          <w:p>
            <w:pPr>
              <w:widowControl/>
              <w:adjustRightInd w:val="0"/>
              <w:snapToGrid w:val="0"/>
              <w:spacing w:line="260" w:lineRule="exact"/>
              <w:rPr>
                <w:kern w:val="0"/>
                <w:szCs w:val="21"/>
              </w:rPr>
            </w:pPr>
            <w:r>
              <w:rPr>
                <w:rFonts w:hAnsi="宋体"/>
                <w:kern w:val="0"/>
                <w:szCs w:val="21"/>
              </w:rPr>
              <w:t>大楼幢数、单元门牌号缺失或破损</w:t>
            </w:r>
          </w:p>
        </w:tc>
        <w:tc>
          <w:tcPr>
            <w:tcW w:w="1026" w:type="dxa"/>
            <w:vAlign w:val="center"/>
          </w:tcPr>
          <w:p>
            <w:pPr>
              <w:widowControl/>
              <w:adjustRightInd w:val="0"/>
              <w:snapToGrid w:val="0"/>
              <w:spacing w:line="260" w:lineRule="exact"/>
              <w:jc w:val="center"/>
              <w:rPr>
                <w:szCs w:val="21"/>
              </w:rPr>
            </w:pPr>
            <w:r>
              <w:rPr>
                <w:kern w:val="0"/>
                <w:szCs w:val="21"/>
              </w:rPr>
              <w:t>3</w:t>
            </w:r>
            <w:r>
              <w:rPr>
                <w:rFonts w:hAnsi="宋体"/>
                <w:kern w:val="0"/>
                <w:szCs w:val="21"/>
              </w:rPr>
              <w:t>工作日</w:t>
            </w:r>
          </w:p>
        </w:tc>
        <w:tc>
          <w:tcPr>
            <w:tcW w:w="1293" w:type="dxa"/>
            <w:vMerge w:val="continue"/>
            <w:vAlign w:val="center"/>
          </w:tcPr>
          <w:p>
            <w:pPr>
              <w:adjustRightInd w:val="0"/>
              <w:snapToGrid w:val="0"/>
              <w:spacing w:line="260" w:lineRule="exact"/>
              <w:jc w:val="center"/>
              <w:rPr>
                <w:szCs w:val="21"/>
              </w:rPr>
            </w:pPr>
          </w:p>
        </w:tc>
        <w:tc>
          <w:tcPr>
            <w:tcW w:w="868" w:type="dxa"/>
            <w:vAlign w:val="center"/>
          </w:tcPr>
          <w:p>
            <w:pPr>
              <w:adjustRightInd w:val="0"/>
              <w:snapToGrid w:val="0"/>
              <w:spacing w:line="260" w:lineRule="exact"/>
              <w:ind w:left="-57" w:right="-57"/>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Merge w:val="continue"/>
          </w:tcPr>
          <w:p>
            <w:pPr>
              <w:adjustRightInd w:val="0"/>
              <w:snapToGrid w:val="0"/>
              <w:spacing w:line="260" w:lineRule="exact"/>
              <w:ind w:left="-57" w:right="-57"/>
              <w:jc w:val="center"/>
              <w:rPr>
                <w:szCs w:val="21"/>
              </w:rPr>
            </w:pPr>
          </w:p>
        </w:tc>
        <w:tc>
          <w:tcPr>
            <w:tcW w:w="586" w:type="dxa"/>
            <w:vMerge w:val="continue"/>
            <w:vAlign w:val="center"/>
          </w:tcPr>
          <w:p>
            <w:pPr>
              <w:adjustRightInd w:val="0"/>
              <w:snapToGrid w:val="0"/>
              <w:spacing w:line="260" w:lineRule="exact"/>
              <w:ind w:left="-57" w:right="-57"/>
              <w:jc w:val="center"/>
              <w:rPr>
                <w:szCs w:val="21"/>
              </w:rPr>
            </w:pPr>
          </w:p>
        </w:tc>
        <w:tc>
          <w:tcPr>
            <w:tcW w:w="682" w:type="dxa"/>
            <w:vAlign w:val="center"/>
          </w:tcPr>
          <w:p>
            <w:pPr>
              <w:adjustRightInd w:val="0"/>
              <w:snapToGrid w:val="0"/>
              <w:spacing w:line="260" w:lineRule="exact"/>
              <w:jc w:val="center"/>
              <w:rPr>
                <w:szCs w:val="21"/>
              </w:rPr>
            </w:pPr>
            <w:r>
              <w:rPr>
                <w:szCs w:val="21"/>
              </w:rPr>
              <w:t>4</w:t>
            </w:r>
          </w:p>
        </w:tc>
        <w:tc>
          <w:tcPr>
            <w:tcW w:w="1826" w:type="dxa"/>
            <w:vAlign w:val="center"/>
          </w:tcPr>
          <w:p>
            <w:pPr>
              <w:adjustRightInd w:val="0"/>
              <w:snapToGrid w:val="0"/>
              <w:spacing w:line="260" w:lineRule="exact"/>
              <w:jc w:val="center"/>
              <w:rPr>
                <w:szCs w:val="21"/>
              </w:rPr>
            </w:pPr>
            <w:r>
              <w:rPr>
                <w:rFonts w:hAnsi="宋体"/>
                <w:szCs w:val="21"/>
              </w:rPr>
              <w:t>井盖缺损</w:t>
            </w:r>
          </w:p>
        </w:tc>
        <w:tc>
          <w:tcPr>
            <w:tcW w:w="6869" w:type="dxa"/>
            <w:vAlign w:val="center"/>
          </w:tcPr>
          <w:p>
            <w:pPr>
              <w:widowControl/>
              <w:adjustRightInd w:val="0"/>
              <w:snapToGrid w:val="0"/>
              <w:spacing w:line="260" w:lineRule="exact"/>
              <w:rPr>
                <w:kern w:val="0"/>
                <w:szCs w:val="21"/>
              </w:rPr>
            </w:pPr>
            <w:r>
              <w:rPr>
                <w:rFonts w:hAnsi="宋体"/>
                <w:kern w:val="0"/>
                <w:szCs w:val="21"/>
              </w:rPr>
              <w:t>各类井盖（含雨水箅子、格栅）破损、缺失</w:t>
            </w:r>
          </w:p>
        </w:tc>
        <w:tc>
          <w:tcPr>
            <w:tcW w:w="1026" w:type="dxa"/>
            <w:vAlign w:val="center"/>
          </w:tcPr>
          <w:p>
            <w:pPr>
              <w:widowControl/>
              <w:adjustRightInd w:val="0"/>
              <w:snapToGrid w:val="0"/>
              <w:spacing w:line="260" w:lineRule="exact"/>
              <w:jc w:val="center"/>
              <w:rPr>
                <w:szCs w:val="21"/>
              </w:rPr>
            </w:pPr>
            <w:r>
              <w:rPr>
                <w:kern w:val="0"/>
                <w:szCs w:val="21"/>
              </w:rPr>
              <w:t>3</w:t>
            </w:r>
            <w:r>
              <w:rPr>
                <w:rFonts w:hAnsi="宋体"/>
                <w:kern w:val="0"/>
                <w:szCs w:val="21"/>
              </w:rPr>
              <w:t>工作日</w:t>
            </w:r>
          </w:p>
        </w:tc>
        <w:tc>
          <w:tcPr>
            <w:tcW w:w="1293" w:type="dxa"/>
            <w:vMerge w:val="continue"/>
            <w:vAlign w:val="center"/>
          </w:tcPr>
          <w:p>
            <w:pPr>
              <w:adjustRightInd w:val="0"/>
              <w:snapToGrid w:val="0"/>
              <w:spacing w:line="260" w:lineRule="exact"/>
              <w:jc w:val="center"/>
              <w:rPr>
                <w:szCs w:val="21"/>
              </w:rPr>
            </w:pPr>
          </w:p>
        </w:tc>
        <w:tc>
          <w:tcPr>
            <w:tcW w:w="868" w:type="dxa"/>
            <w:vAlign w:val="center"/>
          </w:tcPr>
          <w:p>
            <w:pPr>
              <w:adjustRightInd w:val="0"/>
              <w:snapToGrid w:val="0"/>
              <w:spacing w:line="260" w:lineRule="exact"/>
              <w:ind w:left="-57" w:right="-57"/>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Merge w:val="continue"/>
          </w:tcPr>
          <w:p>
            <w:pPr>
              <w:adjustRightInd w:val="0"/>
              <w:snapToGrid w:val="0"/>
              <w:spacing w:line="260" w:lineRule="exact"/>
              <w:ind w:left="-57" w:right="-57"/>
              <w:jc w:val="center"/>
              <w:rPr>
                <w:szCs w:val="21"/>
              </w:rPr>
            </w:pPr>
          </w:p>
        </w:tc>
        <w:tc>
          <w:tcPr>
            <w:tcW w:w="586" w:type="dxa"/>
            <w:vMerge w:val="continue"/>
            <w:vAlign w:val="center"/>
          </w:tcPr>
          <w:p>
            <w:pPr>
              <w:adjustRightInd w:val="0"/>
              <w:snapToGrid w:val="0"/>
              <w:spacing w:line="260" w:lineRule="exact"/>
              <w:ind w:left="-57" w:right="-57"/>
              <w:jc w:val="center"/>
              <w:rPr>
                <w:szCs w:val="21"/>
              </w:rPr>
            </w:pPr>
          </w:p>
        </w:tc>
        <w:tc>
          <w:tcPr>
            <w:tcW w:w="682" w:type="dxa"/>
            <w:vAlign w:val="center"/>
          </w:tcPr>
          <w:p>
            <w:pPr>
              <w:adjustRightInd w:val="0"/>
              <w:snapToGrid w:val="0"/>
              <w:spacing w:line="260" w:lineRule="exact"/>
              <w:jc w:val="center"/>
              <w:rPr>
                <w:szCs w:val="21"/>
              </w:rPr>
            </w:pPr>
            <w:r>
              <w:rPr>
                <w:szCs w:val="21"/>
              </w:rPr>
              <w:t>5</w:t>
            </w:r>
          </w:p>
        </w:tc>
        <w:tc>
          <w:tcPr>
            <w:tcW w:w="1826" w:type="dxa"/>
            <w:vAlign w:val="center"/>
          </w:tcPr>
          <w:p>
            <w:pPr>
              <w:adjustRightInd w:val="0"/>
              <w:snapToGrid w:val="0"/>
              <w:spacing w:line="260" w:lineRule="exact"/>
              <w:jc w:val="center"/>
              <w:rPr>
                <w:szCs w:val="21"/>
              </w:rPr>
            </w:pPr>
            <w:r>
              <w:rPr>
                <w:rFonts w:hAnsi="宋体"/>
                <w:szCs w:val="21"/>
              </w:rPr>
              <w:t>消防设施缺损</w:t>
            </w:r>
          </w:p>
        </w:tc>
        <w:tc>
          <w:tcPr>
            <w:tcW w:w="6869" w:type="dxa"/>
            <w:vAlign w:val="center"/>
          </w:tcPr>
          <w:p>
            <w:pPr>
              <w:widowControl/>
              <w:adjustRightInd w:val="0"/>
              <w:snapToGrid w:val="0"/>
              <w:spacing w:line="260" w:lineRule="exact"/>
              <w:rPr>
                <w:kern w:val="0"/>
                <w:szCs w:val="21"/>
              </w:rPr>
            </w:pPr>
            <w:r>
              <w:rPr>
                <w:rFonts w:hAnsi="宋体"/>
                <w:kern w:val="0"/>
                <w:szCs w:val="21"/>
              </w:rPr>
              <w:t>消防栓（箱）设施破损、漏水、缺失</w:t>
            </w:r>
          </w:p>
        </w:tc>
        <w:tc>
          <w:tcPr>
            <w:tcW w:w="1026" w:type="dxa"/>
            <w:vAlign w:val="center"/>
          </w:tcPr>
          <w:p>
            <w:pPr>
              <w:widowControl/>
              <w:adjustRightInd w:val="0"/>
              <w:snapToGrid w:val="0"/>
              <w:spacing w:line="260" w:lineRule="exact"/>
              <w:jc w:val="center"/>
              <w:rPr>
                <w:szCs w:val="21"/>
              </w:rPr>
            </w:pPr>
            <w:r>
              <w:rPr>
                <w:kern w:val="0"/>
                <w:szCs w:val="21"/>
              </w:rPr>
              <w:t>3</w:t>
            </w:r>
            <w:r>
              <w:rPr>
                <w:rFonts w:hAnsi="宋体"/>
                <w:kern w:val="0"/>
                <w:szCs w:val="21"/>
              </w:rPr>
              <w:t>工作日</w:t>
            </w:r>
          </w:p>
        </w:tc>
        <w:tc>
          <w:tcPr>
            <w:tcW w:w="1293" w:type="dxa"/>
            <w:vMerge w:val="continue"/>
            <w:vAlign w:val="center"/>
          </w:tcPr>
          <w:p>
            <w:pPr>
              <w:adjustRightInd w:val="0"/>
              <w:snapToGrid w:val="0"/>
              <w:spacing w:line="260" w:lineRule="exact"/>
              <w:jc w:val="center"/>
              <w:rPr>
                <w:szCs w:val="21"/>
              </w:rPr>
            </w:pPr>
          </w:p>
        </w:tc>
        <w:tc>
          <w:tcPr>
            <w:tcW w:w="868" w:type="dxa"/>
            <w:vAlign w:val="center"/>
          </w:tcPr>
          <w:p>
            <w:pPr>
              <w:adjustRightInd w:val="0"/>
              <w:snapToGrid w:val="0"/>
              <w:spacing w:line="260" w:lineRule="exact"/>
              <w:ind w:left="-57" w:right="-57"/>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546" w:type="dxa"/>
            <w:vMerge w:val="continue"/>
          </w:tcPr>
          <w:p>
            <w:pPr>
              <w:adjustRightInd w:val="0"/>
              <w:snapToGrid w:val="0"/>
              <w:spacing w:line="260" w:lineRule="exact"/>
              <w:ind w:left="-57" w:right="-57"/>
              <w:jc w:val="center"/>
              <w:rPr>
                <w:szCs w:val="21"/>
              </w:rPr>
            </w:pPr>
          </w:p>
        </w:tc>
        <w:tc>
          <w:tcPr>
            <w:tcW w:w="586" w:type="dxa"/>
            <w:vMerge w:val="continue"/>
            <w:vAlign w:val="center"/>
          </w:tcPr>
          <w:p>
            <w:pPr>
              <w:adjustRightInd w:val="0"/>
              <w:snapToGrid w:val="0"/>
              <w:spacing w:line="260" w:lineRule="exact"/>
              <w:ind w:left="-57" w:right="-57"/>
              <w:jc w:val="center"/>
              <w:rPr>
                <w:szCs w:val="21"/>
              </w:rPr>
            </w:pPr>
          </w:p>
        </w:tc>
        <w:tc>
          <w:tcPr>
            <w:tcW w:w="682" w:type="dxa"/>
            <w:vAlign w:val="center"/>
          </w:tcPr>
          <w:p>
            <w:pPr>
              <w:adjustRightInd w:val="0"/>
              <w:snapToGrid w:val="0"/>
              <w:spacing w:line="260" w:lineRule="exact"/>
              <w:jc w:val="center"/>
              <w:rPr>
                <w:szCs w:val="21"/>
              </w:rPr>
            </w:pPr>
            <w:r>
              <w:rPr>
                <w:szCs w:val="21"/>
              </w:rPr>
              <w:t>6</w:t>
            </w:r>
          </w:p>
        </w:tc>
        <w:tc>
          <w:tcPr>
            <w:tcW w:w="1826" w:type="dxa"/>
            <w:vAlign w:val="center"/>
          </w:tcPr>
          <w:p>
            <w:pPr>
              <w:adjustRightInd w:val="0"/>
              <w:snapToGrid w:val="0"/>
              <w:spacing w:line="260" w:lineRule="exact"/>
              <w:jc w:val="center"/>
              <w:rPr>
                <w:szCs w:val="21"/>
              </w:rPr>
            </w:pPr>
            <w:r>
              <w:rPr>
                <w:rFonts w:hAnsi="宋体"/>
                <w:kern w:val="0"/>
                <w:szCs w:val="21"/>
              </w:rPr>
              <w:t>公共设施</w:t>
            </w:r>
            <w:r>
              <w:rPr>
                <w:rFonts w:hAnsi="宋体"/>
                <w:szCs w:val="21"/>
              </w:rPr>
              <w:t>缺损</w:t>
            </w:r>
          </w:p>
        </w:tc>
        <w:tc>
          <w:tcPr>
            <w:tcW w:w="6869" w:type="dxa"/>
            <w:vAlign w:val="center"/>
          </w:tcPr>
          <w:p>
            <w:pPr>
              <w:widowControl/>
              <w:adjustRightInd w:val="0"/>
              <w:snapToGrid w:val="0"/>
              <w:spacing w:line="260" w:lineRule="exact"/>
              <w:rPr>
                <w:kern w:val="0"/>
                <w:szCs w:val="21"/>
              </w:rPr>
            </w:pPr>
            <w:r>
              <w:rPr>
                <w:rFonts w:hAnsi="宋体"/>
                <w:kern w:val="0"/>
                <w:szCs w:val="21"/>
              </w:rPr>
              <w:t>公共设施（宣传栏，公告栏，健身、游乐器材，信报箱，景观灯、路灯，监控，各类立杆、标示标牌，休息桌椅、花台等）破损、锈蚀、缺失、倾斜、断裂</w:t>
            </w:r>
          </w:p>
        </w:tc>
        <w:tc>
          <w:tcPr>
            <w:tcW w:w="1026" w:type="dxa"/>
            <w:vAlign w:val="center"/>
          </w:tcPr>
          <w:p>
            <w:pPr>
              <w:widowControl/>
              <w:adjustRightInd w:val="0"/>
              <w:snapToGrid w:val="0"/>
              <w:spacing w:line="260" w:lineRule="exact"/>
              <w:jc w:val="center"/>
              <w:rPr>
                <w:szCs w:val="21"/>
              </w:rPr>
            </w:pPr>
            <w:r>
              <w:rPr>
                <w:kern w:val="0"/>
                <w:szCs w:val="21"/>
              </w:rPr>
              <w:t>3</w:t>
            </w:r>
            <w:r>
              <w:rPr>
                <w:rFonts w:hAnsi="宋体"/>
                <w:kern w:val="0"/>
                <w:szCs w:val="21"/>
              </w:rPr>
              <w:t>工作日</w:t>
            </w:r>
          </w:p>
        </w:tc>
        <w:tc>
          <w:tcPr>
            <w:tcW w:w="1293" w:type="dxa"/>
            <w:vMerge w:val="continue"/>
            <w:vAlign w:val="center"/>
          </w:tcPr>
          <w:p>
            <w:pPr>
              <w:adjustRightInd w:val="0"/>
              <w:snapToGrid w:val="0"/>
              <w:spacing w:line="260" w:lineRule="exact"/>
              <w:jc w:val="center"/>
              <w:rPr>
                <w:szCs w:val="21"/>
              </w:rPr>
            </w:pPr>
          </w:p>
        </w:tc>
        <w:tc>
          <w:tcPr>
            <w:tcW w:w="868" w:type="dxa"/>
            <w:vAlign w:val="center"/>
          </w:tcPr>
          <w:p>
            <w:pPr>
              <w:adjustRightInd w:val="0"/>
              <w:snapToGrid w:val="0"/>
              <w:spacing w:line="260" w:lineRule="exact"/>
              <w:ind w:left="-57" w:right="-57"/>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Merge w:val="continue"/>
          </w:tcPr>
          <w:p>
            <w:pPr>
              <w:adjustRightInd w:val="0"/>
              <w:snapToGrid w:val="0"/>
              <w:spacing w:line="260" w:lineRule="exact"/>
              <w:ind w:left="-57" w:right="-57"/>
              <w:jc w:val="center"/>
              <w:rPr>
                <w:szCs w:val="21"/>
              </w:rPr>
            </w:pPr>
          </w:p>
        </w:tc>
        <w:tc>
          <w:tcPr>
            <w:tcW w:w="586" w:type="dxa"/>
            <w:vMerge w:val="continue"/>
            <w:vAlign w:val="center"/>
          </w:tcPr>
          <w:p>
            <w:pPr>
              <w:adjustRightInd w:val="0"/>
              <w:snapToGrid w:val="0"/>
              <w:spacing w:line="260" w:lineRule="exact"/>
              <w:ind w:left="-57" w:right="-57"/>
              <w:jc w:val="center"/>
              <w:rPr>
                <w:szCs w:val="21"/>
              </w:rPr>
            </w:pPr>
          </w:p>
        </w:tc>
        <w:tc>
          <w:tcPr>
            <w:tcW w:w="682" w:type="dxa"/>
            <w:vAlign w:val="center"/>
          </w:tcPr>
          <w:p>
            <w:pPr>
              <w:adjustRightInd w:val="0"/>
              <w:snapToGrid w:val="0"/>
              <w:spacing w:line="260" w:lineRule="exact"/>
              <w:jc w:val="center"/>
              <w:rPr>
                <w:szCs w:val="21"/>
              </w:rPr>
            </w:pPr>
            <w:r>
              <w:rPr>
                <w:szCs w:val="21"/>
              </w:rPr>
              <w:t>7</w:t>
            </w:r>
          </w:p>
        </w:tc>
        <w:tc>
          <w:tcPr>
            <w:tcW w:w="1826" w:type="dxa"/>
            <w:vAlign w:val="center"/>
          </w:tcPr>
          <w:p>
            <w:pPr>
              <w:adjustRightInd w:val="0"/>
              <w:snapToGrid w:val="0"/>
              <w:spacing w:line="260" w:lineRule="exact"/>
              <w:jc w:val="center"/>
              <w:rPr>
                <w:kern w:val="0"/>
                <w:szCs w:val="21"/>
              </w:rPr>
            </w:pPr>
            <w:r>
              <w:rPr>
                <w:rFonts w:hAnsi="宋体"/>
                <w:kern w:val="0"/>
                <w:szCs w:val="21"/>
              </w:rPr>
              <w:t>环卫设施</w:t>
            </w:r>
            <w:r>
              <w:rPr>
                <w:rFonts w:hAnsi="宋体"/>
                <w:szCs w:val="21"/>
              </w:rPr>
              <w:t>缺损</w:t>
            </w:r>
          </w:p>
        </w:tc>
        <w:tc>
          <w:tcPr>
            <w:tcW w:w="6869" w:type="dxa"/>
            <w:vAlign w:val="center"/>
          </w:tcPr>
          <w:p>
            <w:pPr>
              <w:widowControl/>
              <w:adjustRightInd w:val="0"/>
              <w:snapToGrid w:val="0"/>
              <w:spacing w:line="260" w:lineRule="exact"/>
              <w:rPr>
                <w:kern w:val="0"/>
                <w:szCs w:val="21"/>
              </w:rPr>
            </w:pPr>
            <w:r>
              <w:rPr>
                <w:rFonts w:hAnsi="宋体"/>
                <w:kern w:val="0"/>
                <w:szCs w:val="21"/>
              </w:rPr>
              <w:t>环卫设施（公厕、垃圾箱、果壳箱、垃圾亭等）缺失、破损</w:t>
            </w:r>
            <w:r>
              <w:rPr>
                <w:rFonts w:hint="eastAsia" w:hAnsi="宋体"/>
                <w:kern w:val="0"/>
                <w:szCs w:val="21"/>
              </w:rPr>
              <w:t>、脏，分类桶颜色错误，桶标识不清晰，桶未盖，分类亭、分散式收集点标识牌错误、缺失，责任牌缺失</w:t>
            </w:r>
          </w:p>
        </w:tc>
        <w:tc>
          <w:tcPr>
            <w:tcW w:w="1026" w:type="dxa"/>
            <w:vAlign w:val="center"/>
          </w:tcPr>
          <w:p>
            <w:pPr>
              <w:widowControl/>
              <w:adjustRightInd w:val="0"/>
              <w:snapToGrid w:val="0"/>
              <w:spacing w:line="260" w:lineRule="exact"/>
              <w:jc w:val="center"/>
              <w:rPr>
                <w:szCs w:val="21"/>
              </w:rPr>
            </w:pPr>
            <w:r>
              <w:rPr>
                <w:kern w:val="0"/>
                <w:szCs w:val="21"/>
              </w:rPr>
              <w:t>3</w:t>
            </w:r>
            <w:r>
              <w:rPr>
                <w:rFonts w:hAnsi="宋体"/>
                <w:kern w:val="0"/>
                <w:szCs w:val="21"/>
              </w:rPr>
              <w:t>工作日</w:t>
            </w:r>
          </w:p>
        </w:tc>
        <w:tc>
          <w:tcPr>
            <w:tcW w:w="1293" w:type="dxa"/>
            <w:vMerge w:val="continue"/>
            <w:vAlign w:val="center"/>
          </w:tcPr>
          <w:p>
            <w:pPr>
              <w:adjustRightInd w:val="0"/>
              <w:snapToGrid w:val="0"/>
              <w:spacing w:line="260" w:lineRule="exact"/>
              <w:jc w:val="center"/>
              <w:rPr>
                <w:szCs w:val="21"/>
              </w:rPr>
            </w:pPr>
          </w:p>
        </w:tc>
        <w:tc>
          <w:tcPr>
            <w:tcW w:w="868" w:type="dxa"/>
            <w:vAlign w:val="center"/>
          </w:tcPr>
          <w:p>
            <w:pPr>
              <w:adjustRightInd w:val="0"/>
              <w:snapToGrid w:val="0"/>
              <w:spacing w:line="260" w:lineRule="exact"/>
              <w:ind w:left="-57" w:right="-57"/>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Merge w:val="continue"/>
          </w:tcPr>
          <w:p>
            <w:pPr>
              <w:adjustRightInd w:val="0"/>
              <w:snapToGrid w:val="0"/>
              <w:spacing w:line="260" w:lineRule="exact"/>
              <w:ind w:left="-57" w:right="-57"/>
              <w:jc w:val="center"/>
              <w:rPr>
                <w:szCs w:val="21"/>
              </w:rPr>
            </w:pPr>
          </w:p>
        </w:tc>
        <w:tc>
          <w:tcPr>
            <w:tcW w:w="586" w:type="dxa"/>
            <w:vMerge w:val="restart"/>
            <w:vAlign w:val="center"/>
          </w:tcPr>
          <w:p>
            <w:pPr>
              <w:adjustRightInd w:val="0"/>
              <w:snapToGrid w:val="0"/>
              <w:spacing w:line="260" w:lineRule="exact"/>
              <w:ind w:left="-57" w:right="-57"/>
              <w:jc w:val="center"/>
              <w:rPr>
                <w:szCs w:val="21"/>
              </w:rPr>
            </w:pPr>
            <w:r>
              <w:rPr>
                <w:rFonts w:hAnsi="宋体"/>
                <w:szCs w:val="21"/>
              </w:rPr>
              <w:t>环境秩序</w:t>
            </w:r>
          </w:p>
        </w:tc>
        <w:tc>
          <w:tcPr>
            <w:tcW w:w="682" w:type="dxa"/>
            <w:vAlign w:val="center"/>
          </w:tcPr>
          <w:p>
            <w:pPr>
              <w:adjustRightInd w:val="0"/>
              <w:snapToGrid w:val="0"/>
              <w:spacing w:line="260" w:lineRule="exact"/>
              <w:jc w:val="center"/>
              <w:rPr>
                <w:szCs w:val="21"/>
              </w:rPr>
            </w:pPr>
            <w:r>
              <w:rPr>
                <w:szCs w:val="21"/>
              </w:rPr>
              <w:t>8</w:t>
            </w:r>
          </w:p>
        </w:tc>
        <w:tc>
          <w:tcPr>
            <w:tcW w:w="1826" w:type="dxa"/>
            <w:vAlign w:val="center"/>
          </w:tcPr>
          <w:p>
            <w:pPr>
              <w:adjustRightInd w:val="0"/>
              <w:snapToGrid w:val="0"/>
              <w:spacing w:line="260" w:lineRule="exact"/>
              <w:jc w:val="center"/>
              <w:rPr>
                <w:kern w:val="0"/>
                <w:szCs w:val="21"/>
              </w:rPr>
            </w:pPr>
            <w:r>
              <w:rPr>
                <w:rFonts w:hAnsi="宋体"/>
                <w:kern w:val="0"/>
                <w:szCs w:val="21"/>
              </w:rPr>
              <w:t>清扫保洁不干净</w:t>
            </w:r>
          </w:p>
        </w:tc>
        <w:tc>
          <w:tcPr>
            <w:tcW w:w="6869" w:type="dxa"/>
            <w:vAlign w:val="center"/>
          </w:tcPr>
          <w:p>
            <w:pPr>
              <w:widowControl/>
              <w:adjustRightInd w:val="0"/>
              <w:snapToGrid w:val="0"/>
              <w:spacing w:line="260" w:lineRule="exact"/>
              <w:rPr>
                <w:kern w:val="0"/>
                <w:szCs w:val="21"/>
              </w:rPr>
            </w:pPr>
            <w:r>
              <w:rPr>
                <w:rFonts w:hAnsi="宋体"/>
                <w:kern w:val="0"/>
                <w:szCs w:val="21"/>
              </w:rPr>
              <w:t>小区内有散落垃圾、淤泥、积尘、污水横溢，水面有漂浮物</w:t>
            </w:r>
          </w:p>
        </w:tc>
        <w:tc>
          <w:tcPr>
            <w:tcW w:w="1026" w:type="dxa"/>
            <w:vAlign w:val="center"/>
          </w:tcPr>
          <w:p>
            <w:pPr>
              <w:widowControl/>
              <w:adjustRightInd w:val="0"/>
              <w:snapToGrid w:val="0"/>
              <w:spacing w:line="260" w:lineRule="exact"/>
              <w:jc w:val="center"/>
              <w:rPr>
                <w:szCs w:val="21"/>
              </w:rPr>
            </w:pPr>
            <w:r>
              <w:rPr>
                <w:kern w:val="0"/>
                <w:szCs w:val="21"/>
              </w:rPr>
              <w:t>2</w:t>
            </w:r>
            <w:r>
              <w:rPr>
                <w:rFonts w:hAnsi="宋体"/>
                <w:kern w:val="0"/>
                <w:szCs w:val="21"/>
              </w:rPr>
              <w:t>工作时</w:t>
            </w:r>
          </w:p>
        </w:tc>
        <w:tc>
          <w:tcPr>
            <w:tcW w:w="1293" w:type="dxa"/>
            <w:vMerge w:val="continue"/>
            <w:vAlign w:val="center"/>
          </w:tcPr>
          <w:p>
            <w:pPr>
              <w:adjustRightInd w:val="0"/>
              <w:snapToGrid w:val="0"/>
              <w:spacing w:line="260" w:lineRule="exact"/>
              <w:jc w:val="center"/>
              <w:rPr>
                <w:szCs w:val="21"/>
              </w:rPr>
            </w:pPr>
          </w:p>
        </w:tc>
        <w:tc>
          <w:tcPr>
            <w:tcW w:w="868" w:type="dxa"/>
            <w:vAlign w:val="center"/>
          </w:tcPr>
          <w:p>
            <w:pPr>
              <w:adjustRightInd w:val="0"/>
              <w:snapToGrid w:val="0"/>
              <w:spacing w:line="260" w:lineRule="exact"/>
              <w:ind w:left="-57" w:right="-57"/>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Merge w:val="continue"/>
          </w:tcPr>
          <w:p>
            <w:pPr>
              <w:adjustRightInd w:val="0"/>
              <w:snapToGrid w:val="0"/>
              <w:spacing w:line="260" w:lineRule="exact"/>
              <w:ind w:left="-57" w:right="-57"/>
              <w:jc w:val="center"/>
              <w:rPr>
                <w:szCs w:val="21"/>
              </w:rPr>
            </w:pPr>
          </w:p>
        </w:tc>
        <w:tc>
          <w:tcPr>
            <w:tcW w:w="586" w:type="dxa"/>
            <w:vMerge w:val="continue"/>
            <w:vAlign w:val="center"/>
          </w:tcPr>
          <w:p>
            <w:pPr>
              <w:adjustRightInd w:val="0"/>
              <w:snapToGrid w:val="0"/>
              <w:spacing w:line="260" w:lineRule="exact"/>
              <w:ind w:left="-57" w:right="-57"/>
              <w:jc w:val="center"/>
              <w:rPr>
                <w:szCs w:val="21"/>
              </w:rPr>
            </w:pPr>
          </w:p>
        </w:tc>
        <w:tc>
          <w:tcPr>
            <w:tcW w:w="682" w:type="dxa"/>
            <w:vAlign w:val="center"/>
          </w:tcPr>
          <w:p>
            <w:pPr>
              <w:adjustRightInd w:val="0"/>
              <w:snapToGrid w:val="0"/>
              <w:spacing w:line="260" w:lineRule="exact"/>
              <w:jc w:val="center"/>
              <w:rPr>
                <w:szCs w:val="21"/>
              </w:rPr>
            </w:pPr>
            <w:r>
              <w:rPr>
                <w:szCs w:val="21"/>
              </w:rPr>
              <w:t>9</w:t>
            </w:r>
          </w:p>
        </w:tc>
        <w:tc>
          <w:tcPr>
            <w:tcW w:w="1826" w:type="dxa"/>
            <w:vAlign w:val="center"/>
          </w:tcPr>
          <w:p>
            <w:pPr>
              <w:adjustRightInd w:val="0"/>
              <w:snapToGrid w:val="0"/>
              <w:spacing w:line="260" w:lineRule="exact"/>
              <w:jc w:val="center"/>
              <w:rPr>
                <w:kern w:val="0"/>
                <w:szCs w:val="21"/>
              </w:rPr>
            </w:pPr>
            <w:r>
              <w:rPr>
                <w:rFonts w:hAnsi="宋体"/>
                <w:kern w:val="0"/>
                <w:szCs w:val="21"/>
              </w:rPr>
              <w:t>焚烧垃圾</w:t>
            </w:r>
          </w:p>
        </w:tc>
        <w:tc>
          <w:tcPr>
            <w:tcW w:w="6869" w:type="dxa"/>
            <w:vAlign w:val="center"/>
          </w:tcPr>
          <w:p>
            <w:pPr>
              <w:widowControl/>
              <w:adjustRightInd w:val="0"/>
              <w:snapToGrid w:val="0"/>
              <w:spacing w:line="260" w:lineRule="exact"/>
              <w:rPr>
                <w:kern w:val="0"/>
                <w:szCs w:val="21"/>
              </w:rPr>
            </w:pPr>
            <w:r>
              <w:rPr>
                <w:rFonts w:hAnsi="宋体"/>
                <w:kern w:val="0"/>
                <w:szCs w:val="21"/>
              </w:rPr>
              <w:t>焚烧垃圾（树叶）现象（痕迹）的</w:t>
            </w:r>
          </w:p>
        </w:tc>
        <w:tc>
          <w:tcPr>
            <w:tcW w:w="1026" w:type="dxa"/>
            <w:vAlign w:val="center"/>
          </w:tcPr>
          <w:p>
            <w:pPr>
              <w:widowControl/>
              <w:adjustRightInd w:val="0"/>
              <w:snapToGrid w:val="0"/>
              <w:spacing w:line="260" w:lineRule="exact"/>
              <w:jc w:val="center"/>
              <w:rPr>
                <w:szCs w:val="21"/>
              </w:rPr>
            </w:pPr>
            <w:r>
              <w:rPr>
                <w:kern w:val="0"/>
                <w:szCs w:val="21"/>
              </w:rPr>
              <w:t>2</w:t>
            </w:r>
            <w:r>
              <w:rPr>
                <w:rFonts w:hAnsi="宋体"/>
                <w:kern w:val="0"/>
                <w:szCs w:val="21"/>
              </w:rPr>
              <w:t>工作时</w:t>
            </w:r>
          </w:p>
        </w:tc>
        <w:tc>
          <w:tcPr>
            <w:tcW w:w="1293" w:type="dxa"/>
            <w:vMerge w:val="continue"/>
            <w:vAlign w:val="center"/>
          </w:tcPr>
          <w:p>
            <w:pPr>
              <w:adjustRightInd w:val="0"/>
              <w:snapToGrid w:val="0"/>
              <w:spacing w:line="260" w:lineRule="exact"/>
              <w:ind w:left="-57" w:right="-57"/>
              <w:jc w:val="center"/>
              <w:rPr>
                <w:szCs w:val="21"/>
              </w:rPr>
            </w:pPr>
          </w:p>
        </w:tc>
        <w:tc>
          <w:tcPr>
            <w:tcW w:w="868" w:type="dxa"/>
            <w:vAlign w:val="center"/>
          </w:tcPr>
          <w:p>
            <w:pPr>
              <w:adjustRightInd w:val="0"/>
              <w:snapToGrid w:val="0"/>
              <w:spacing w:line="260" w:lineRule="exact"/>
              <w:ind w:left="-57" w:right="-57"/>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Merge w:val="continue"/>
          </w:tcPr>
          <w:p>
            <w:pPr>
              <w:adjustRightInd w:val="0"/>
              <w:snapToGrid w:val="0"/>
              <w:spacing w:line="260" w:lineRule="exact"/>
              <w:ind w:left="-57" w:right="-57"/>
              <w:jc w:val="center"/>
              <w:rPr>
                <w:szCs w:val="21"/>
              </w:rPr>
            </w:pPr>
          </w:p>
        </w:tc>
        <w:tc>
          <w:tcPr>
            <w:tcW w:w="586" w:type="dxa"/>
            <w:vMerge w:val="continue"/>
            <w:vAlign w:val="center"/>
          </w:tcPr>
          <w:p>
            <w:pPr>
              <w:adjustRightInd w:val="0"/>
              <w:snapToGrid w:val="0"/>
              <w:spacing w:line="260" w:lineRule="exact"/>
              <w:ind w:left="-57" w:right="-57"/>
              <w:jc w:val="center"/>
              <w:rPr>
                <w:szCs w:val="21"/>
              </w:rPr>
            </w:pPr>
          </w:p>
        </w:tc>
        <w:tc>
          <w:tcPr>
            <w:tcW w:w="682" w:type="dxa"/>
            <w:vAlign w:val="center"/>
          </w:tcPr>
          <w:p>
            <w:pPr>
              <w:adjustRightInd w:val="0"/>
              <w:snapToGrid w:val="0"/>
              <w:spacing w:line="260" w:lineRule="exact"/>
              <w:jc w:val="center"/>
              <w:rPr>
                <w:szCs w:val="21"/>
              </w:rPr>
            </w:pPr>
            <w:r>
              <w:rPr>
                <w:szCs w:val="21"/>
              </w:rPr>
              <w:t>10</w:t>
            </w:r>
          </w:p>
        </w:tc>
        <w:tc>
          <w:tcPr>
            <w:tcW w:w="1826" w:type="dxa"/>
            <w:vAlign w:val="center"/>
          </w:tcPr>
          <w:p>
            <w:pPr>
              <w:adjustRightInd w:val="0"/>
              <w:snapToGrid w:val="0"/>
              <w:spacing w:line="260" w:lineRule="exact"/>
              <w:jc w:val="center"/>
              <w:rPr>
                <w:kern w:val="0"/>
                <w:szCs w:val="21"/>
              </w:rPr>
            </w:pPr>
            <w:r>
              <w:rPr>
                <w:rFonts w:hAnsi="宋体"/>
                <w:kern w:val="0"/>
                <w:szCs w:val="21"/>
              </w:rPr>
              <w:t>乱堆物料</w:t>
            </w:r>
          </w:p>
        </w:tc>
        <w:tc>
          <w:tcPr>
            <w:tcW w:w="6869" w:type="dxa"/>
            <w:vAlign w:val="center"/>
          </w:tcPr>
          <w:p>
            <w:pPr>
              <w:widowControl/>
              <w:adjustRightInd w:val="0"/>
              <w:snapToGrid w:val="0"/>
              <w:spacing w:line="260" w:lineRule="exact"/>
              <w:rPr>
                <w:kern w:val="0"/>
                <w:szCs w:val="21"/>
              </w:rPr>
            </w:pPr>
            <w:r>
              <w:rPr>
                <w:rFonts w:hAnsi="宋体"/>
                <w:kern w:val="0"/>
                <w:szCs w:val="21"/>
              </w:rPr>
              <w:t>小区内杂物堆放</w:t>
            </w:r>
          </w:p>
        </w:tc>
        <w:tc>
          <w:tcPr>
            <w:tcW w:w="1026" w:type="dxa"/>
            <w:vAlign w:val="center"/>
          </w:tcPr>
          <w:p>
            <w:pPr>
              <w:widowControl/>
              <w:adjustRightInd w:val="0"/>
              <w:snapToGrid w:val="0"/>
              <w:spacing w:line="260" w:lineRule="exact"/>
              <w:jc w:val="center"/>
              <w:rPr>
                <w:szCs w:val="21"/>
              </w:rPr>
            </w:pPr>
            <w:r>
              <w:rPr>
                <w:kern w:val="0"/>
                <w:szCs w:val="21"/>
              </w:rPr>
              <w:t>2</w:t>
            </w:r>
            <w:r>
              <w:rPr>
                <w:rFonts w:hAnsi="宋体"/>
                <w:kern w:val="0"/>
                <w:szCs w:val="21"/>
              </w:rPr>
              <w:t>工作时</w:t>
            </w:r>
          </w:p>
        </w:tc>
        <w:tc>
          <w:tcPr>
            <w:tcW w:w="1293" w:type="dxa"/>
            <w:vMerge w:val="continue"/>
            <w:vAlign w:val="center"/>
          </w:tcPr>
          <w:p>
            <w:pPr>
              <w:adjustRightInd w:val="0"/>
              <w:snapToGrid w:val="0"/>
              <w:spacing w:line="260" w:lineRule="exact"/>
              <w:jc w:val="center"/>
              <w:rPr>
                <w:szCs w:val="21"/>
              </w:rPr>
            </w:pPr>
          </w:p>
        </w:tc>
        <w:tc>
          <w:tcPr>
            <w:tcW w:w="868" w:type="dxa"/>
            <w:vAlign w:val="center"/>
          </w:tcPr>
          <w:p>
            <w:pPr>
              <w:adjustRightInd w:val="0"/>
              <w:snapToGrid w:val="0"/>
              <w:spacing w:line="260" w:lineRule="exact"/>
              <w:ind w:left="-57" w:right="-57"/>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Merge w:val="continue"/>
          </w:tcPr>
          <w:p>
            <w:pPr>
              <w:adjustRightInd w:val="0"/>
              <w:snapToGrid w:val="0"/>
              <w:spacing w:line="260" w:lineRule="exact"/>
              <w:ind w:left="-57" w:right="-57"/>
              <w:jc w:val="center"/>
              <w:rPr>
                <w:szCs w:val="21"/>
              </w:rPr>
            </w:pPr>
          </w:p>
        </w:tc>
        <w:tc>
          <w:tcPr>
            <w:tcW w:w="586" w:type="dxa"/>
            <w:vMerge w:val="continue"/>
            <w:vAlign w:val="center"/>
          </w:tcPr>
          <w:p>
            <w:pPr>
              <w:adjustRightInd w:val="0"/>
              <w:snapToGrid w:val="0"/>
              <w:spacing w:line="260" w:lineRule="exact"/>
              <w:ind w:left="-57" w:right="-57"/>
              <w:jc w:val="center"/>
              <w:rPr>
                <w:szCs w:val="21"/>
              </w:rPr>
            </w:pPr>
          </w:p>
        </w:tc>
        <w:tc>
          <w:tcPr>
            <w:tcW w:w="682" w:type="dxa"/>
            <w:vAlign w:val="center"/>
          </w:tcPr>
          <w:p>
            <w:pPr>
              <w:adjustRightInd w:val="0"/>
              <w:snapToGrid w:val="0"/>
              <w:spacing w:line="260" w:lineRule="exact"/>
              <w:jc w:val="center"/>
              <w:rPr>
                <w:szCs w:val="21"/>
              </w:rPr>
            </w:pPr>
            <w:r>
              <w:rPr>
                <w:szCs w:val="21"/>
              </w:rPr>
              <w:t>11</w:t>
            </w:r>
          </w:p>
        </w:tc>
        <w:tc>
          <w:tcPr>
            <w:tcW w:w="1826" w:type="dxa"/>
            <w:vAlign w:val="center"/>
          </w:tcPr>
          <w:p>
            <w:pPr>
              <w:adjustRightInd w:val="0"/>
              <w:snapToGrid w:val="0"/>
              <w:spacing w:line="260" w:lineRule="exact"/>
              <w:jc w:val="center"/>
              <w:rPr>
                <w:kern w:val="0"/>
                <w:szCs w:val="21"/>
              </w:rPr>
            </w:pPr>
            <w:r>
              <w:rPr>
                <w:rFonts w:hAnsi="宋体"/>
                <w:kern w:val="0"/>
                <w:szCs w:val="21"/>
              </w:rPr>
              <w:t>擅自饲养家禽</w:t>
            </w:r>
          </w:p>
        </w:tc>
        <w:tc>
          <w:tcPr>
            <w:tcW w:w="6869" w:type="dxa"/>
            <w:vAlign w:val="center"/>
          </w:tcPr>
          <w:p>
            <w:pPr>
              <w:adjustRightInd w:val="0"/>
              <w:snapToGrid w:val="0"/>
              <w:spacing w:line="260" w:lineRule="exact"/>
              <w:rPr>
                <w:kern w:val="0"/>
                <w:szCs w:val="21"/>
              </w:rPr>
            </w:pPr>
            <w:r>
              <w:rPr>
                <w:rFonts w:hAnsi="宋体"/>
                <w:kern w:val="0"/>
                <w:szCs w:val="21"/>
              </w:rPr>
              <w:t>有散养鸡、鸭、鹅等家禽</w:t>
            </w:r>
          </w:p>
        </w:tc>
        <w:tc>
          <w:tcPr>
            <w:tcW w:w="1026" w:type="dxa"/>
            <w:vAlign w:val="center"/>
          </w:tcPr>
          <w:p>
            <w:pPr>
              <w:widowControl/>
              <w:adjustRightInd w:val="0"/>
              <w:snapToGrid w:val="0"/>
              <w:spacing w:line="260" w:lineRule="exact"/>
              <w:jc w:val="center"/>
              <w:rPr>
                <w:szCs w:val="21"/>
              </w:rPr>
            </w:pPr>
            <w:r>
              <w:rPr>
                <w:kern w:val="0"/>
                <w:szCs w:val="21"/>
              </w:rPr>
              <w:t>2</w:t>
            </w:r>
            <w:r>
              <w:rPr>
                <w:rFonts w:hAnsi="宋体"/>
                <w:kern w:val="0"/>
                <w:szCs w:val="21"/>
              </w:rPr>
              <w:t>工作时</w:t>
            </w:r>
          </w:p>
        </w:tc>
        <w:tc>
          <w:tcPr>
            <w:tcW w:w="1293" w:type="dxa"/>
            <w:vMerge w:val="continue"/>
            <w:vAlign w:val="center"/>
          </w:tcPr>
          <w:p>
            <w:pPr>
              <w:adjustRightInd w:val="0"/>
              <w:snapToGrid w:val="0"/>
              <w:spacing w:line="260" w:lineRule="exact"/>
              <w:jc w:val="center"/>
              <w:rPr>
                <w:szCs w:val="21"/>
              </w:rPr>
            </w:pPr>
          </w:p>
        </w:tc>
        <w:tc>
          <w:tcPr>
            <w:tcW w:w="868" w:type="dxa"/>
            <w:vAlign w:val="center"/>
          </w:tcPr>
          <w:p>
            <w:pPr>
              <w:adjustRightInd w:val="0"/>
              <w:snapToGrid w:val="0"/>
              <w:spacing w:line="260" w:lineRule="exact"/>
              <w:ind w:left="-57" w:right="-57"/>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Merge w:val="continue"/>
          </w:tcPr>
          <w:p>
            <w:pPr>
              <w:adjustRightInd w:val="0"/>
              <w:snapToGrid w:val="0"/>
              <w:spacing w:line="260" w:lineRule="exact"/>
              <w:ind w:left="-57" w:right="-57"/>
              <w:jc w:val="center"/>
              <w:rPr>
                <w:szCs w:val="21"/>
              </w:rPr>
            </w:pPr>
          </w:p>
        </w:tc>
        <w:tc>
          <w:tcPr>
            <w:tcW w:w="586" w:type="dxa"/>
            <w:vMerge w:val="continue"/>
            <w:vAlign w:val="center"/>
          </w:tcPr>
          <w:p>
            <w:pPr>
              <w:adjustRightInd w:val="0"/>
              <w:snapToGrid w:val="0"/>
              <w:spacing w:line="260" w:lineRule="exact"/>
              <w:ind w:left="-57" w:right="-57"/>
              <w:jc w:val="center"/>
              <w:rPr>
                <w:szCs w:val="21"/>
              </w:rPr>
            </w:pPr>
          </w:p>
        </w:tc>
        <w:tc>
          <w:tcPr>
            <w:tcW w:w="682" w:type="dxa"/>
            <w:vAlign w:val="center"/>
          </w:tcPr>
          <w:p>
            <w:pPr>
              <w:adjustRightInd w:val="0"/>
              <w:snapToGrid w:val="0"/>
              <w:spacing w:line="260" w:lineRule="exact"/>
              <w:jc w:val="center"/>
              <w:rPr>
                <w:szCs w:val="21"/>
              </w:rPr>
            </w:pPr>
            <w:r>
              <w:rPr>
                <w:szCs w:val="21"/>
              </w:rPr>
              <w:t>12</w:t>
            </w:r>
          </w:p>
        </w:tc>
        <w:tc>
          <w:tcPr>
            <w:tcW w:w="1826" w:type="dxa"/>
            <w:vAlign w:val="center"/>
          </w:tcPr>
          <w:p>
            <w:pPr>
              <w:widowControl/>
              <w:adjustRightInd w:val="0"/>
              <w:snapToGrid w:val="0"/>
              <w:spacing w:line="260" w:lineRule="exact"/>
              <w:ind w:left="-57" w:right="-57"/>
              <w:jc w:val="center"/>
              <w:rPr>
                <w:spacing w:val="-12"/>
                <w:kern w:val="0"/>
                <w:szCs w:val="21"/>
              </w:rPr>
            </w:pPr>
            <w:r>
              <w:rPr>
                <w:rFonts w:hAnsi="宋体"/>
                <w:spacing w:val="-12"/>
                <w:kern w:val="0"/>
                <w:szCs w:val="21"/>
              </w:rPr>
              <w:t>建筑垃圾处置不规范</w:t>
            </w:r>
          </w:p>
        </w:tc>
        <w:tc>
          <w:tcPr>
            <w:tcW w:w="6869" w:type="dxa"/>
            <w:vAlign w:val="center"/>
          </w:tcPr>
          <w:p>
            <w:pPr>
              <w:widowControl/>
              <w:adjustRightInd w:val="0"/>
              <w:snapToGrid w:val="0"/>
              <w:spacing w:line="260" w:lineRule="exact"/>
              <w:rPr>
                <w:kern w:val="0"/>
                <w:szCs w:val="21"/>
              </w:rPr>
            </w:pPr>
            <w:r>
              <w:rPr>
                <w:rFonts w:hAnsi="宋体"/>
                <w:kern w:val="0"/>
                <w:szCs w:val="21"/>
              </w:rPr>
              <w:t>建筑（装潢）垃圾临时堆放点未设明显标志；建筑（装潢）垃圾未袋装化或未设围护或未覆盖</w:t>
            </w:r>
          </w:p>
        </w:tc>
        <w:tc>
          <w:tcPr>
            <w:tcW w:w="1026" w:type="dxa"/>
            <w:vAlign w:val="center"/>
          </w:tcPr>
          <w:p>
            <w:pPr>
              <w:widowControl/>
              <w:adjustRightInd w:val="0"/>
              <w:snapToGrid w:val="0"/>
              <w:spacing w:line="260" w:lineRule="exact"/>
              <w:jc w:val="center"/>
              <w:rPr>
                <w:kern w:val="0"/>
                <w:szCs w:val="21"/>
              </w:rPr>
            </w:pPr>
            <w:r>
              <w:rPr>
                <w:kern w:val="0"/>
                <w:szCs w:val="21"/>
              </w:rPr>
              <w:t>1</w:t>
            </w:r>
            <w:r>
              <w:rPr>
                <w:rFonts w:hAnsi="宋体"/>
                <w:kern w:val="0"/>
                <w:szCs w:val="21"/>
              </w:rPr>
              <w:t>工作日</w:t>
            </w:r>
          </w:p>
        </w:tc>
        <w:tc>
          <w:tcPr>
            <w:tcW w:w="1293" w:type="dxa"/>
            <w:vMerge w:val="continue"/>
            <w:vAlign w:val="center"/>
          </w:tcPr>
          <w:p>
            <w:pPr>
              <w:adjustRightInd w:val="0"/>
              <w:snapToGrid w:val="0"/>
              <w:spacing w:line="260" w:lineRule="exact"/>
              <w:jc w:val="center"/>
              <w:rPr>
                <w:szCs w:val="21"/>
              </w:rPr>
            </w:pPr>
          </w:p>
        </w:tc>
        <w:tc>
          <w:tcPr>
            <w:tcW w:w="868" w:type="dxa"/>
            <w:vAlign w:val="center"/>
          </w:tcPr>
          <w:p>
            <w:pPr>
              <w:adjustRightInd w:val="0"/>
              <w:snapToGrid w:val="0"/>
              <w:spacing w:line="260" w:lineRule="exact"/>
              <w:ind w:left="-57" w:right="-57"/>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Merge w:val="continue"/>
          </w:tcPr>
          <w:p>
            <w:pPr>
              <w:adjustRightInd w:val="0"/>
              <w:snapToGrid w:val="0"/>
              <w:spacing w:line="260" w:lineRule="exact"/>
              <w:ind w:left="-57" w:right="-57"/>
              <w:jc w:val="center"/>
              <w:rPr>
                <w:szCs w:val="21"/>
              </w:rPr>
            </w:pPr>
          </w:p>
        </w:tc>
        <w:tc>
          <w:tcPr>
            <w:tcW w:w="586" w:type="dxa"/>
            <w:vMerge w:val="continue"/>
            <w:vAlign w:val="center"/>
          </w:tcPr>
          <w:p>
            <w:pPr>
              <w:adjustRightInd w:val="0"/>
              <w:snapToGrid w:val="0"/>
              <w:spacing w:line="260" w:lineRule="exact"/>
              <w:ind w:left="-57" w:right="-57"/>
              <w:jc w:val="center"/>
              <w:rPr>
                <w:szCs w:val="21"/>
              </w:rPr>
            </w:pPr>
          </w:p>
        </w:tc>
        <w:tc>
          <w:tcPr>
            <w:tcW w:w="682" w:type="dxa"/>
            <w:vAlign w:val="center"/>
          </w:tcPr>
          <w:p>
            <w:pPr>
              <w:adjustRightInd w:val="0"/>
              <w:snapToGrid w:val="0"/>
              <w:spacing w:line="260" w:lineRule="exact"/>
              <w:jc w:val="center"/>
              <w:rPr>
                <w:szCs w:val="21"/>
              </w:rPr>
            </w:pPr>
            <w:r>
              <w:rPr>
                <w:szCs w:val="21"/>
              </w:rPr>
              <w:t>13</w:t>
            </w:r>
          </w:p>
        </w:tc>
        <w:tc>
          <w:tcPr>
            <w:tcW w:w="1826" w:type="dxa"/>
            <w:vAlign w:val="center"/>
          </w:tcPr>
          <w:p>
            <w:pPr>
              <w:adjustRightInd w:val="0"/>
              <w:snapToGrid w:val="0"/>
              <w:spacing w:line="260" w:lineRule="exact"/>
              <w:jc w:val="center"/>
              <w:rPr>
                <w:kern w:val="0"/>
                <w:szCs w:val="21"/>
              </w:rPr>
            </w:pPr>
            <w:r>
              <w:rPr>
                <w:rFonts w:hAnsi="宋体"/>
                <w:kern w:val="0"/>
                <w:szCs w:val="21"/>
              </w:rPr>
              <w:t>环卫设施脏乱</w:t>
            </w:r>
          </w:p>
        </w:tc>
        <w:tc>
          <w:tcPr>
            <w:tcW w:w="6869" w:type="dxa"/>
            <w:vAlign w:val="center"/>
          </w:tcPr>
          <w:p>
            <w:pPr>
              <w:widowControl/>
              <w:adjustRightInd w:val="0"/>
              <w:snapToGrid w:val="0"/>
              <w:spacing w:line="260" w:lineRule="exact"/>
              <w:rPr>
                <w:kern w:val="0"/>
                <w:szCs w:val="21"/>
              </w:rPr>
            </w:pPr>
            <w:r>
              <w:rPr>
                <w:rFonts w:hAnsi="宋体"/>
                <w:kern w:val="0"/>
                <w:szCs w:val="21"/>
              </w:rPr>
              <w:t>环卫设施（公厕、垃圾箱、垃圾房、果壳箱等）脏乱（含周边环境）</w:t>
            </w:r>
          </w:p>
        </w:tc>
        <w:tc>
          <w:tcPr>
            <w:tcW w:w="1026" w:type="dxa"/>
            <w:vAlign w:val="center"/>
          </w:tcPr>
          <w:p>
            <w:pPr>
              <w:widowControl/>
              <w:adjustRightInd w:val="0"/>
              <w:snapToGrid w:val="0"/>
              <w:spacing w:line="260" w:lineRule="exact"/>
              <w:jc w:val="center"/>
              <w:rPr>
                <w:kern w:val="0"/>
                <w:szCs w:val="21"/>
              </w:rPr>
            </w:pPr>
            <w:r>
              <w:rPr>
                <w:kern w:val="0"/>
                <w:szCs w:val="21"/>
              </w:rPr>
              <w:t>2</w:t>
            </w:r>
            <w:r>
              <w:rPr>
                <w:rFonts w:hAnsi="宋体"/>
                <w:kern w:val="0"/>
                <w:szCs w:val="21"/>
              </w:rPr>
              <w:t>工作时</w:t>
            </w:r>
          </w:p>
        </w:tc>
        <w:tc>
          <w:tcPr>
            <w:tcW w:w="1293" w:type="dxa"/>
            <w:vMerge w:val="continue"/>
            <w:vAlign w:val="center"/>
          </w:tcPr>
          <w:p>
            <w:pPr>
              <w:adjustRightInd w:val="0"/>
              <w:snapToGrid w:val="0"/>
              <w:spacing w:line="260" w:lineRule="exact"/>
              <w:jc w:val="center"/>
              <w:rPr>
                <w:szCs w:val="21"/>
              </w:rPr>
            </w:pPr>
          </w:p>
        </w:tc>
        <w:tc>
          <w:tcPr>
            <w:tcW w:w="868" w:type="dxa"/>
            <w:vAlign w:val="center"/>
          </w:tcPr>
          <w:p>
            <w:pPr>
              <w:adjustRightInd w:val="0"/>
              <w:snapToGrid w:val="0"/>
              <w:spacing w:line="260" w:lineRule="exact"/>
              <w:ind w:left="-57" w:right="-57"/>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Merge w:val="continue"/>
          </w:tcPr>
          <w:p>
            <w:pPr>
              <w:adjustRightInd w:val="0"/>
              <w:snapToGrid w:val="0"/>
              <w:spacing w:line="260" w:lineRule="exact"/>
              <w:ind w:left="-57" w:right="-57"/>
              <w:jc w:val="center"/>
              <w:rPr>
                <w:szCs w:val="21"/>
              </w:rPr>
            </w:pPr>
          </w:p>
        </w:tc>
        <w:tc>
          <w:tcPr>
            <w:tcW w:w="586" w:type="dxa"/>
            <w:vMerge w:val="continue"/>
            <w:vAlign w:val="center"/>
          </w:tcPr>
          <w:p>
            <w:pPr>
              <w:adjustRightInd w:val="0"/>
              <w:snapToGrid w:val="0"/>
              <w:spacing w:line="260" w:lineRule="exact"/>
              <w:ind w:left="-57" w:right="-57"/>
              <w:jc w:val="center"/>
              <w:rPr>
                <w:szCs w:val="21"/>
              </w:rPr>
            </w:pPr>
          </w:p>
        </w:tc>
        <w:tc>
          <w:tcPr>
            <w:tcW w:w="682" w:type="dxa"/>
            <w:vAlign w:val="center"/>
          </w:tcPr>
          <w:p>
            <w:pPr>
              <w:adjustRightInd w:val="0"/>
              <w:snapToGrid w:val="0"/>
              <w:spacing w:line="260" w:lineRule="exact"/>
              <w:ind w:left="-57" w:right="-57"/>
              <w:jc w:val="center"/>
              <w:rPr>
                <w:szCs w:val="21"/>
              </w:rPr>
            </w:pPr>
            <w:r>
              <w:rPr>
                <w:szCs w:val="21"/>
              </w:rPr>
              <w:t>14</w:t>
            </w:r>
          </w:p>
        </w:tc>
        <w:tc>
          <w:tcPr>
            <w:tcW w:w="1826" w:type="dxa"/>
            <w:vAlign w:val="center"/>
          </w:tcPr>
          <w:p>
            <w:pPr>
              <w:adjustRightInd w:val="0"/>
              <w:snapToGrid w:val="0"/>
              <w:spacing w:line="260" w:lineRule="exact"/>
              <w:ind w:left="-57" w:right="-57"/>
              <w:jc w:val="center"/>
              <w:rPr>
                <w:szCs w:val="21"/>
              </w:rPr>
            </w:pPr>
            <w:r>
              <w:rPr>
                <w:rFonts w:hAnsi="宋体"/>
                <w:szCs w:val="21"/>
              </w:rPr>
              <w:t>非法小广告</w:t>
            </w:r>
          </w:p>
        </w:tc>
        <w:tc>
          <w:tcPr>
            <w:tcW w:w="6869" w:type="dxa"/>
            <w:vAlign w:val="center"/>
          </w:tcPr>
          <w:p>
            <w:pPr>
              <w:adjustRightInd w:val="0"/>
              <w:snapToGrid w:val="0"/>
              <w:spacing w:line="260" w:lineRule="exact"/>
              <w:rPr>
                <w:szCs w:val="21"/>
              </w:rPr>
            </w:pPr>
            <w:r>
              <w:rPr>
                <w:rFonts w:hAnsi="宋体"/>
                <w:szCs w:val="21"/>
              </w:rPr>
              <w:t>小区内有违章（规）张贴、涂写、悬（披）挂、刻画现象</w:t>
            </w:r>
          </w:p>
        </w:tc>
        <w:tc>
          <w:tcPr>
            <w:tcW w:w="1026" w:type="dxa"/>
            <w:vAlign w:val="center"/>
          </w:tcPr>
          <w:p>
            <w:pPr>
              <w:adjustRightInd w:val="0"/>
              <w:snapToGrid w:val="0"/>
              <w:spacing w:line="260" w:lineRule="exact"/>
              <w:jc w:val="center"/>
              <w:rPr>
                <w:szCs w:val="21"/>
              </w:rPr>
            </w:pPr>
            <w:r>
              <w:rPr>
                <w:szCs w:val="21"/>
              </w:rPr>
              <w:t>2</w:t>
            </w:r>
            <w:r>
              <w:rPr>
                <w:rFonts w:hAnsi="宋体"/>
                <w:szCs w:val="21"/>
              </w:rPr>
              <w:t>工作时</w:t>
            </w:r>
          </w:p>
        </w:tc>
        <w:tc>
          <w:tcPr>
            <w:tcW w:w="1293" w:type="dxa"/>
            <w:vMerge w:val="continue"/>
            <w:vAlign w:val="center"/>
          </w:tcPr>
          <w:p>
            <w:pPr>
              <w:widowControl/>
              <w:adjustRightInd w:val="0"/>
              <w:snapToGrid w:val="0"/>
              <w:spacing w:line="260" w:lineRule="exact"/>
              <w:jc w:val="center"/>
              <w:rPr>
                <w:kern w:val="0"/>
                <w:szCs w:val="21"/>
              </w:rPr>
            </w:pPr>
          </w:p>
        </w:tc>
        <w:tc>
          <w:tcPr>
            <w:tcW w:w="868" w:type="dxa"/>
            <w:vAlign w:val="center"/>
          </w:tcPr>
          <w:p>
            <w:pPr>
              <w:adjustRightInd w:val="0"/>
              <w:snapToGrid w:val="0"/>
              <w:spacing w:line="260" w:lineRule="exact"/>
              <w:ind w:left="-57" w:right="-57"/>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Merge w:val="continue"/>
          </w:tcPr>
          <w:p>
            <w:pPr>
              <w:adjustRightInd w:val="0"/>
              <w:snapToGrid w:val="0"/>
              <w:spacing w:line="260" w:lineRule="exact"/>
              <w:ind w:left="-57" w:right="-57"/>
              <w:jc w:val="center"/>
              <w:rPr>
                <w:szCs w:val="21"/>
              </w:rPr>
            </w:pPr>
          </w:p>
        </w:tc>
        <w:tc>
          <w:tcPr>
            <w:tcW w:w="586" w:type="dxa"/>
            <w:vMerge w:val="continue"/>
            <w:vAlign w:val="center"/>
          </w:tcPr>
          <w:p>
            <w:pPr>
              <w:adjustRightInd w:val="0"/>
              <w:snapToGrid w:val="0"/>
              <w:spacing w:line="260" w:lineRule="exact"/>
              <w:ind w:left="-57" w:right="-57"/>
              <w:jc w:val="center"/>
              <w:rPr>
                <w:szCs w:val="21"/>
              </w:rPr>
            </w:pPr>
          </w:p>
        </w:tc>
        <w:tc>
          <w:tcPr>
            <w:tcW w:w="682" w:type="dxa"/>
            <w:vAlign w:val="center"/>
          </w:tcPr>
          <w:p>
            <w:pPr>
              <w:adjustRightInd w:val="0"/>
              <w:snapToGrid w:val="0"/>
              <w:spacing w:line="260" w:lineRule="exact"/>
              <w:ind w:left="-57" w:right="-57"/>
              <w:jc w:val="center"/>
              <w:rPr>
                <w:szCs w:val="21"/>
              </w:rPr>
            </w:pPr>
            <w:r>
              <w:rPr>
                <w:szCs w:val="21"/>
              </w:rPr>
              <w:t>15</w:t>
            </w:r>
          </w:p>
        </w:tc>
        <w:tc>
          <w:tcPr>
            <w:tcW w:w="1826" w:type="dxa"/>
            <w:vAlign w:val="center"/>
          </w:tcPr>
          <w:p>
            <w:pPr>
              <w:adjustRightInd w:val="0"/>
              <w:snapToGrid w:val="0"/>
              <w:spacing w:line="260" w:lineRule="exact"/>
              <w:ind w:left="-57" w:right="-57"/>
              <w:jc w:val="center"/>
              <w:rPr>
                <w:szCs w:val="21"/>
              </w:rPr>
            </w:pPr>
            <w:r>
              <w:rPr>
                <w:rFonts w:hAnsi="宋体"/>
                <w:szCs w:val="21"/>
              </w:rPr>
              <w:t>违规晾晒</w:t>
            </w:r>
          </w:p>
        </w:tc>
        <w:tc>
          <w:tcPr>
            <w:tcW w:w="6869" w:type="dxa"/>
            <w:vAlign w:val="center"/>
          </w:tcPr>
          <w:p>
            <w:pPr>
              <w:adjustRightInd w:val="0"/>
              <w:snapToGrid w:val="0"/>
              <w:spacing w:line="260" w:lineRule="exact"/>
              <w:rPr>
                <w:szCs w:val="21"/>
              </w:rPr>
            </w:pPr>
            <w:r>
              <w:rPr>
                <w:rFonts w:hAnsi="宋体"/>
                <w:szCs w:val="21"/>
              </w:rPr>
              <w:t>小区内有违规晾晒（公共设施、绿化、树木）</w:t>
            </w:r>
          </w:p>
        </w:tc>
        <w:tc>
          <w:tcPr>
            <w:tcW w:w="1026" w:type="dxa"/>
            <w:vAlign w:val="center"/>
          </w:tcPr>
          <w:p>
            <w:pPr>
              <w:adjustRightInd w:val="0"/>
              <w:snapToGrid w:val="0"/>
              <w:spacing w:line="260" w:lineRule="exact"/>
              <w:jc w:val="center"/>
              <w:rPr>
                <w:szCs w:val="21"/>
              </w:rPr>
            </w:pPr>
            <w:r>
              <w:rPr>
                <w:szCs w:val="21"/>
              </w:rPr>
              <w:t>2</w:t>
            </w:r>
            <w:r>
              <w:rPr>
                <w:rFonts w:hAnsi="宋体"/>
                <w:szCs w:val="21"/>
              </w:rPr>
              <w:t>工作时</w:t>
            </w:r>
          </w:p>
        </w:tc>
        <w:tc>
          <w:tcPr>
            <w:tcW w:w="1293" w:type="dxa"/>
            <w:vMerge w:val="continue"/>
            <w:vAlign w:val="center"/>
          </w:tcPr>
          <w:p>
            <w:pPr>
              <w:widowControl/>
              <w:adjustRightInd w:val="0"/>
              <w:snapToGrid w:val="0"/>
              <w:spacing w:line="260" w:lineRule="exact"/>
              <w:jc w:val="center"/>
              <w:rPr>
                <w:kern w:val="0"/>
                <w:szCs w:val="21"/>
              </w:rPr>
            </w:pPr>
          </w:p>
        </w:tc>
        <w:tc>
          <w:tcPr>
            <w:tcW w:w="868" w:type="dxa"/>
            <w:vAlign w:val="center"/>
          </w:tcPr>
          <w:p>
            <w:pPr>
              <w:adjustRightInd w:val="0"/>
              <w:snapToGrid w:val="0"/>
              <w:spacing w:line="260" w:lineRule="exact"/>
              <w:ind w:left="-57" w:right="-57"/>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Merge w:val="continue"/>
          </w:tcPr>
          <w:p>
            <w:pPr>
              <w:adjustRightInd w:val="0"/>
              <w:snapToGrid w:val="0"/>
              <w:spacing w:line="260" w:lineRule="exact"/>
              <w:ind w:left="-57" w:right="-57"/>
              <w:jc w:val="center"/>
              <w:rPr>
                <w:szCs w:val="21"/>
              </w:rPr>
            </w:pPr>
          </w:p>
        </w:tc>
        <w:tc>
          <w:tcPr>
            <w:tcW w:w="586" w:type="dxa"/>
            <w:vMerge w:val="continue"/>
            <w:vAlign w:val="center"/>
          </w:tcPr>
          <w:p>
            <w:pPr>
              <w:adjustRightInd w:val="0"/>
              <w:snapToGrid w:val="0"/>
              <w:spacing w:line="260" w:lineRule="exact"/>
              <w:ind w:left="-57" w:right="-57"/>
              <w:jc w:val="center"/>
              <w:rPr>
                <w:szCs w:val="21"/>
              </w:rPr>
            </w:pPr>
          </w:p>
        </w:tc>
        <w:tc>
          <w:tcPr>
            <w:tcW w:w="682" w:type="dxa"/>
            <w:vAlign w:val="center"/>
          </w:tcPr>
          <w:p>
            <w:pPr>
              <w:adjustRightInd w:val="0"/>
              <w:snapToGrid w:val="0"/>
              <w:spacing w:line="260" w:lineRule="exact"/>
              <w:ind w:left="-57" w:right="-57"/>
              <w:jc w:val="center"/>
              <w:rPr>
                <w:szCs w:val="21"/>
              </w:rPr>
            </w:pPr>
            <w:r>
              <w:rPr>
                <w:szCs w:val="21"/>
              </w:rPr>
              <w:t>16</w:t>
            </w:r>
          </w:p>
        </w:tc>
        <w:tc>
          <w:tcPr>
            <w:tcW w:w="1826" w:type="dxa"/>
            <w:vAlign w:val="center"/>
          </w:tcPr>
          <w:p>
            <w:pPr>
              <w:adjustRightInd w:val="0"/>
              <w:snapToGrid w:val="0"/>
              <w:spacing w:line="260" w:lineRule="exact"/>
              <w:ind w:left="-57" w:right="-57"/>
              <w:jc w:val="center"/>
              <w:rPr>
                <w:szCs w:val="21"/>
              </w:rPr>
            </w:pPr>
            <w:r>
              <w:rPr>
                <w:rFonts w:hAnsi="宋体"/>
                <w:szCs w:val="21"/>
              </w:rPr>
              <w:t>垃圾筒设置不规范</w:t>
            </w:r>
          </w:p>
        </w:tc>
        <w:tc>
          <w:tcPr>
            <w:tcW w:w="6869" w:type="dxa"/>
            <w:vAlign w:val="center"/>
          </w:tcPr>
          <w:p>
            <w:pPr>
              <w:adjustRightInd w:val="0"/>
              <w:snapToGrid w:val="0"/>
              <w:spacing w:line="260" w:lineRule="exact"/>
              <w:rPr>
                <w:szCs w:val="21"/>
              </w:rPr>
            </w:pPr>
            <w:r>
              <w:rPr>
                <w:rFonts w:hAnsi="宋体"/>
                <w:szCs w:val="21"/>
              </w:rPr>
              <w:t>垃圾筒、果壳箱设置在绿化带内或绿地上（无绿化或植被的除外）</w:t>
            </w:r>
          </w:p>
        </w:tc>
        <w:tc>
          <w:tcPr>
            <w:tcW w:w="1026" w:type="dxa"/>
            <w:vAlign w:val="center"/>
          </w:tcPr>
          <w:p>
            <w:pPr>
              <w:adjustRightInd w:val="0"/>
              <w:snapToGrid w:val="0"/>
              <w:spacing w:line="260" w:lineRule="exact"/>
              <w:jc w:val="center"/>
              <w:rPr>
                <w:szCs w:val="21"/>
              </w:rPr>
            </w:pPr>
            <w:r>
              <w:rPr>
                <w:szCs w:val="21"/>
              </w:rPr>
              <w:t>2</w:t>
            </w:r>
            <w:r>
              <w:rPr>
                <w:rFonts w:hAnsi="宋体"/>
                <w:szCs w:val="21"/>
              </w:rPr>
              <w:t>工作时</w:t>
            </w:r>
          </w:p>
        </w:tc>
        <w:tc>
          <w:tcPr>
            <w:tcW w:w="1293" w:type="dxa"/>
            <w:vMerge w:val="continue"/>
            <w:vAlign w:val="center"/>
          </w:tcPr>
          <w:p>
            <w:pPr>
              <w:widowControl/>
              <w:adjustRightInd w:val="0"/>
              <w:snapToGrid w:val="0"/>
              <w:spacing w:line="260" w:lineRule="exact"/>
              <w:jc w:val="center"/>
              <w:rPr>
                <w:kern w:val="0"/>
                <w:szCs w:val="21"/>
              </w:rPr>
            </w:pPr>
          </w:p>
        </w:tc>
        <w:tc>
          <w:tcPr>
            <w:tcW w:w="868" w:type="dxa"/>
            <w:vAlign w:val="center"/>
          </w:tcPr>
          <w:p>
            <w:pPr>
              <w:adjustRightInd w:val="0"/>
              <w:snapToGrid w:val="0"/>
              <w:spacing w:line="260" w:lineRule="exact"/>
              <w:ind w:left="-57" w:right="-57"/>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Merge w:val="restart"/>
            <w:vAlign w:val="center"/>
          </w:tcPr>
          <w:p>
            <w:pPr>
              <w:adjustRightInd w:val="0"/>
              <w:snapToGrid w:val="0"/>
              <w:spacing w:line="254" w:lineRule="exact"/>
              <w:ind w:left="-57" w:right="-57"/>
              <w:jc w:val="center"/>
              <w:rPr>
                <w:szCs w:val="21"/>
              </w:rPr>
            </w:pPr>
            <w:r>
              <w:rPr>
                <w:rFonts w:hAnsi="宋体"/>
                <w:szCs w:val="21"/>
              </w:rPr>
              <w:t>住宅</w:t>
            </w:r>
          </w:p>
          <w:p>
            <w:pPr>
              <w:adjustRightInd w:val="0"/>
              <w:snapToGrid w:val="0"/>
              <w:spacing w:line="254" w:lineRule="exact"/>
              <w:ind w:left="-57" w:right="-57"/>
              <w:jc w:val="center"/>
              <w:rPr>
                <w:szCs w:val="21"/>
              </w:rPr>
            </w:pPr>
            <w:r>
              <w:rPr>
                <w:rFonts w:hAnsi="宋体"/>
                <w:szCs w:val="21"/>
              </w:rPr>
              <w:t>小区</w:t>
            </w:r>
          </w:p>
        </w:tc>
        <w:tc>
          <w:tcPr>
            <w:tcW w:w="586" w:type="dxa"/>
            <w:vMerge w:val="restart"/>
            <w:vAlign w:val="center"/>
          </w:tcPr>
          <w:p>
            <w:pPr>
              <w:adjustRightInd w:val="0"/>
              <w:snapToGrid w:val="0"/>
              <w:spacing w:line="254" w:lineRule="exact"/>
              <w:ind w:left="-57" w:right="-57"/>
              <w:jc w:val="center"/>
              <w:rPr>
                <w:szCs w:val="21"/>
              </w:rPr>
            </w:pPr>
            <w:r>
              <w:rPr>
                <w:rFonts w:hAnsi="宋体"/>
                <w:szCs w:val="21"/>
              </w:rPr>
              <w:t>环境秩序</w:t>
            </w:r>
          </w:p>
        </w:tc>
        <w:tc>
          <w:tcPr>
            <w:tcW w:w="682" w:type="dxa"/>
            <w:vAlign w:val="center"/>
          </w:tcPr>
          <w:p>
            <w:pPr>
              <w:adjustRightInd w:val="0"/>
              <w:snapToGrid w:val="0"/>
              <w:spacing w:line="260" w:lineRule="exact"/>
              <w:ind w:left="-57" w:right="-57"/>
              <w:jc w:val="center"/>
              <w:rPr>
                <w:szCs w:val="21"/>
              </w:rPr>
            </w:pPr>
            <w:r>
              <w:rPr>
                <w:szCs w:val="21"/>
              </w:rPr>
              <w:t>17</w:t>
            </w:r>
          </w:p>
        </w:tc>
        <w:tc>
          <w:tcPr>
            <w:tcW w:w="1826" w:type="dxa"/>
            <w:vAlign w:val="center"/>
          </w:tcPr>
          <w:p>
            <w:pPr>
              <w:adjustRightInd w:val="0"/>
              <w:snapToGrid w:val="0"/>
              <w:spacing w:line="260" w:lineRule="exact"/>
              <w:ind w:left="-57" w:right="-57"/>
              <w:jc w:val="center"/>
              <w:rPr>
                <w:szCs w:val="21"/>
              </w:rPr>
            </w:pPr>
            <w:r>
              <w:rPr>
                <w:rFonts w:hAnsi="宋体"/>
                <w:szCs w:val="21"/>
              </w:rPr>
              <w:t>广告、店招破损</w:t>
            </w:r>
          </w:p>
        </w:tc>
        <w:tc>
          <w:tcPr>
            <w:tcW w:w="6869" w:type="dxa"/>
            <w:vAlign w:val="center"/>
          </w:tcPr>
          <w:p>
            <w:pPr>
              <w:adjustRightInd w:val="0"/>
              <w:snapToGrid w:val="0"/>
              <w:spacing w:line="260" w:lineRule="exact"/>
              <w:rPr>
                <w:szCs w:val="21"/>
              </w:rPr>
            </w:pPr>
            <w:r>
              <w:rPr>
                <w:rFonts w:hAnsi="宋体"/>
                <w:szCs w:val="21"/>
              </w:rPr>
              <w:t>广告、店招破损</w:t>
            </w:r>
            <w:r>
              <w:rPr>
                <w:szCs w:val="21"/>
              </w:rPr>
              <w:t xml:space="preserve"> </w:t>
            </w:r>
          </w:p>
        </w:tc>
        <w:tc>
          <w:tcPr>
            <w:tcW w:w="1026" w:type="dxa"/>
            <w:vAlign w:val="center"/>
          </w:tcPr>
          <w:p>
            <w:pPr>
              <w:adjustRightInd w:val="0"/>
              <w:snapToGrid w:val="0"/>
              <w:spacing w:line="260" w:lineRule="exact"/>
              <w:jc w:val="center"/>
              <w:rPr>
                <w:szCs w:val="21"/>
              </w:rPr>
            </w:pPr>
            <w:r>
              <w:rPr>
                <w:szCs w:val="21"/>
              </w:rPr>
              <w:t>3</w:t>
            </w:r>
            <w:r>
              <w:rPr>
                <w:rFonts w:hAnsi="宋体"/>
                <w:szCs w:val="21"/>
              </w:rPr>
              <w:t>工作日</w:t>
            </w:r>
          </w:p>
        </w:tc>
        <w:tc>
          <w:tcPr>
            <w:tcW w:w="1293" w:type="dxa"/>
            <w:vMerge w:val="continue"/>
            <w:vAlign w:val="center"/>
          </w:tcPr>
          <w:p>
            <w:pPr>
              <w:adjustRightInd w:val="0"/>
              <w:snapToGrid w:val="0"/>
              <w:spacing w:line="260" w:lineRule="exact"/>
              <w:ind w:left="-57" w:right="-57"/>
              <w:jc w:val="center"/>
              <w:rPr>
                <w:szCs w:val="21"/>
              </w:rPr>
            </w:pPr>
          </w:p>
        </w:tc>
        <w:tc>
          <w:tcPr>
            <w:tcW w:w="868" w:type="dxa"/>
            <w:vAlign w:val="center"/>
          </w:tcPr>
          <w:p>
            <w:pPr>
              <w:adjustRightInd w:val="0"/>
              <w:snapToGrid w:val="0"/>
              <w:spacing w:line="260" w:lineRule="exact"/>
              <w:ind w:left="-57" w:right="-57"/>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Merge w:val="continue"/>
          </w:tcPr>
          <w:p>
            <w:pPr>
              <w:adjustRightInd w:val="0"/>
              <w:snapToGrid w:val="0"/>
              <w:spacing w:line="254" w:lineRule="exact"/>
              <w:ind w:left="-57" w:right="-57"/>
              <w:jc w:val="center"/>
              <w:rPr>
                <w:szCs w:val="21"/>
              </w:rPr>
            </w:pPr>
          </w:p>
        </w:tc>
        <w:tc>
          <w:tcPr>
            <w:tcW w:w="586" w:type="dxa"/>
            <w:vMerge w:val="continue"/>
            <w:vAlign w:val="center"/>
          </w:tcPr>
          <w:p>
            <w:pPr>
              <w:adjustRightInd w:val="0"/>
              <w:snapToGrid w:val="0"/>
              <w:spacing w:line="254" w:lineRule="exact"/>
              <w:ind w:left="-57" w:right="-57"/>
              <w:jc w:val="center"/>
              <w:rPr>
                <w:szCs w:val="21"/>
              </w:rPr>
            </w:pPr>
          </w:p>
        </w:tc>
        <w:tc>
          <w:tcPr>
            <w:tcW w:w="682" w:type="dxa"/>
            <w:vAlign w:val="center"/>
          </w:tcPr>
          <w:p>
            <w:pPr>
              <w:adjustRightInd w:val="0"/>
              <w:snapToGrid w:val="0"/>
              <w:spacing w:line="254" w:lineRule="exact"/>
              <w:ind w:left="-57" w:right="-57"/>
              <w:jc w:val="center"/>
              <w:rPr>
                <w:szCs w:val="21"/>
              </w:rPr>
            </w:pPr>
            <w:r>
              <w:rPr>
                <w:szCs w:val="21"/>
              </w:rPr>
              <w:t>18</w:t>
            </w:r>
          </w:p>
        </w:tc>
        <w:tc>
          <w:tcPr>
            <w:tcW w:w="1826" w:type="dxa"/>
            <w:vAlign w:val="center"/>
          </w:tcPr>
          <w:p>
            <w:pPr>
              <w:adjustRightInd w:val="0"/>
              <w:snapToGrid w:val="0"/>
              <w:spacing w:line="254" w:lineRule="exact"/>
              <w:ind w:left="-57" w:right="-57"/>
              <w:jc w:val="center"/>
              <w:rPr>
                <w:szCs w:val="21"/>
              </w:rPr>
            </w:pPr>
            <w:r>
              <w:rPr>
                <w:rFonts w:hAnsi="宋体"/>
                <w:szCs w:val="21"/>
              </w:rPr>
              <w:t>擅自设置广告</w:t>
            </w:r>
          </w:p>
        </w:tc>
        <w:tc>
          <w:tcPr>
            <w:tcW w:w="6869" w:type="dxa"/>
            <w:vAlign w:val="center"/>
          </w:tcPr>
          <w:p>
            <w:pPr>
              <w:adjustRightInd w:val="0"/>
              <w:snapToGrid w:val="0"/>
              <w:spacing w:line="254" w:lineRule="exact"/>
              <w:rPr>
                <w:szCs w:val="21"/>
              </w:rPr>
            </w:pPr>
            <w:r>
              <w:rPr>
                <w:rFonts w:hAnsi="宋体"/>
                <w:szCs w:val="21"/>
              </w:rPr>
              <w:t>擅自设置广告、店招、杆牌、灯箱的</w:t>
            </w:r>
          </w:p>
        </w:tc>
        <w:tc>
          <w:tcPr>
            <w:tcW w:w="1026" w:type="dxa"/>
            <w:vAlign w:val="center"/>
          </w:tcPr>
          <w:p>
            <w:pPr>
              <w:adjustRightInd w:val="0"/>
              <w:snapToGrid w:val="0"/>
              <w:spacing w:line="254" w:lineRule="exact"/>
              <w:jc w:val="center"/>
              <w:rPr>
                <w:szCs w:val="21"/>
              </w:rPr>
            </w:pPr>
            <w:r>
              <w:rPr>
                <w:szCs w:val="21"/>
              </w:rPr>
              <w:t>1</w:t>
            </w:r>
            <w:r>
              <w:rPr>
                <w:rFonts w:hAnsi="宋体"/>
                <w:szCs w:val="21"/>
              </w:rPr>
              <w:t>工作日</w:t>
            </w:r>
          </w:p>
        </w:tc>
        <w:tc>
          <w:tcPr>
            <w:tcW w:w="1293" w:type="dxa"/>
            <w:vMerge w:val="continue"/>
            <w:vAlign w:val="center"/>
          </w:tcPr>
          <w:p>
            <w:pPr>
              <w:widowControl/>
              <w:adjustRightInd w:val="0"/>
              <w:snapToGrid w:val="0"/>
              <w:spacing w:line="254" w:lineRule="exact"/>
              <w:jc w:val="center"/>
              <w:rPr>
                <w:kern w:val="0"/>
                <w:szCs w:val="21"/>
              </w:rPr>
            </w:pPr>
          </w:p>
        </w:tc>
        <w:tc>
          <w:tcPr>
            <w:tcW w:w="868" w:type="dxa"/>
            <w:vAlign w:val="center"/>
          </w:tcPr>
          <w:p>
            <w:pPr>
              <w:adjustRightInd w:val="0"/>
              <w:snapToGrid w:val="0"/>
              <w:spacing w:line="254" w:lineRule="exact"/>
              <w:ind w:left="-57" w:right="-57"/>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Merge w:val="continue"/>
            <w:vAlign w:val="center"/>
          </w:tcPr>
          <w:p>
            <w:pPr>
              <w:adjustRightInd w:val="0"/>
              <w:snapToGrid w:val="0"/>
              <w:spacing w:line="254" w:lineRule="exact"/>
              <w:ind w:left="-57" w:right="-57"/>
              <w:jc w:val="center"/>
              <w:rPr>
                <w:szCs w:val="21"/>
              </w:rPr>
            </w:pPr>
          </w:p>
        </w:tc>
        <w:tc>
          <w:tcPr>
            <w:tcW w:w="586" w:type="dxa"/>
            <w:vMerge w:val="continue"/>
            <w:vAlign w:val="center"/>
          </w:tcPr>
          <w:p>
            <w:pPr>
              <w:adjustRightInd w:val="0"/>
              <w:snapToGrid w:val="0"/>
              <w:spacing w:line="254" w:lineRule="exact"/>
              <w:ind w:left="-57" w:right="-57"/>
              <w:jc w:val="center"/>
              <w:rPr>
                <w:szCs w:val="21"/>
              </w:rPr>
            </w:pPr>
          </w:p>
        </w:tc>
        <w:tc>
          <w:tcPr>
            <w:tcW w:w="682" w:type="dxa"/>
            <w:vAlign w:val="center"/>
          </w:tcPr>
          <w:p>
            <w:pPr>
              <w:adjustRightInd w:val="0"/>
              <w:snapToGrid w:val="0"/>
              <w:spacing w:line="254" w:lineRule="exact"/>
              <w:ind w:left="-57" w:right="-57"/>
              <w:jc w:val="center"/>
              <w:rPr>
                <w:szCs w:val="21"/>
              </w:rPr>
            </w:pPr>
            <w:r>
              <w:rPr>
                <w:szCs w:val="21"/>
              </w:rPr>
              <w:t>19</w:t>
            </w:r>
          </w:p>
        </w:tc>
        <w:tc>
          <w:tcPr>
            <w:tcW w:w="1826" w:type="dxa"/>
            <w:vAlign w:val="center"/>
          </w:tcPr>
          <w:p>
            <w:pPr>
              <w:adjustRightInd w:val="0"/>
              <w:snapToGrid w:val="0"/>
              <w:spacing w:line="254" w:lineRule="exact"/>
              <w:ind w:left="-57" w:right="-57"/>
              <w:jc w:val="center"/>
              <w:rPr>
                <w:szCs w:val="21"/>
              </w:rPr>
            </w:pPr>
            <w:r>
              <w:rPr>
                <w:rFonts w:hAnsi="宋体"/>
                <w:szCs w:val="21"/>
              </w:rPr>
              <w:t>无证经营</w:t>
            </w:r>
          </w:p>
        </w:tc>
        <w:tc>
          <w:tcPr>
            <w:tcW w:w="6869" w:type="dxa"/>
            <w:vAlign w:val="center"/>
          </w:tcPr>
          <w:p>
            <w:pPr>
              <w:adjustRightInd w:val="0"/>
              <w:snapToGrid w:val="0"/>
              <w:spacing w:line="254" w:lineRule="exact"/>
              <w:rPr>
                <w:szCs w:val="21"/>
              </w:rPr>
            </w:pPr>
            <w:r>
              <w:rPr>
                <w:rFonts w:hAnsi="宋体"/>
                <w:szCs w:val="21"/>
              </w:rPr>
              <w:t>流动摊贩</w:t>
            </w:r>
          </w:p>
        </w:tc>
        <w:tc>
          <w:tcPr>
            <w:tcW w:w="1026" w:type="dxa"/>
            <w:vAlign w:val="center"/>
          </w:tcPr>
          <w:p>
            <w:pPr>
              <w:adjustRightInd w:val="0"/>
              <w:snapToGrid w:val="0"/>
              <w:spacing w:line="254" w:lineRule="exact"/>
              <w:jc w:val="center"/>
              <w:rPr>
                <w:szCs w:val="21"/>
              </w:rPr>
            </w:pPr>
            <w:r>
              <w:rPr>
                <w:szCs w:val="21"/>
              </w:rPr>
              <w:t>2</w:t>
            </w:r>
            <w:r>
              <w:rPr>
                <w:rFonts w:hAnsi="宋体"/>
                <w:szCs w:val="21"/>
              </w:rPr>
              <w:t>工作时</w:t>
            </w:r>
          </w:p>
        </w:tc>
        <w:tc>
          <w:tcPr>
            <w:tcW w:w="1293" w:type="dxa"/>
            <w:vMerge w:val="continue"/>
            <w:vAlign w:val="center"/>
          </w:tcPr>
          <w:p>
            <w:pPr>
              <w:widowControl/>
              <w:adjustRightInd w:val="0"/>
              <w:snapToGrid w:val="0"/>
              <w:spacing w:line="254" w:lineRule="exact"/>
              <w:jc w:val="center"/>
              <w:rPr>
                <w:kern w:val="0"/>
                <w:szCs w:val="21"/>
              </w:rPr>
            </w:pPr>
          </w:p>
        </w:tc>
        <w:tc>
          <w:tcPr>
            <w:tcW w:w="868" w:type="dxa"/>
            <w:vAlign w:val="center"/>
          </w:tcPr>
          <w:p>
            <w:pPr>
              <w:adjustRightInd w:val="0"/>
              <w:snapToGrid w:val="0"/>
              <w:spacing w:line="254" w:lineRule="exact"/>
              <w:ind w:left="-57" w:right="-57"/>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Merge w:val="continue"/>
          </w:tcPr>
          <w:p>
            <w:pPr>
              <w:adjustRightInd w:val="0"/>
              <w:snapToGrid w:val="0"/>
              <w:spacing w:line="254" w:lineRule="exact"/>
              <w:ind w:left="-57" w:right="-57"/>
              <w:jc w:val="center"/>
              <w:rPr>
                <w:szCs w:val="21"/>
              </w:rPr>
            </w:pPr>
          </w:p>
        </w:tc>
        <w:tc>
          <w:tcPr>
            <w:tcW w:w="586" w:type="dxa"/>
            <w:vMerge w:val="continue"/>
            <w:vAlign w:val="center"/>
          </w:tcPr>
          <w:p>
            <w:pPr>
              <w:adjustRightInd w:val="0"/>
              <w:snapToGrid w:val="0"/>
              <w:spacing w:line="254" w:lineRule="exact"/>
              <w:ind w:left="-57" w:right="-57"/>
              <w:jc w:val="center"/>
              <w:rPr>
                <w:szCs w:val="21"/>
              </w:rPr>
            </w:pPr>
          </w:p>
        </w:tc>
        <w:tc>
          <w:tcPr>
            <w:tcW w:w="682" w:type="dxa"/>
            <w:vAlign w:val="center"/>
          </w:tcPr>
          <w:p>
            <w:pPr>
              <w:adjustRightInd w:val="0"/>
              <w:snapToGrid w:val="0"/>
              <w:spacing w:line="254" w:lineRule="exact"/>
              <w:ind w:left="-57" w:right="-57"/>
              <w:jc w:val="center"/>
              <w:rPr>
                <w:szCs w:val="21"/>
              </w:rPr>
            </w:pPr>
            <w:r>
              <w:rPr>
                <w:szCs w:val="21"/>
              </w:rPr>
              <w:t>20</w:t>
            </w:r>
          </w:p>
        </w:tc>
        <w:tc>
          <w:tcPr>
            <w:tcW w:w="1826" w:type="dxa"/>
            <w:vAlign w:val="center"/>
          </w:tcPr>
          <w:p>
            <w:pPr>
              <w:adjustRightInd w:val="0"/>
              <w:snapToGrid w:val="0"/>
              <w:spacing w:line="254" w:lineRule="exact"/>
              <w:ind w:left="-57" w:right="-57"/>
              <w:jc w:val="center"/>
              <w:rPr>
                <w:szCs w:val="21"/>
              </w:rPr>
            </w:pPr>
            <w:r>
              <w:rPr>
                <w:rFonts w:hAnsi="宋体"/>
                <w:szCs w:val="21"/>
              </w:rPr>
              <w:t>店外经营、堆放</w:t>
            </w:r>
          </w:p>
        </w:tc>
        <w:tc>
          <w:tcPr>
            <w:tcW w:w="6869" w:type="dxa"/>
            <w:vAlign w:val="center"/>
          </w:tcPr>
          <w:p>
            <w:pPr>
              <w:adjustRightInd w:val="0"/>
              <w:snapToGrid w:val="0"/>
              <w:spacing w:line="254" w:lineRule="exact"/>
              <w:rPr>
                <w:szCs w:val="21"/>
              </w:rPr>
            </w:pPr>
            <w:r>
              <w:rPr>
                <w:rFonts w:hAnsi="宋体"/>
                <w:szCs w:val="21"/>
              </w:rPr>
              <w:t>乱设摊、商铺占道经营（堆放）</w:t>
            </w:r>
          </w:p>
        </w:tc>
        <w:tc>
          <w:tcPr>
            <w:tcW w:w="1026" w:type="dxa"/>
            <w:vAlign w:val="center"/>
          </w:tcPr>
          <w:p>
            <w:pPr>
              <w:adjustRightInd w:val="0"/>
              <w:snapToGrid w:val="0"/>
              <w:spacing w:line="254" w:lineRule="exact"/>
              <w:jc w:val="center"/>
              <w:rPr>
                <w:szCs w:val="21"/>
              </w:rPr>
            </w:pPr>
            <w:r>
              <w:rPr>
                <w:szCs w:val="21"/>
              </w:rPr>
              <w:t>2</w:t>
            </w:r>
            <w:r>
              <w:rPr>
                <w:rFonts w:hAnsi="宋体"/>
                <w:szCs w:val="21"/>
              </w:rPr>
              <w:t>工作时</w:t>
            </w:r>
          </w:p>
        </w:tc>
        <w:tc>
          <w:tcPr>
            <w:tcW w:w="1293" w:type="dxa"/>
            <w:vMerge w:val="continue"/>
            <w:vAlign w:val="center"/>
          </w:tcPr>
          <w:p>
            <w:pPr>
              <w:widowControl/>
              <w:adjustRightInd w:val="0"/>
              <w:snapToGrid w:val="0"/>
              <w:spacing w:line="254" w:lineRule="exact"/>
              <w:jc w:val="center"/>
              <w:rPr>
                <w:kern w:val="0"/>
                <w:szCs w:val="21"/>
              </w:rPr>
            </w:pPr>
          </w:p>
        </w:tc>
        <w:tc>
          <w:tcPr>
            <w:tcW w:w="868" w:type="dxa"/>
            <w:vAlign w:val="center"/>
          </w:tcPr>
          <w:p>
            <w:pPr>
              <w:adjustRightInd w:val="0"/>
              <w:snapToGrid w:val="0"/>
              <w:spacing w:line="254" w:lineRule="exact"/>
              <w:ind w:left="-57" w:right="-57"/>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Merge w:val="continue"/>
          </w:tcPr>
          <w:p>
            <w:pPr>
              <w:adjustRightInd w:val="0"/>
              <w:snapToGrid w:val="0"/>
              <w:spacing w:line="254" w:lineRule="exact"/>
              <w:ind w:left="-57" w:right="-57"/>
              <w:jc w:val="center"/>
              <w:rPr>
                <w:szCs w:val="21"/>
              </w:rPr>
            </w:pPr>
          </w:p>
        </w:tc>
        <w:tc>
          <w:tcPr>
            <w:tcW w:w="586" w:type="dxa"/>
            <w:vMerge w:val="continue"/>
            <w:vAlign w:val="center"/>
          </w:tcPr>
          <w:p>
            <w:pPr>
              <w:adjustRightInd w:val="0"/>
              <w:snapToGrid w:val="0"/>
              <w:spacing w:line="254" w:lineRule="exact"/>
              <w:ind w:left="-57" w:right="-57"/>
              <w:jc w:val="center"/>
              <w:rPr>
                <w:szCs w:val="21"/>
              </w:rPr>
            </w:pPr>
          </w:p>
        </w:tc>
        <w:tc>
          <w:tcPr>
            <w:tcW w:w="682" w:type="dxa"/>
            <w:vAlign w:val="center"/>
          </w:tcPr>
          <w:p>
            <w:pPr>
              <w:adjustRightInd w:val="0"/>
              <w:snapToGrid w:val="0"/>
              <w:spacing w:line="254" w:lineRule="exact"/>
              <w:ind w:left="-57" w:right="-57"/>
              <w:jc w:val="center"/>
              <w:rPr>
                <w:szCs w:val="21"/>
              </w:rPr>
            </w:pPr>
            <w:r>
              <w:rPr>
                <w:szCs w:val="21"/>
              </w:rPr>
              <w:t>21</w:t>
            </w:r>
          </w:p>
        </w:tc>
        <w:tc>
          <w:tcPr>
            <w:tcW w:w="1826" w:type="dxa"/>
            <w:vAlign w:val="center"/>
          </w:tcPr>
          <w:p>
            <w:pPr>
              <w:adjustRightInd w:val="0"/>
              <w:snapToGrid w:val="0"/>
              <w:spacing w:line="254" w:lineRule="exact"/>
              <w:ind w:left="-57" w:right="-57"/>
              <w:jc w:val="center"/>
              <w:rPr>
                <w:szCs w:val="21"/>
              </w:rPr>
            </w:pPr>
            <w:r>
              <w:rPr>
                <w:rFonts w:hAnsi="宋体"/>
                <w:szCs w:val="21"/>
              </w:rPr>
              <w:t>除</w:t>
            </w:r>
            <w:r>
              <w:rPr>
                <w:szCs w:val="21"/>
              </w:rPr>
              <w:t>“</w:t>
            </w:r>
            <w:r>
              <w:rPr>
                <w:rFonts w:hAnsi="宋体"/>
                <w:szCs w:val="21"/>
              </w:rPr>
              <w:t>四害</w:t>
            </w:r>
            <w:r>
              <w:rPr>
                <w:szCs w:val="21"/>
              </w:rPr>
              <w:t>”</w:t>
            </w:r>
          </w:p>
        </w:tc>
        <w:tc>
          <w:tcPr>
            <w:tcW w:w="6869" w:type="dxa"/>
            <w:vAlign w:val="center"/>
          </w:tcPr>
          <w:p>
            <w:pPr>
              <w:adjustRightInd w:val="0"/>
              <w:snapToGrid w:val="0"/>
              <w:spacing w:line="254" w:lineRule="exact"/>
              <w:rPr>
                <w:szCs w:val="21"/>
              </w:rPr>
            </w:pPr>
            <w:r>
              <w:rPr>
                <w:rFonts w:hAnsi="宋体"/>
                <w:szCs w:val="21"/>
              </w:rPr>
              <w:t>无固定灭鼠用毒饵站或未按时有效投药</w:t>
            </w:r>
          </w:p>
        </w:tc>
        <w:tc>
          <w:tcPr>
            <w:tcW w:w="1026" w:type="dxa"/>
            <w:vAlign w:val="center"/>
          </w:tcPr>
          <w:p>
            <w:pPr>
              <w:adjustRightInd w:val="0"/>
              <w:snapToGrid w:val="0"/>
              <w:spacing w:line="254" w:lineRule="exact"/>
              <w:jc w:val="center"/>
              <w:rPr>
                <w:szCs w:val="21"/>
              </w:rPr>
            </w:pPr>
            <w:r>
              <w:rPr>
                <w:szCs w:val="21"/>
              </w:rPr>
              <w:t>3</w:t>
            </w:r>
            <w:r>
              <w:rPr>
                <w:rFonts w:hAnsi="宋体"/>
                <w:szCs w:val="21"/>
              </w:rPr>
              <w:t>工作日</w:t>
            </w:r>
          </w:p>
        </w:tc>
        <w:tc>
          <w:tcPr>
            <w:tcW w:w="1293" w:type="dxa"/>
            <w:vMerge w:val="continue"/>
            <w:vAlign w:val="center"/>
          </w:tcPr>
          <w:p>
            <w:pPr>
              <w:widowControl/>
              <w:adjustRightInd w:val="0"/>
              <w:snapToGrid w:val="0"/>
              <w:spacing w:line="254" w:lineRule="exact"/>
              <w:jc w:val="center"/>
              <w:rPr>
                <w:kern w:val="0"/>
                <w:szCs w:val="21"/>
              </w:rPr>
            </w:pPr>
          </w:p>
        </w:tc>
        <w:tc>
          <w:tcPr>
            <w:tcW w:w="868" w:type="dxa"/>
            <w:vAlign w:val="center"/>
          </w:tcPr>
          <w:p>
            <w:pPr>
              <w:adjustRightInd w:val="0"/>
              <w:snapToGrid w:val="0"/>
              <w:spacing w:line="254" w:lineRule="exact"/>
              <w:ind w:left="-57" w:right="-57"/>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Merge w:val="continue"/>
          </w:tcPr>
          <w:p>
            <w:pPr>
              <w:adjustRightInd w:val="0"/>
              <w:snapToGrid w:val="0"/>
              <w:spacing w:line="254" w:lineRule="exact"/>
              <w:ind w:left="-57" w:right="-57"/>
              <w:jc w:val="center"/>
              <w:rPr>
                <w:szCs w:val="21"/>
              </w:rPr>
            </w:pPr>
          </w:p>
        </w:tc>
        <w:tc>
          <w:tcPr>
            <w:tcW w:w="586" w:type="dxa"/>
            <w:vMerge w:val="continue"/>
            <w:vAlign w:val="center"/>
          </w:tcPr>
          <w:p>
            <w:pPr>
              <w:adjustRightInd w:val="0"/>
              <w:snapToGrid w:val="0"/>
              <w:spacing w:line="254" w:lineRule="exact"/>
              <w:ind w:left="-57" w:right="-57"/>
              <w:jc w:val="center"/>
              <w:rPr>
                <w:szCs w:val="21"/>
              </w:rPr>
            </w:pPr>
          </w:p>
        </w:tc>
        <w:tc>
          <w:tcPr>
            <w:tcW w:w="682" w:type="dxa"/>
            <w:vAlign w:val="center"/>
          </w:tcPr>
          <w:p>
            <w:pPr>
              <w:adjustRightInd w:val="0"/>
              <w:snapToGrid w:val="0"/>
              <w:spacing w:line="254" w:lineRule="exact"/>
              <w:ind w:left="-57" w:right="-57"/>
              <w:jc w:val="center"/>
              <w:rPr>
                <w:szCs w:val="21"/>
              </w:rPr>
            </w:pPr>
            <w:r>
              <w:rPr>
                <w:szCs w:val="21"/>
              </w:rPr>
              <w:t>22</w:t>
            </w:r>
          </w:p>
        </w:tc>
        <w:tc>
          <w:tcPr>
            <w:tcW w:w="1826" w:type="dxa"/>
            <w:vAlign w:val="center"/>
          </w:tcPr>
          <w:p>
            <w:pPr>
              <w:adjustRightInd w:val="0"/>
              <w:snapToGrid w:val="0"/>
              <w:spacing w:line="254" w:lineRule="exact"/>
              <w:ind w:left="-57" w:right="-57"/>
              <w:jc w:val="center"/>
              <w:rPr>
                <w:szCs w:val="21"/>
              </w:rPr>
            </w:pPr>
            <w:r>
              <w:rPr>
                <w:rFonts w:hAnsi="宋体"/>
                <w:szCs w:val="21"/>
              </w:rPr>
              <w:t>占用消防通道</w:t>
            </w:r>
          </w:p>
        </w:tc>
        <w:tc>
          <w:tcPr>
            <w:tcW w:w="6869" w:type="dxa"/>
            <w:vAlign w:val="center"/>
          </w:tcPr>
          <w:p>
            <w:pPr>
              <w:adjustRightInd w:val="0"/>
              <w:snapToGrid w:val="0"/>
              <w:spacing w:line="254" w:lineRule="exact"/>
              <w:rPr>
                <w:szCs w:val="21"/>
              </w:rPr>
            </w:pPr>
            <w:r>
              <w:rPr>
                <w:rFonts w:hAnsi="宋体"/>
                <w:szCs w:val="21"/>
              </w:rPr>
              <w:t>消防通道被占用</w:t>
            </w:r>
          </w:p>
        </w:tc>
        <w:tc>
          <w:tcPr>
            <w:tcW w:w="1026" w:type="dxa"/>
            <w:vAlign w:val="center"/>
          </w:tcPr>
          <w:p>
            <w:pPr>
              <w:adjustRightInd w:val="0"/>
              <w:snapToGrid w:val="0"/>
              <w:spacing w:line="254" w:lineRule="exact"/>
              <w:jc w:val="center"/>
              <w:rPr>
                <w:szCs w:val="21"/>
              </w:rPr>
            </w:pPr>
            <w:r>
              <w:rPr>
                <w:szCs w:val="21"/>
              </w:rPr>
              <w:t>4</w:t>
            </w:r>
            <w:r>
              <w:rPr>
                <w:rFonts w:hAnsi="宋体"/>
                <w:szCs w:val="21"/>
              </w:rPr>
              <w:t>工作时</w:t>
            </w:r>
          </w:p>
        </w:tc>
        <w:tc>
          <w:tcPr>
            <w:tcW w:w="1293" w:type="dxa"/>
            <w:vMerge w:val="continue"/>
            <w:vAlign w:val="center"/>
          </w:tcPr>
          <w:p>
            <w:pPr>
              <w:widowControl/>
              <w:adjustRightInd w:val="0"/>
              <w:snapToGrid w:val="0"/>
              <w:spacing w:line="254" w:lineRule="exact"/>
              <w:jc w:val="center"/>
              <w:rPr>
                <w:kern w:val="0"/>
                <w:szCs w:val="21"/>
              </w:rPr>
            </w:pPr>
          </w:p>
        </w:tc>
        <w:tc>
          <w:tcPr>
            <w:tcW w:w="868" w:type="dxa"/>
            <w:vAlign w:val="center"/>
          </w:tcPr>
          <w:p>
            <w:pPr>
              <w:adjustRightInd w:val="0"/>
              <w:snapToGrid w:val="0"/>
              <w:spacing w:line="254" w:lineRule="exact"/>
              <w:ind w:left="-57" w:right="-57"/>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Merge w:val="continue"/>
          </w:tcPr>
          <w:p>
            <w:pPr>
              <w:adjustRightInd w:val="0"/>
              <w:snapToGrid w:val="0"/>
              <w:spacing w:line="254" w:lineRule="exact"/>
              <w:ind w:left="-57" w:right="-57"/>
              <w:jc w:val="center"/>
              <w:rPr>
                <w:szCs w:val="21"/>
              </w:rPr>
            </w:pPr>
          </w:p>
        </w:tc>
        <w:tc>
          <w:tcPr>
            <w:tcW w:w="586" w:type="dxa"/>
            <w:vMerge w:val="restart"/>
            <w:vAlign w:val="center"/>
          </w:tcPr>
          <w:p>
            <w:pPr>
              <w:adjustRightInd w:val="0"/>
              <w:snapToGrid w:val="0"/>
              <w:spacing w:line="254" w:lineRule="exact"/>
              <w:ind w:left="-57" w:right="-57"/>
              <w:jc w:val="center"/>
              <w:rPr>
                <w:szCs w:val="21"/>
              </w:rPr>
            </w:pPr>
            <w:r>
              <w:rPr>
                <w:rFonts w:hAnsi="宋体"/>
                <w:szCs w:val="21"/>
              </w:rPr>
              <w:t>绿化管理</w:t>
            </w:r>
          </w:p>
        </w:tc>
        <w:tc>
          <w:tcPr>
            <w:tcW w:w="682" w:type="dxa"/>
            <w:vAlign w:val="center"/>
          </w:tcPr>
          <w:p>
            <w:pPr>
              <w:adjustRightInd w:val="0"/>
              <w:snapToGrid w:val="0"/>
              <w:spacing w:line="254" w:lineRule="exact"/>
              <w:ind w:left="-57" w:right="-57"/>
              <w:jc w:val="center"/>
              <w:rPr>
                <w:szCs w:val="21"/>
              </w:rPr>
            </w:pPr>
            <w:r>
              <w:rPr>
                <w:szCs w:val="21"/>
              </w:rPr>
              <w:t>23</w:t>
            </w:r>
          </w:p>
        </w:tc>
        <w:tc>
          <w:tcPr>
            <w:tcW w:w="1826" w:type="dxa"/>
            <w:vAlign w:val="center"/>
          </w:tcPr>
          <w:p>
            <w:pPr>
              <w:adjustRightInd w:val="0"/>
              <w:snapToGrid w:val="0"/>
              <w:spacing w:line="254" w:lineRule="exact"/>
              <w:ind w:left="-57" w:right="-57"/>
              <w:jc w:val="center"/>
              <w:rPr>
                <w:szCs w:val="21"/>
              </w:rPr>
            </w:pPr>
            <w:r>
              <w:rPr>
                <w:rFonts w:hAnsi="宋体"/>
                <w:szCs w:val="21"/>
              </w:rPr>
              <w:t>绿化管养不佳</w:t>
            </w:r>
          </w:p>
        </w:tc>
        <w:tc>
          <w:tcPr>
            <w:tcW w:w="6869" w:type="dxa"/>
            <w:vAlign w:val="center"/>
          </w:tcPr>
          <w:p>
            <w:pPr>
              <w:adjustRightInd w:val="0"/>
              <w:snapToGrid w:val="0"/>
              <w:spacing w:line="254" w:lineRule="exact"/>
              <w:rPr>
                <w:szCs w:val="21"/>
              </w:rPr>
            </w:pPr>
            <w:r>
              <w:rPr>
                <w:rFonts w:hAnsi="宋体"/>
                <w:szCs w:val="21"/>
              </w:rPr>
              <w:t>绿化管养（修剪、除草）不到位，有空秃（大于</w:t>
            </w:r>
            <w:r>
              <w:rPr>
                <w:szCs w:val="21"/>
              </w:rPr>
              <w:t>1</w:t>
            </w:r>
            <w:r>
              <w:rPr>
                <w:rFonts w:hAnsi="宋体"/>
                <w:szCs w:val="21"/>
              </w:rPr>
              <w:t>㎡）、死树枯枝、明显病虫害、垃圾、杂物</w:t>
            </w:r>
          </w:p>
        </w:tc>
        <w:tc>
          <w:tcPr>
            <w:tcW w:w="1026" w:type="dxa"/>
            <w:vAlign w:val="center"/>
          </w:tcPr>
          <w:p>
            <w:pPr>
              <w:adjustRightInd w:val="0"/>
              <w:snapToGrid w:val="0"/>
              <w:spacing w:line="254" w:lineRule="exact"/>
              <w:jc w:val="center"/>
              <w:rPr>
                <w:szCs w:val="21"/>
              </w:rPr>
            </w:pPr>
            <w:r>
              <w:rPr>
                <w:szCs w:val="21"/>
              </w:rPr>
              <w:t>3</w:t>
            </w:r>
            <w:r>
              <w:rPr>
                <w:rFonts w:hAnsi="宋体"/>
                <w:szCs w:val="21"/>
              </w:rPr>
              <w:t>工作日</w:t>
            </w:r>
          </w:p>
        </w:tc>
        <w:tc>
          <w:tcPr>
            <w:tcW w:w="1293" w:type="dxa"/>
            <w:vMerge w:val="continue"/>
            <w:vAlign w:val="center"/>
          </w:tcPr>
          <w:p>
            <w:pPr>
              <w:widowControl/>
              <w:adjustRightInd w:val="0"/>
              <w:snapToGrid w:val="0"/>
              <w:spacing w:line="254" w:lineRule="exact"/>
              <w:jc w:val="center"/>
              <w:rPr>
                <w:kern w:val="0"/>
                <w:szCs w:val="21"/>
              </w:rPr>
            </w:pPr>
          </w:p>
        </w:tc>
        <w:tc>
          <w:tcPr>
            <w:tcW w:w="868" w:type="dxa"/>
            <w:vAlign w:val="center"/>
          </w:tcPr>
          <w:p>
            <w:pPr>
              <w:adjustRightInd w:val="0"/>
              <w:snapToGrid w:val="0"/>
              <w:spacing w:line="254" w:lineRule="exact"/>
              <w:ind w:left="-57" w:right="-57"/>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Merge w:val="continue"/>
          </w:tcPr>
          <w:p>
            <w:pPr>
              <w:adjustRightInd w:val="0"/>
              <w:snapToGrid w:val="0"/>
              <w:spacing w:line="254" w:lineRule="exact"/>
              <w:ind w:left="-57" w:right="-57"/>
              <w:jc w:val="center"/>
              <w:rPr>
                <w:szCs w:val="21"/>
              </w:rPr>
            </w:pPr>
          </w:p>
        </w:tc>
        <w:tc>
          <w:tcPr>
            <w:tcW w:w="586" w:type="dxa"/>
            <w:vMerge w:val="continue"/>
            <w:vAlign w:val="center"/>
          </w:tcPr>
          <w:p>
            <w:pPr>
              <w:adjustRightInd w:val="0"/>
              <w:snapToGrid w:val="0"/>
              <w:spacing w:line="254" w:lineRule="exact"/>
              <w:ind w:left="-57" w:right="-57"/>
              <w:jc w:val="center"/>
              <w:rPr>
                <w:szCs w:val="21"/>
              </w:rPr>
            </w:pPr>
          </w:p>
        </w:tc>
        <w:tc>
          <w:tcPr>
            <w:tcW w:w="682" w:type="dxa"/>
            <w:vAlign w:val="center"/>
          </w:tcPr>
          <w:p>
            <w:pPr>
              <w:adjustRightInd w:val="0"/>
              <w:snapToGrid w:val="0"/>
              <w:spacing w:line="254" w:lineRule="exact"/>
              <w:ind w:left="-57" w:right="-57"/>
              <w:jc w:val="center"/>
              <w:rPr>
                <w:szCs w:val="21"/>
              </w:rPr>
            </w:pPr>
            <w:r>
              <w:rPr>
                <w:szCs w:val="21"/>
              </w:rPr>
              <w:t>24</w:t>
            </w:r>
          </w:p>
        </w:tc>
        <w:tc>
          <w:tcPr>
            <w:tcW w:w="1826" w:type="dxa"/>
            <w:vAlign w:val="center"/>
          </w:tcPr>
          <w:p>
            <w:pPr>
              <w:adjustRightInd w:val="0"/>
              <w:snapToGrid w:val="0"/>
              <w:spacing w:line="254" w:lineRule="exact"/>
              <w:ind w:left="-57" w:right="-57"/>
              <w:jc w:val="center"/>
              <w:rPr>
                <w:szCs w:val="21"/>
              </w:rPr>
            </w:pPr>
            <w:r>
              <w:rPr>
                <w:rFonts w:hAnsi="宋体"/>
                <w:szCs w:val="21"/>
              </w:rPr>
              <w:t>破坏绿化</w:t>
            </w:r>
          </w:p>
        </w:tc>
        <w:tc>
          <w:tcPr>
            <w:tcW w:w="6869" w:type="dxa"/>
            <w:vAlign w:val="center"/>
          </w:tcPr>
          <w:p>
            <w:pPr>
              <w:adjustRightInd w:val="0"/>
              <w:snapToGrid w:val="0"/>
              <w:spacing w:line="254" w:lineRule="exact"/>
              <w:rPr>
                <w:szCs w:val="21"/>
              </w:rPr>
            </w:pPr>
            <w:r>
              <w:rPr>
                <w:rFonts w:hAnsi="宋体"/>
                <w:szCs w:val="21"/>
              </w:rPr>
              <w:t>绿地（篱）、树木被破坏，有占（毁）绿、种菜、堆放、绿地停车现象</w:t>
            </w:r>
          </w:p>
        </w:tc>
        <w:tc>
          <w:tcPr>
            <w:tcW w:w="1026" w:type="dxa"/>
            <w:vAlign w:val="center"/>
          </w:tcPr>
          <w:p>
            <w:pPr>
              <w:adjustRightInd w:val="0"/>
              <w:snapToGrid w:val="0"/>
              <w:spacing w:line="254" w:lineRule="exact"/>
              <w:jc w:val="center"/>
              <w:rPr>
                <w:szCs w:val="21"/>
              </w:rPr>
            </w:pPr>
            <w:r>
              <w:rPr>
                <w:szCs w:val="21"/>
              </w:rPr>
              <w:t>4</w:t>
            </w:r>
            <w:r>
              <w:rPr>
                <w:rFonts w:hAnsi="宋体"/>
                <w:szCs w:val="21"/>
              </w:rPr>
              <w:t>工作时</w:t>
            </w:r>
          </w:p>
        </w:tc>
        <w:tc>
          <w:tcPr>
            <w:tcW w:w="1293" w:type="dxa"/>
            <w:vMerge w:val="continue"/>
            <w:vAlign w:val="center"/>
          </w:tcPr>
          <w:p>
            <w:pPr>
              <w:widowControl/>
              <w:adjustRightInd w:val="0"/>
              <w:snapToGrid w:val="0"/>
              <w:spacing w:line="254" w:lineRule="exact"/>
              <w:jc w:val="center"/>
              <w:rPr>
                <w:kern w:val="0"/>
                <w:szCs w:val="21"/>
              </w:rPr>
            </w:pPr>
          </w:p>
        </w:tc>
        <w:tc>
          <w:tcPr>
            <w:tcW w:w="868" w:type="dxa"/>
            <w:vAlign w:val="center"/>
          </w:tcPr>
          <w:p>
            <w:pPr>
              <w:adjustRightInd w:val="0"/>
              <w:snapToGrid w:val="0"/>
              <w:spacing w:line="254" w:lineRule="exact"/>
              <w:ind w:left="-57" w:right="-57"/>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46" w:type="dxa"/>
            <w:vMerge w:val="continue"/>
          </w:tcPr>
          <w:p>
            <w:pPr>
              <w:adjustRightInd w:val="0"/>
              <w:snapToGrid w:val="0"/>
              <w:spacing w:line="254" w:lineRule="exact"/>
              <w:ind w:left="-57" w:right="-57"/>
              <w:jc w:val="center"/>
              <w:rPr>
                <w:szCs w:val="21"/>
              </w:rPr>
            </w:pPr>
          </w:p>
        </w:tc>
        <w:tc>
          <w:tcPr>
            <w:tcW w:w="586" w:type="dxa"/>
            <w:vMerge w:val="continue"/>
            <w:vAlign w:val="center"/>
          </w:tcPr>
          <w:p>
            <w:pPr>
              <w:adjustRightInd w:val="0"/>
              <w:snapToGrid w:val="0"/>
              <w:spacing w:line="254" w:lineRule="exact"/>
              <w:ind w:left="-57" w:right="-57"/>
              <w:jc w:val="center"/>
              <w:rPr>
                <w:szCs w:val="21"/>
              </w:rPr>
            </w:pPr>
          </w:p>
        </w:tc>
        <w:tc>
          <w:tcPr>
            <w:tcW w:w="682" w:type="dxa"/>
            <w:vAlign w:val="center"/>
          </w:tcPr>
          <w:p>
            <w:pPr>
              <w:adjustRightInd w:val="0"/>
              <w:snapToGrid w:val="0"/>
              <w:spacing w:line="254" w:lineRule="exact"/>
              <w:ind w:left="-57" w:right="-57"/>
              <w:jc w:val="center"/>
              <w:rPr>
                <w:szCs w:val="21"/>
              </w:rPr>
            </w:pPr>
            <w:r>
              <w:rPr>
                <w:szCs w:val="21"/>
              </w:rPr>
              <w:t>25</w:t>
            </w:r>
          </w:p>
        </w:tc>
        <w:tc>
          <w:tcPr>
            <w:tcW w:w="1826" w:type="dxa"/>
            <w:vAlign w:val="center"/>
          </w:tcPr>
          <w:p>
            <w:pPr>
              <w:adjustRightInd w:val="0"/>
              <w:snapToGrid w:val="0"/>
              <w:spacing w:line="254" w:lineRule="exact"/>
              <w:ind w:left="-57" w:right="-57"/>
              <w:jc w:val="center"/>
              <w:rPr>
                <w:szCs w:val="21"/>
              </w:rPr>
            </w:pPr>
            <w:r>
              <w:rPr>
                <w:rFonts w:hAnsi="宋体"/>
                <w:szCs w:val="21"/>
              </w:rPr>
              <w:t>绿化设施破损</w:t>
            </w:r>
          </w:p>
        </w:tc>
        <w:tc>
          <w:tcPr>
            <w:tcW w:w="6869" w:type="dxa"/>
            <w:vAlign w:val="center"/>
          </w:tcPr>
          <w:p>
            <w:pPr>
              <w:adjustRightInd w:val="0"/>
              <w:snapToGrid w:val="0"/>
              <w:spacing w:line="254" w:lineRule="exact"/>
              <w:rPr>
                <w:szCs w:val="21"/>
              </w:rPr>
            </w:pPr>
            <w:r>
              <w:rPr>
                <w:rFonts w:hAnsi="宋体"/>
                <w:szCs w:val="21"/>
              </w:rPr>
              <w:t>绿化箱体、花台（坛）、护树、绿地护栏、雕塑、花架花钵等破损、缺失、锈蚀</w:t>
            </w:r>
          </w:p>
        </w:tc>
        <w:tc>
          <w:tcPr>
            <w:tcW w:w="1026" w:type="dxa"/>
            <w:vAlign w:val="center"/>
          </w:tcPr>
          <w:p>
            <w:pPr>
              <w:adjustRightInd w:val="0"/>
              <w:snapToGrid w:val="0"/>
              <w:spacing w:line="254" w:lineRule="exact"/>
              <w:jc w:val="center"/>
              <w:rPr>
                <w:szCs w:val="21"/>
              </w:rPr>
            </w:pPr>
            <w:r>
              <w:rPr>
                <w:szCs w:val="21"/>
              </w:rPr>
              <w:t>3</w:t>
            </w:r>
            <w:r>
              <w:rPr>
                <w:rFonts w:hAnsi="宋体"/>
                <w:szCs w:val="21"/>
              </w:rPr>
              <w:t>工作日</w:t>
            </w:r>
          </w:p>
        </w:tc>
        <w:tc>
          <w:tcPr>
            <w:tcW w:w="1293" w:type="dxa"/>
            <w:vMerge w:val="restart"/>
            <w:vAlign w:val="center"/>
          </w:tcPr>
          <w:p>
            <w:pPr>
              <w:widowControl/>
              <w:adjustRightInd w:val="0"/>
              <w:snapToGrid w:val="0"/>
              <w:spacing w:line="254" w:lineRule="exact"/>
              <w:jc w:val="center"/>
              <w:rPr>
                <w:kern w:val="0"/>
                <w:szCs w:val="21"/>
              </w:rPr>
            </w:pPr>
          </w:p>
        </w:tc>
        <w:tc>
          <w:tcPr>
            <w:tcW w:w="868" w:type="dxa"/>
            <w:vAlign w:val="center"/>
          </w:tcPr>
          <w:p>
            <w:pPr>
              <w:adjustRightInd w:val="0"/>
              <w:snapToGrid w:val="0"/>
              <w:spacing w:line="254" w:lineRule="exact"/>
              <w:ind w:left="-57" w:right="-57"/>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Merge w:val="continue"/>
          </w:tcPr>
          <w:p>
            <w:pPr>
              <w:adjustRightInd w:val="0"/>
              <w:snapToGrid w:val="0"/>
              <w:spacing w:line="254" w:lineRule="exact"/>
              <w:ind w:left="-57" w:right="-57"/>
              <w:jc w:val="center"/>
              <w:rPr>
                <w:szCs w:val="21"/>
              </w:rPr>
            </w:pPr>
          </w:p>
        </w:tc>
        <w:tc>
          <w:tcPr>
            <w:tcW w:w="586" w:type="dxa"/>
            <w:vAlign w:val="center"/>
          </w:tcPr>
          <w:p>
            <w:pPr>
              <w:adjustRightInd w:val="0"/>
              <w:snapToGrid w:val="0"/>
              <w:spacing w:line="254" w:lineRule="exact"/>
              <w:ind w:left="-57" w:right="-57"/>
              <w:jc w:val="center"/>
              <w:rPr>
                <w:szCs w:val="21"/>
              </w:rPr>
            </w:pPr>
            <w:r>
              <w:rPr>
                <w:rFonts w:hAnsi="宋体"/>
                <w:szCs w:val="21"/>
              </w:rPr>
              <w:t>违法建设</w:t>
            </w:r>
          </w:p>
        </w:tc>
        <w:tc>
          <w:tcPr>
            <w:tcW w:w="682" w:type="dxa"/>
            <w:vAlign w:val="center"/>
          </w:tcPr>
          <w:p>
            <w:pPr>
              <w:adjustRightInd w:val="0"/>
              <w:snapToGrid w:val="0"/>
              <w:spacing w:line="254" w:lineRule="exact"/>
              <w:ind w:left="-57" w:right="-57"/>
              <w:jc w:val="center"/>
              <w:rPr>
                <w:szCs w:val="21"/>
              </w:rPr>
            </w:pPr>
            <w:r>
              <w:rPr>
                <w:szCs w:val="21"/>
              </w:rPr>
              <w:t>26</w:t>
            </w:r>
          </w:p>
        </w:tc>
        <w:tc>
          <w:tcPr>
            <w:tcW w:w="1826" w:type="dxa"/>
            <w:vAlign w:val="center"/>
          </w:tcPr>
          <w:p>
            <w:pPr>
              <w:adjustRightInd w:val="0"/>
              <w:snapToGrid w:val="0"/>
              <w:spacing w:line="254" w:lineRule="exact"/>
              <w:ind w:left="-57" w:right="-57"/>
              <w:jc w:val="center"/>
              <w:rPr>
                <w:szCs w:val="21"/>
              </w:rPr>
            </w:pPr>
            <w:r>
              <w:rPr>
                <w:rFonts w:hAnsi="宋体"/>
                <w:szCs w:val="21"/>
              </w:rPr>
              <w:t>私搭乱建</w:t>
            </w:r>
          </w:p>
        </w:tc>
        <w:tc>
          <w:tcPr>
            <w:tcW w:w="6869" w:type="dxa"/>
            <w:vAlign w:val="center"/>
          </w:tcPr>
          <w:p>
            <w:pPr>
              <w:adjustRightInd w:val="0"/>
              <w:snapToGrid w:val="0"/>
              <w:spacing w:line="254" w:lineRule="exact"/>
              <w:rPr>
                <w:szCs w:val="21"/>
              </w:rPr>
            </w:pPr>
            <w:r>
              <w:rPr>
                <w:rFonts w:hAnsi="宋体"/>
                <w:szCs w:val="21"/>
              </w:rPr>
              <w:t>私自开凿及搭建建筑物、构筑物或其他设施</w:t>
            </w:r>
          </w:p>
        </w:tc>
        <w:tc>
          <w:tcPr>
            <w:tcW w:w="1026" w:type="dxa"/>
            <w:vAlign w:val="center"/>
          </w:tcPr>
          <w:p>
            <w:pPr>
              <w:adjustRightInd w:val="0"/>
              <w:snapToGrid w:val="0"/>
              <w:spacing w:line="254" w:lineRule="exact"/>
              <w:jc w:val="center"/>
              <w:rPr>
                <w:szCs w:val="21"/>
              </w:rPr>
            </w:pPr>
            <w:r>
              <w:rPr>
                <w:szCs w:val="21"/>
              </w:rPr>
              <w:t>7</w:t>
            </w:r>
            <w:r>
              <w:rPr>
                <w:rFonts w:hAnsi="宋体"/>
                <w:szCs w:val="21"/>
              </w:rPr>
              <w:t>工作日</w:t>
            </w:r>
          </w:p>
        </w:tc>
        <w:tc>
          <w:tcPr>
            <w:tcW w:w="1293" w:type="dxa"/>
            <w:vMerge w:val="continue"/>
            <w:vAlign w:val="center"/>
          </w:tcPr>
          <w:p>
            <w:pPr>
              <w:adjustRightInd w:val="0"/>
              <w:snapToGrid w:val="0"/>
              <w:spacing w:line="254" w:lineRule="exact"/>
              <w:ind w:left="-57" w:right="-57"/>
              <w:jc w:val="center"/>
              <w:rPr>
                <w:szCs w:val="21"/>
              </w:rPr>
            </w:pPr>
          </w:p>
        </w:tc>
        <w:tc>
          <w:tcPr>
            <w:tcW w:w="868" w:type="dxa"/>
            <w:vAlign w:val="center"/>
          </w:tcPr>
          <w:p>
            <w:pPr>
              <w:adjustRightInd w:val="0"/>
              <w:snapToGrid w:val="0"/>
              <w:spacing w:line="254" w:lineRule="exact"/>
              <w:ind w:left="-57" w:right="-57"/>
              <w:jc w:val="center"/>
              <w:rPr>
                <w:szCs w:val="21"/>
              </w:rPr>
            </w:pPr>
            <w:r>
              <w:rPr>
                <w:szCs w:val="21"/>
              </w:rPr>
              <w:t>1</w:t>
            </w:r>
          </w:p>
        </w:tc>
      </w:tr>
    </w:tbl>
    <w:p>
      <w:pPr>
        <w:rPr>
          <w:rFonts w:ascii="楷体_GB2312" w:hAnsi="楷体_GB2312" w:eastAsia="楷体_GB2312" w:cs="楷体_GB2312"/>
          <w:color w:val="333333"/>
          <w:spacing w:val="30"/>
          <w:sz w:val="36"/>
          <w:szCs w:val="36"/>
        </w:rPr>
      </w:pPr>
    </w:p>
    <w:p>
      <w:pPr>
        <w:rPr>
          <w:rFonts w:ascii="楷体_GB2312" w:hAnsi="楷体_GB2312" w:eastAsia="楷体_GB2312" w:cs="楷体_GB2312"/>
          <w:color w:val="333333"/>
          <w:spacing w:val="30"/>
          <w:sz w:val="36"/>
          <w:szCs w:val="36"/>
        </w:rPr>
      </w:pPr>
    </w:p>
    <w:p>
      <w:pPr>
        <w:rPr>
          <w:rFonts w:ascii="楷体_GB2312" w:hAnsi="楷体_GB2312" w:eastAsia="楷体_GB2312" w:cs="楷体_GB2312"/>
          <w:color w:val="333333"/>
          <w:spacing w:val="30"/>
          <w:sz w:val="36"/>
          <w:szCs w:val="36"/>
        </w:rPr>
      </w:pPr>
    </w:p>
    <w:p>
      <w:pPr>
        <w:rPr>
          <w:rFonts w:ascii="楷体_GB2312" w:hAnsi="楷体_GB2312" w:eastAsia="楷体_GB2312" w:cs="楷体_GB2312"/>
          <w:color w:val="333333"/>
          <w:spacing w:val="30"/>
          <w:sz w:val="36"/>
          <w:szCs w:val="36"/>
        </w:rPr>
      </w:pPr>
    </w:p>
    <w:p>
      <w:pPr>
        <w:rPr>
          <w:rFonts w:ascii="楷体_GB2312" w:hAnsi="楷体_GB2312" w:eastAsia="楷体_GB2312" w:cs="楷体_GB2312"/>
          <w:color w:val="333333"/>
          <w:spacing w:val="30"/>
          <w:sz w:val="36"/>
          <w:szCs w:val="36"/>
        </w:rPr>
      </w:pPr>
    </w:p>
    <w:p>
      <w:pPr>
        <w:rPr>
          <w:rFonts w:ascii="楷体_GB2312" w:hAnsi="楷体_GB2312" w:eastAsia="楷体_GB2312" w:cs="楷体_GB2312"/>
          <w:color w:val="333333"/>
          <w:spacing w:val="30"/>
          <w:sz w:val="36"/>
          <w:szCs w:val="36"/>
        </w:rPr>
      </w:pPr>
    </w:p>
    <w:p>
      <w:pPr>
        <w:rPr>
          <w:rFonts w:ascii="楷体_GB2312" w:hAnsi="楷体_GB2312" w:eastAsia="楷体_GB2312" w:cs="楷体_GB2312"/>
          <w:color w:val="333333"/>
          <w:spacing w:val="30"/>
          <w:sz w:val="36"/>
          <w:szCs w:val="36"/>
        </w:rPr>
        <w:sectPr>
          <w:footerReference r:id="rId3" w:type="default"/>
          <w:pgSz w:w="16838" w:h="11906" w:orient="landscape"/>
          <w:pgMar w:top="1800" w:right="1440" w:bottom="1800" w:left="1440" w:header="851" w:footer="992" w:gutter="0"/>
          <w:cols w:space="425" w:num="1"/>
          <w:docGrid w:type="lines" w:linePitch="312" w:charSpace="0"/>
        </w:sectPr>
      </w:pPr>
    </w:p>
    <w:p>
      <w:pPr>
        <w:rPr>
          <w:rFonts w:ascii="仿宋_GB2312" w:eastAsia="仿宋_GB2312"/>
          <w:sz w:val="32"/>
        </w:rPr>
      </w:pPr>
      <w:r>
        <w:rPr>
          <w:rFonts w:ascii="仿宋_GB2312" w:eastAsia="仿宋_GB2312"/>
          <w:sz w:val="32"/>
        </w:rPr>
        <w:t>附件</w:t>
      </w:r>
      <w:r>
        <w:rPr>
          <w:rFonts w:hint="eastAsia" w:ascii="仿宋_GB2312" w:eastAsia="仿宋_GB2312"/>
          <w:sz w:val="32"/>
        </w:rPr>
        <w:t>2：</w:t>
      </w:r>
    </w:p>
    <w:tbl>
      <w:tblPr>
        <w:tblStyle w:val="5"/>
        <w:tblW w:w="8900" w:type="dxa"/>
        <w:tblInd w:w="70" w:type="dxa"/>
        <w:tblLayout w:type="autofit"/>
        <w:tblCellMar>
          <w:top w:w="0" w:type="dxa"/>
          <w:left w:w="108" w:type="dxa"/>
          <w:bottom w:w="0" w:type="dxa"/>
          <w:right w:w="108" w:type="dxa"/>
        </w:tblCellMar>
      </w:tblPr>
      <w:tblGrid>
        <w:gridCol w:w="760"/>
        <w:gridCol w:w="2740"/>
        <w:gridCol w:w="1080"/>
        <w:gridCol w:w="4320"/>
      </w:tblGrid>
      <w:tr>
        <w:tblPrEx>
          <w:tblCellMar>
            <w:top w:w="0" w:type="dxa"/>
            <w:left w:w="108" w:type="dxa"/>
            <w:bottom w:w="0" w:type="dxa"/>
            <w:right w:w="108" w:type="dxa"/>
          </w:tblCellMar>
        </w:tblPrEx>
        <w:trPr>
          <w:trHeight w:val="840" w:hRule="atLeast"/>
        </w:trPr>
        <w:tc>
          <w:tcPr>
            <w:tcW w:w="8900" w:type="dxa"/>
            <w:gridSpan w:val="4"/>
            <w:tcBorders>
              <w:top w:val="nil"/>
              <w:left w:val="nil"/>
              <w:bottom w:val="single" w:color="auto" w:sz="8" w:space="0"/>
              <w:right w:val="nil"/>
            </w:tcBorders>
            <w:shd w:val="clear" w:color="auto" w:fill="auto"/>
            <w:noWrap/>
            <w:vAlign w:val="center"/>
          </w:tcPr>
          <w:p>
            <w:pPr>
              <w:widowControl/>
              <w:spacing w:line="400" w:lineRule="exact"/>
              <w:jc w:val="center"/>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36"/>
                <w:szCs w:val="36"/>
              </w:rPr>
              <w:t>洛阳镇物业管理工作考核细则</w:t>
            </w:r>
          </w:p>
        </w:tc>
      </w:tr>
      <w:tr>
        <w:trPr>
          <w:trHeight w:val="366"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olor w:val="000000"/>
                <w:kern w:val="0"/>
                <w:sz w:val="18"/>
                <w:szCs w:val="18"/>
              </w:rPr>
            </w:pPr>
            <w:r>
              <w:rPr>
                <w:rFonts w:hint="eastAsia" w:ascii="宋体" w:hAnsi="宋体"/>
                <w:color w:val="000000"/>
                <w:kern w:val="0"/>
                <w:sz w:val="18"/>
                <w:szCs w:val="18"/>
              </w:rPr>
              <w:t>序号</w:t>
            </w:r>
          </w:p>
        </w:tc>
        <w:tc>
          <w:tcPr>
            <w:tcW w:w="2740"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olor w:val="000000"/>
                <w:kern w:val="0"/>
                <w:sz w:val="18"/>
                <w:szCs w:val="18"/>
              </w:rPr>
            </w:pPr>
            <w:r>
              <w:rPr>
                <w:rFonts w:hint="eastAsia" w:ascii="宋体" w:hAnsi="宋体"/>
                <w:color w:val="000000"/>
                <w:kern w:val="0"/>
                <w:sz w:val="18"/>
                <w:szCs w:val="18"/>
              </w:rPr>
              <w:t>考核内容</w:t>
            </w:r>
          </w:p>
        </w:tc>
        <w:tc>
          <w:tcPr>
            <w:tcW w:w="1080"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olor w:val="000000"/>
                <w:kern w:val="0"/>
                <w:sz w:val="18"/>
                <w:szCs w:val="18"/>
              </w:rPr>
            </w:pPr>
            <w:r>
              <w:rPr>
                <w:rFonts w:hint="eastAsia" w:ascii="宋体" w:hAnsi="宋体"/>
                <w:color w:val="000000"/>
                <w:kern w:val="0"/>
                <w:sz w:val="18"/>
                <w:szCs w:val="18"/>
              </w:rPr>
              <w:t>分值</w:t>
            </w:r>
          </w:p>
        </w:tc>
        <w:tc>
          <w:tcPr>
            <w:tcW w:w="4320"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olor w:val="000000"/>
                <w:kern w:val="0"/>
                <w:sz w:val="18"/>
                <w:szCs w:val="18"/>
              </w:rPr>
            </w:pPr>
            <w:r>
              <w:rPr>
                <w:rFonts w:hint="eastAsia" w:ascii="宋体" w:hAnsi="宋体"/>
                <w:color w:val="000000"/>
                <w:kern w:val="0"/>
                <w:sz w:val="18"/>
                <w:szCs w:val="18"/>
              </w:rPr>
              <w:t>评分标准</w:t>
            </w:r>
          </w:p>
        </w:tc>
      </w:tr>
      <w:tr>
        <w:tblPrEx>
          <w:tblCellMar>
            <w:top w:w="0" w:type="dxa"/>
            <w:left w:w="108" w:type="dxa"/>
            <w:bottom w:w="0" w:type="dxa"/>
            <w:right w:w="108" w:type="dxa"/>
          </w:tblCellMar>
        </w:tblPrEx>
        <w:trPr>
          <w:trHeight w:val="1605" w:hRule="atLeast"/>
        </w:trPr>
        <w:tc>
          <w:tcPr>
            <w:tcW w:w="760" w:type="dxa"/>
            <w:tcBorders>
              <w:top w:val="nil"/>
              <w:left w:val="single" w:color="auto" w:sz="8" w:space="0"/>
              <w:bottom w:val="nil"/>
              <w:right w:val="single" w:color="auto" w:sz="8" w:space="0"/>
            </w:tcBorders>
            <w:shd w:val="clear" w:color="auto" w:fill="auto"/>
            <w:vAlign w:val="center"/>
          </w:tcPr>
          <w:p>
            <w:pPr>
              <w:widowControl/>
              <w:spacing w:line="360" w:lineRule="exact"/>
              <w:jc w:val="center"/>
              <w:rPr>
                <w:rFonts w:ascii="宋体" w:hAnsi="宋体"/>
                <w:color w:val="000000"/>
                <w:kern w:val="0"/>
                <w:sz w:val="18"/>
                <w:szCs w:val="18"/>
              </w:rPr>
            </w:pPr>
            <w:r>
              <w:rPr>
                <w:rFonts w:hint="eastAsia" w:ascii="宋体" w:hAnsi="宋体"/>
                <w:color w:val="000000"/>
                <w:kern w:val="0"/>
                <w:sz w:val="18"/>
                <w:szCs w:val="18"/>
              </w:rPr>
              <w:t>1</w:t>
            </w:r>
          </w:p>
        </w:tc>
        <w:tc>
          <w:tcPr>
            <w:tcW w:w="2740" w:type="dxa"/>
            <w:tcBorders>
              <w:top w:val="nil"/>
              <w:left w:val="nil"/>
              <w:bottom w:val="single" w:color="auto" w:sz="8" w:space="0"/>
              <w:right w:val="single" w:color="auto" w:sz="8" w:space="0"/>
            </w:tcBorders>
            <w:shd w:val="clear" w:color="auto" w:fill="auto"/>
            <w:vAlign w:val="center"/>
          </w:tcPr>
          <w:p>
            <w:pPr>
              <w:widowControl/>
              <w:spacing w:line="360" w:lineRule="exact"/>
              <w:rPr>
                <w:rFonts w:ascii="宋体" w:hAnsi="宋体"/>
                <w:color w:val="000000"/>
                <w:kern w:val="0"/>
                <w:sz w:val="18"/>
                <w:szCs w:val="18"/>
              </w:rPr>
            </w:pPr>
            <w:r>
              <w:rPr>
                <w:rFonts w:hint="eastAsia" w:ascii="宋体" w:hAnsi="宋体"/>
                <w:color w:val="000000"/>
                <w:kern w:val="0"/>
                <w:sz w:val="18"/>
                <w:szCs w:val="18"/>
              </w:rPr>
              <w:t>做好住宅小区各类应急管理预案，及时发现小区安全隐患，及时处置和上报情况;建立物业管理矛盾纠纷化解机制。</w:t>
            </w:r>
          </w:p>
        </w:tc>
        <w:tc>
          <w:tcPr>
            <w:tcW w:w="1080"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olor w:val="000000"/>
                <w:kern w:val="0"/>
                <w:sz w:val="18"/>
                <w:szCs w:val="18"/>
              </w:rPr>
            </w:pPr>
            <w:r>
              <w:rPr>
                <w:rFonts w:hint="eastAsia" w:ascii="宋体" w:hAnsi="宋体"/>
                <w:color w:val="000000"/>
                <w:kern w:val="0"/>
                <w:sz w:val="18"/>
                <w:szCs w:val="18"/>
              </w:rPr>
              <w:t>10</w:t>
            </w:r>
          </w:p>
        </w:tc>
        <w:tc>
          <w:tcPr>
            <w:tcW w:w="4320" w:type="dxa"/>
            <w:tcBorders>
              <w:top w:val="nil"/>
              <w:left w:val="nil"/>
              <w:bottom w:val="single" w:color="auto" w:sz="8" w:space="0"/>
              <w:right w:val="single" w:color="auto" w:sz="8" w:space="0"/>
            </w:tcBorders>
            <w:shd w:val="clear" w:color="auto" w:fill="auto"/>
            <w:vAlign w:val="center"/>
          </w:tcPr>
          <w:p>
            <w:pPr>
              <w:widowControl/>
              <w:spacing w:line="360" w:lineRule="exact"/>
              <w:jc w:val="left"/>
              <w:rPr>
                <w:rFonts w:ascii="宋体" w:hAnsi="宋体"/>
                <w:color w:val="000000"/>
                <w:kern w:val="0"/>
                <w:sz w:val="18"/>
                <w:szCs w:val="18"/>
              </w:rPr>
            </w:pPr>
            <w:r>
              <w:rPr>
                <w:rFonts w:hint="eastAsia" w:ascii="宋体" w:hAnsi="宋体"/>
                <w:color w:val="000000"/>
                <w:kern w:val="0"/>
                <w:sz w:val="18"/>
                <w:szCs w:val="18"/>
              </w:rPr>
              <w:t>未制定消防、电梯、给排水、供配电、自然灾害、公共卫生、治安、交通、燃气事故、群租房、重大矛盾纠纷等应急预案的有一项扣</w:t>
            </w:r>
            <w:r>
              <w:rPr>
                <w:rFonts w:ascii="宋体" w:hAnsi="宋体"/>
                <w:color w:val="000000"/>
                <w:kern w:val="0"/>
                <w:sz w:val="18"/>
                <w:szCs w:val="18"/>
              </w:rPr>
              <w:t>1</w:t>
            </w:r>
            <w:r>
              <w:rPr>
                <w:rFonts w:hint="eastAsia" w:ascii="宋体" w:hAnsi="宋体"/>
                <w:color w:val="000000"/>
                <w:kern w:val="0"/>
                <w:sz w:val="18"/>
                <w:szCs w:val="18"/>
              </w:rPr>
              <w:t>分；小区发生安全事故未及时处理和上报有一例扣5分，不处理或存在严重失职造成重大影响的有一例扣3分；未建立镇与社区联动物业管理矛盾纠纷化解机制的扣5分。</w:t>
            </w:r>
          </w:p>
        </w:tc>
      </w:tr>
      <w:tr>
        <w:trPr>
          <w:trHeight w:val="600" w:hRule="atLeast"/>
        </w:trPr>
        <w:tc>
          <w:tcPr>
            <w:tcW w:w="7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olor w:val="000000"/>
                <w:kern w:val="0"/>
                <w:sz w:val="18"/>
                <w:szCs w:val="18"/>
              </w:rPr>
            </w:pPr>
            <w:r>
              <w:rPr>
                <w:rFonts w:hint="eastAsia" w:ascii="宋体" w:hAnsi="宋体"/>
                <w:color w:val="000000"/>
                <w:kern w:val="0"/>
                <w:sz w:val="18"/>
                <w:szCs w:val="18"/>
              </w:rPr>
              <w:t>2</w:t>
            </w:r>
          </w:p>
        </w:tc>
        <w:tc>
          <w:tcPr>
            <w:tcW w:w="2740" w:type="dxa"/>
            <w:tcBorders>
              <w:top w:val="nil"/>
              <w:left w:val="nil"/>
              <w:bottom w:val="single" w:color="auto" w:sz="8" w:space="0"/>
              <w:right w:val="single" w:color="auto" w:sz="8" w:space="0"/>
            </w:tcBorders>
            <w:shd w:val="clear" w:color="auto" w:fill="auto"/>
            <w:vAlign w:val="center"/>
          </w:tcPr>
          <w:p>
            <w:pPr>
              <w:widowControl/>
              <w:spacing w:line="360" w:lineRule="exact"/>
              <w:rPr>
                <w:rFonts w:ascii="宋体" w:hAnsi="宋体"/>
                <w:color w:val="000000"/>
                <w:kern w:val="0"/>
                <w:sz w:val="18"/>
                <w:szCs w:val="18"/>
              </w:rPr>
            </w:pPr>
            <w:r>
              <w:rPr>
                <w:rFonts w:hint="eastAsia" w:ascii="宋体" w:hAnsi="宋体"/>
                <w:color w:val="000000"/>
                <w:kern w:val="0"/>
                <w:sz w:val="18"/>
                <w:szCs w:val="18"/>
              </w:rPr>
              <w:t>开展住宅小区物业管理巡中查提出的整改意见，整改到位。</w:t>
            </w:r>
          </w:p>
        </w:tc>
        <w:tc>
          <w:tcPr>
            <w:tcW w:w="1080"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olor w:val="000000"/>
                <w:kern w:val="0"/>
                <w:sz w:val="18"/>
                <w:szCs w:val="18"/>
              </w:rPr>
            </w:pPr>
            <w:r>
              <w:rPr>
                <w:rFonts w:ascii="宋体" w:hAnsi="宋体"/>
                <w:color w:val="000000"/>
                <w:kern w:val="0"/>
                <w:sz w:val="18"/>
                <w:szCs w:val="18"/>
              </w:rPr>
              <w:t>40</w:t>
            </w:r>
          </w:p>
        </w:tc>
        <w:tc>
          <w:tcPr>
            <w:tcW w:w="4320" w:type="dxa"/>
            <w:tcBorders>
              <w:top w:val="nil"/>
              <w:left w:val="nil"/>
              <w:bottom w:val="single" w:color="auto" w:sz="8" w:space="0"/>
              <w:right w:val="single" w:color="auto" w:sz="8" w:space="0"/>
            </w:tcBorders>
            <w:shd w:val="clear" w:color="auto" w:fill="auto"/>
            <w:vAlign w:val="center"/>
          </w:tcPr>
          <w:p>
            <w:pPr>
              <w:widowControl/>
              <w:spacing w:line="360" w:lineRule="exact"/>
              <w:jc w:val="left"/>
              <w:rPr>
                <w:rFonts w:ascii="宋体" w:hAnsi="宋体"/>
                <w:color w:val="000000"/>
                <w:kern w:val="0"/>
                <w:sz w:val="18"/>
                <w:szCs w:val="18"/>
              </w:rPr>
            </w:pPr>
            <w:r>
              <w:rPr>
                <w:rFonts w:hint="eastAsia" w:ascii="宋体" w:hAnsi="宋体"/>
                <w:color w:val="000000"/>
                <w:kern w:val="0"/>
                <w:sz w:val="18"/>
                <w:szCs w:val="18"/>
              </w:rPr>
              <w:t>物业管理住宅项目巡查①整改情况未反馈的有一例扣</w:t>
            </w:r>
            <w:r>
              <w:rPr>
                <w:rFonts w:ascii="宋体" w:hAnsi="宋体"/>
                <w:color w:val="000000"/>
                <w:kern w:val="0"/>
                <w:sz w:val="18"/>
                <w:szCs w:val="18"/>
              </w:rPr>
              <w:t>5</w:t>
            </w:r>
            <w:r>
              <w:rPr>
                <w:rFonts w:hint="eastAsia" w:ascii="宋体" w:hAnsi="宋体"/>
                <w:color w:val="000000"/>
                <w:kern w:val="0"/>
                <w:sz w:val="18"/>
                <w:szCs w:val="18"/>
              </w:rPr>
              <w:t>分。</w:t>
            </w:r>
          </w:p>
        </w:tc>
      </w:tr>
      <w:tr>
        <w:trPr>
          <w:trHeight w:val="1605" w:hRule="atLeast"/>
        </w:trPr>
        <w:tc>
          <w:tcPr>
            <w:tcW w:w="760" w:type="dxa"/>
            <w:tcBorders>
              <w:top w:val="nil"/>
              <w:left w:val="single" w:color="auto" w:sz="8" w:space="0"/>
              <w:bottom w:val="nil"/>
              <w:right w:val="single" w:color="auto" w:sz="8" w:space="0"/>
            </w:tcBorders>
            <w:shd w:val="clear" w:color="auto" w:fill="auto"/>
            <w:vAlign w:val="center"/>
          </w:tcPr>
          <w:p>
            <w:pPr>
              <w:widowControl/>
              <w:spacing w:line="360" w:lineRule="exact"/>
              <w:jc w:val="center"/>
              <w:rPr>
                <w:rFonts w:ascii="宋体" w:hAnsi="宋体"/>
                <w:color w:val="000000"/>
                <w:kern w:val="0"/>
                <w:sz w:val="18"/>
                <w:szCs w:val="18"/>
              </w:rPr>
            </w:pPr>
            <w:r>
              <w:rPr>
                <w:rFonts w:hint="eastAsia" w:ascii="宋体" w:hAnsi="宋体"/>
                <w:color w:val="000000"/>
                <w:kern w:val="0"/>
                <w:sz w:val="18"/>
                <w:szCs w:val="18"/>
              </w:rPr>
              <w:t>3</w:t>
            </w:r>
          </w:p>
        </w:tc>
        <w:tc>
          <w:tcPr>
            <w:tcW w:w="2740" w:type="dxa"/>
            <w:tcBorders>
              <w:top w:val="nil"/>
              <w:left w:val="nil"/>
              <w:bottom w:val="single" w:color="auto" w:sz="8" w:space="0"/>
              <w:right w:val="single" w:color="auto" w:sz="8" w:space="0"/>
            </w:tcBorders>
            <w:shd w:val="clear" w:color="auto" w:fill="auto"/>
            <w:vAlign w:val="center"/>
          </w:tcPr>
          <w:p>
            <w:pPr>
              <w:widowControl/>
              <w:spacing w:line="360" w:lineRule="exact"/>
              <w:rPr>
                <w:rFonts w:ascii="宋体" w:hAnsi="宋体"/>
                <w:color w:val="000000"/>
                <w:kern w:val="0"/>
                <w:sz w:val="18"/>
                <w:szCs w:val="18"/>
              </w:rPr>
            </w:pPr>
            <w:r>
              <w:rPr>
                <w:rFonts w:hint="eastAsia" w:ascii="宋体" w:hAnsi="宋体"/>
                <w:color w:val="000000"/>
                <w:kern w:val="0"/>
                <w:sz w:val="18"/>
                <w:szCs w:val="18"/>
              </w:rPr>
              <w:t>及时、有效调查答复区物管部门反馈的信访件，积极做好撤场交接工作，做到事实清楚、完整，积极配合各职能部门执法进小区工作,及时沟通调处物业管理中的各类矛盾。</w:t>
            </w:r>
          </w:p>
        </w:tc>
        <w:tc>
          <w:tcPr>
            <w:tcW w:w="1080"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olor w:val="000000"/>
                <w:kern w:val="0"/>
                <w:sz w:val="18"/>
                <w:szCs w:val="18"/>
              </w:rPr>
            </w:pPr>
            <w:r>
              <w:rPr>
                <w:rFonts w:hint="eastAsia" w:ascii="宋体" w:hAnsi="宋体"/>
                <w:color w:val="000000"/>
                <w:kern w:val="0"/>
                <w:sz w:val="18"/>
                <w:szCs w:val="18"/>
              </w:rPr>
              <w:t>10</w:t>
            </w:r>
          </w:p>
        </w:tc>
        <w:tc>
          <w:tcPr>
            <w:tcW w:w="4320" w:type="dxa"/>
            <w:tcBorders>
              <w:top w:val="nil"/>
              <w:left w:val="nil"/>
              <w:bottom w:val="single" w:color="auto" w:sz="8" w:space="0"/>
              <w:right w:val="single" w:color="auto" w:sz="8" w:space="0"/>
            </w:tcBorders>
            <w:shd w:val="clear" w:color="auto" w:fill="auto"/>
            <w:vAlign w:val="center"/>
          </w:tcPr>
          <w:p>
            <w:pPr>
              <w:widowControl/>
              <w:spacing w:line="360" w:lineRule="exact"/>
              <w:jc w:val="left"/>
              <w:rPr>
                <w:rFonts w:ascii="宋体" w:hAnsi="宋体"/>
                <w:color w:val="000000"/>
                <w:kern w:val="0"/>
                <w:sz w:val="18"/>
                <w:szCs w:val="18"/>
              </w:rPr>
            </w:pPr>
            <w:r>
              <w:rPr>
                <w:rFonts w:hint="eastAsia" w:ascii="宋体" w:hAnsi="宋体"/>
                <w:color w:val="000000"/>
                <w:kern w:val="0"/>
                <w:sz w:val="18"/>
                <w:szCs w:val="18"/>
              </w:rPr>
              <w:t>在矛盾处理、企业撤场交接中存在明显处置不当造成后果的有一例扣1分，拖延、推诿处理造成后果的有一例扣 2 分，不作为造成重大物业管理集体上访事件的有一例扣5分；经发现不配合职能部门进小区执法工作的，有一例扣2分。</w:t>
            </w:r>
          </w:p>
        </w:tc>
      </w:tr>
      <w:tr>
        <w:trPr>
          <w:trHeight w:val="713" w:hRule="atLeast"/>
        </w:trPr>
        <w:tc>
          <w:tcPr>
            <w:tcW w:w="7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olor w:val="000000"/>
                <w:kern w:val="0"/>
                <w:sz w:val="18"/>
                <w:szCs w:val="18"/>
              </w:rPr>
            </w:pPr>
            <w:r>
              <w:rPr>
                <w:rFonts w:ascii="宋体" w:hAnsi="宋体"/>
                <w:color w:val="000000"/>
                <w:kern w:val="0"/>
                <w:sz w:val="18"/>
                <w:szCs w:val="18"/>
              </w:rPr>
              <w:t>4</w:t>
            </w:r>
          </w:p>
        </w:tc>
        <w:tc>
          <w:tcPr>
            <w:tcW w:w="274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rPr>
                <w:rFonts w:ascii="宋体" w:hAnsi="宋体"/>
                <w:color w:val="000000"/>
                <w:kern w:val="0"/>
                <w:sz w:val="18"/>
                <w:szCs w:val="18"/>
              </w:rPr>
            </w:pPr>
            <w:r>
              <w:rPr>
                <w:rFonts w:hint="eastAsia" w:ascii="宋体" w:hAnsi="宋体"/>
                <w:color w:val="000000"/>
                <w:kern w:val="0"/>
                <w:sz w:val="18"/>
                <w:szCs w:val="18"/>
              </w:rPr>
              <w:t>及时完成物管部门年内布置的统一要求的相关工作。</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olor w:val="000000"/>
                <w:kern w:val="0"/>
                <w:sz w:val="18"/>
                <w:szCs w:val="18"/>
              </w:rPr>
            </w:pPr>
            <w:r>
              <w:rPr>
                <w:rFonts w:ascii="宋体" w:hAnsi="宋体"/>
                <w:color w:val="000000"/>
                <w:kern w:val="0"/>
                <w:sz w:val="18"/>
                <w:szCs w:val="18"/>
              </w:rPr>
              <w:t>10</w:t>
            </w:r>
          </w:p>
        </w:tc>
        <w:tc>
          <w:tcPr>
            <w:tcW w:w="432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left"/>
              <w:rPr>
                <w:rFonts w:ascii="宋体" w:hAnsi="宋体"/>
                <w:color w:val="000000"/>
                <w:kern w:val="0"/>
                <w:sz w:val="18"/>
                <w:szCs w:val="18"/>
              </w:rPr>
            </w:pPr>
            <w:r>
              <w:rPr>
                <w:rFonts w:hint="eastAsia" w:ascii="宋体" w:hAnsi="宋体"/>
                <w:color w:val="000000"/>
                <w:kern w:val="0"/>
                <w:sz w:val="18"/>
                <w:szCs w:val="18"/>
              </w:rPr>
              <w:t>未按要求及时完成的或完成情况与要求不相符的，有一次扣</w:t>
            </w:r>
            <w:r>
              <w:rPr>
                <w:rFonts w:ascii="宋体" w:hAnsi="宋体"/>
                <w:color w:val="000000"/>
                <w:kern w:val="0"/>
                <w:sz w:val="18"/>
                <w:szCs w:val="18"/>
              </w:rPr>
              <w:t>5</w:t>
            </w:r>
            <w:r>
              <w:rPr>
                <w:rFonts w:hint="eastAsia" w:ascii="宋体" w:hAnsi="宋体"/>
                <w:color w:val="000000"/>
                <w:kern w:val="0"/>
                <w:sz w:val="18"/>
                <w:szCs w:val="18"/>
              </w:rPr>
              <w:t>分。</w:t>
            </w:r>
          </w:p>
        </w:tc>
      </w:tr>
      <w:tr>
        <w:tblPrEx>
          <w:tblCellMar>
            <w:top w:w="0" w:type="dxa"/>
            <w:left w:w="108" w:type="dxa"/>
            <w:bottom w:w="0" w:type="dxa"/>
            <w:right w:w="108" w:type="dxa"/>
          </w:tblCellMar>
        </w:tblPrEx>
        <w:trPr>
          <w:trHeight w:val="815" w:hRule="atLeast"/>
        </w:trPr>
        <w:tc>
          <w:tcPr>
            <w:tcW w:w="760"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宋体" w:hAnsi="宋体"/>
                <w:color w:val="000000"/>
                <w:kern w:val="0"/>
                <w:sz w:val="18"/>
                <w:szCs w:val="18"/>
              </w:rPr>
            </w:pPr>
            <w:r>
              <w:rPr>
                <w:rFonts w:ascii="宋体" w:hAnsi="宋体"/>
                <w:color w:val="000000"/>
                <w:kern w:val="0"/>
                <w:sz w:val="18"/>
                <w:szCs w:val="18"/>
              </w:rPr>
              <w:t>5</w:t>
            </w:r>
          </w:p>
        </w:tc>
        <w:tc>
          <w:tcPr>
            <w:tcW w:w="2740" w:type="dxa"/>
            <w:tcBorders>
              <w:top w:val="nil"/>
              <w:left w:val="nil"/>
              <w:bottom w:val="single" w:color="auto" w:sz="8" w:space="0"/>
              <w:right w:val="single" w:color="auto" w:sz="8" w:space="0"/>
            </w:tcBorders>
            <w:shd w:val="clear" w:color="auto" w:fill="auto"/>
            <w:vAlign w:val="center"/>
          </w:tcPr>
          <w:p>
            <w:pPr>
              <w:widowControl/>
              <w:spacing w:line="360" w:lineRule="exact"/>
              <w:rPr>
                <w:rFonts w:ascii="宋体" w:hAnsi="宋体"/>
                <w:color w:val="000000"/>
                <w:kern w:val="0"/>
                <w:sz w:val="18"/>
                <w:szCs w:val="18"/>
              </w:rPr>
            </w:pPr>
            <w:r>
              <w:rPr>
                <w:rFonts w:hint="eastAsia" w:ascii="宋体" w:hAnsi="宋体"/>
                <w:kern w:val="0"/>
                <w:sz w:val="18"/>
                <w:szCs w:val="18"/>
              </w:rPr>
              <w:t>发挥镇物管会会议制度作用，每季度至少一次联</w:t>
            </w:r>
            <w:r>
              <w:rPr>
                <w:rFonts w:hint="eastAsia" w:ascii="宋体" w:hAnsi="宋体"/>
                <w:kern w:val="0"/>
                <w:sz w:val="18"/>
                <w:szCs w:val="18"/>
                <w:lang w:val="en-US" w:eastAsia="zh-CN"/>
              </w:rPr>
              <w:t>席</w:t>
            </w:r>
            <w:r>
              <w:rPr>
                <w:rFonts w:hint="eastAsia" w:ascii="宋体" w:hAnsi="宋体"/>
                <w:kern w:val="0"/>
                <w:sz w:val="18"/>
                <w:szCs w:val="18"/>
              </w:rPr>
              <w:t>会议</w:t>
            </w:r>
          </w:p>
        </w:tc>
        <w:tc>
          <w:tcPr>
            <w:tcW w:w="1080"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olor w:val="000000"/>
                <w:kern w:val="0"/>
                <w:sz w:val="18"/>
                <w:szCs w:val="18"/>
              </w:rPr>
            </w:pPr>
            <w:r>
              <w:rPr>
                <w:rFonts w:ascii="宋体" w:hAnsi="宋体"/>
                <w:color w:val="000000"/>
                <w:kern w:val="0"/>
                <w:sz w:val="18"/>
                <w:szCs w:val="18"/>
              </w:rPr>
              <w:t>1</w:t>
            </w:r>
            <w:r>
              <w:rPr>
                <w:rFonts w:hint="eastAsia" w:ascii="宋体" w:hAnsi="宋体"/>
                <w:color w:val="000000"/>
                <w:kern w:val="0"/>
                <w:sz w:val="18"/>
                <w:szCs w:val="18"/>
              </w:rPr>
              <w:t>0</w:t>
            </w:r>
          </w:p>
        </w:tc>
        <w:tc>
          <w:tcPr>
            <w:tcW w:w="4320" w:type="dxa"/>
            <w:tcBorders>
              <w:top w:val="nil"/>
              <w:left w:val="nil"/>
              <w:bottom w:val="single" w:color="auto" w:sz="8" w:space="0"/>
              <w:right w:val="single" w:color="auto" w:sz="8" w:space="0"/>
            </w:tcBorders>
            <w:shd w:val="clear" w:color="auto" w:fill="auto"/>
            <w:vAlign w:val="center"/>
          </w:tcPr>
          <w:p>
            <w:pPr>
              <w:widowControl/>
              <w:spacing w:line="360" w:lineRule="exact"/>
              <w:rPr>
                <w:rFonts w:ascii="宋体" w:hAnsi="宋体"/>
                <w:color w:val="000000"/>
                <w:kern w:val="0"/>
                <w:sz w:val="18"/>
                <w:szCs w:val="18"/>
              </w:rPr>
            </w:pPr>
            <w:r>
              <w:rPr>
                <w:rFonts w:hint="eastAsia" w:ascii="宋体" w:hAnsi="宋体"/>
                <w:kern w:val="0"/>
                <w:sz w:val="18"/>
                <w:szCs w:val="18"/>
              </w:rPr>
              <w:t xml:space="preserve">未正常开展每少一次扣 </w:t>
            </w:r>
            <w:r>
              <w:rPr>
                <w:rFonts w:ascii="宋体" w:hAnsi="宋体"/>
                <w:kern w:val="0"/>
                <w:sz w:val="18"/>
                <w:szCs w:val="18"/>
              </w:rPr>
              <w:t>2</w:t>
            </w:r>
            <w:r>
              <w:rPr>
                <w:rFonts w:hint="eastAsia" w:ascii="宋体" w:hAnsi="宋体"/>
                <w:kern w:val="0"/>
                <w:sz w:val="18"/>
                <w:szCs w:val="18"/>
              </w:rPr>
              <w:t xml:space="preserve"> 分，未有会议签到的有一例扣</w:t>
            </w:r>
            <w:r>
              <w:rPr>
                <w:rFonts w:ascii="宋体" w:hAnsi="宋体"/>
                <w:kern w:val="0"/>
                <w:sz w:val="18"/>
                <w:szCs w:val="18"/>
              </w:rPr>
              <w:t>1</w:t>
            </w:r>
            <w:r>
              <w:rPr>
                <w:rFonts w:hint="eastAsia" w:ascii="宋体" w:hAnsi="宋体"/>
                <w:kern w:val="0"/>
                <w:sz w:val="18"/>
                <w:szCs w:val="18"/>
              </w:rPr>
              <w:t>分，未有会议内容记录的有一例扣</w:t>
            </w:r>
            <w:r>
              <w:rPr>
                <w:rFonts w:ascii="宋体" w:hAnsi="宋体"/>
                <w:kern w:val="0"/>
                <w:sz w:val="18"/>
                <w:szCs w:val="18"/>
              </w:rPr>
              <w:t>1</w:t>
            </w:r>
            <w:r>
              <w:rPr>
                <w:rFonts w:hint="eastAsia" w:ascii="宋体" w:hAnsi="宋体"/>
                <w:kern w:val="0"/>
                <w:sz w:val="18"/>
                <w:szCs w:val="18"/>
              </w:rPr>
              <w:t>分。</w:t>
            </w:r>
          </w:p>
        </w:tc>
      </w:tr>
      <w:tr>
        <w:tblPrEx>
          <w:tblCellMar>
            <w:top w:w="0" w:type="dxa"/>
            <w:left w:w="108" w:type="dxa"/>
            <w:bottom w:w="0" w:type="dxa"/>
            <w:right w:w="108" w:type="dxa"/>
          </w:tblCellMar>
        </w:tblPrEx>
        <w:trPr>
          <w:trHeight w:val="699" w:hRule="atLeast"/>
        </w:trPr>
        <w:tc>
          <w:tcPr>
            <w:tcW w:w="760" w:type="dxa"/>
            <w:vMerge w:val="restart"/>
            <w:tcBorders>
              <w:left w:val="single" w:color="auto" w:sz="8" w:space="0"/>
              <w:right w:val="single" w:color="auto" w:sz="8" w:space="0"/>
            </w:tcBorders>
            <w:shd w:val="clear" w:color="auto" w:fill="auto"/>
            <w:vAlign w:val="center"/>
          </w:tcPr>
          <w:p>
            <w:pPr>
              <w:widowControl/>
              <w:spacing w:line="360" w:lineRule="exact"/>
              <w:jc w:val="center"/>
              <w:rPr>
                <w:rFonts w:ascii="宋体" w:hAnsi="宋体"/>
                <w:color w:val="000000"/>
                <w:kern w:val="0"/>
                <w:sz w:val="18"/>
                <w:szCs w:val="18"/>
              </w:rPr>
            </w:pPr>
            <w:r>
              <w:rPr>
                <w:rFonts w:ascii="宋体" w:hAnsi="宋体"/>
                <w:color w:val="000000"/>
                <w:kern w:val="0"/>
                <w:sz w:val="18"/>
                <w:szCs w:val="18"/>
              </w:rPr>
              <w:t>附加分</w:t>
            </w:r>
          </w:p>
        </w:tc>
        <w:tc>
          <w:tcPr>
            <w:tcW w:w="2740" w:type="dxa"/>
            <w:tcBorders>
              <w:top w:val="nil"/>
              <w:left w:val="nil"/>
              <w:bottom w:val="single" w:color="auto" w:sz="8" w:space="0"/>
              <w:right w:val="single" w:color="auto" w:sz="8" w:space="0"/>
            </w:tcBorders>
            <w:shd w:val="clear" w:color="auto" w:fill="auto"/>
            <w:vAlign w:val="center"/>
          </w:tcPr>
          <w:p>
            <w:pPr>
              <w:widowControl/>
              <w:spacing w:line="360" w:lineRule="exact"/>
              <w:rPr>
                <w:rFonts w:ascii="宋体" w:hAnsi="宋体"/>
                <w:color w:val="000000"/>
                <w:kern w:val="0"/>
                <w:sz w:val="18"/>
                <w:szCs w:val="18"/>
              </w:rPr>
            </w:pPr>
            <w:r>
              <w:rPr>
                <w:rFonts w:hint="eastAsia" w:ascii="宋体" w:hAnsi="宋体"/>
                <w:color w:val="000000"/>
                <w:kern w:val="0"/>
                <w:sz w:val="18"/>
                <w:szCs w:val="18"/>
              </w:rPr>
              <w:t>小区文化建设有成效，积极开展各类活动</w:t>
            </w:r>
            <w:bookmarkStart w:id="0" w:name="_GoBack"/>
            <w:bookmarkEnd w:id="0"/>
          </w:p>
        </w:tc>
        <w:tc>
          <w:tcPr>
            <w:tcW w:w="1080"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olor w:val="000000"/>
                <w:kern w:val="0"/>
                <w:sz w:val="18"/>
                <w:szCs w:val="18"/>
              </w:rPr>
            </w:pPr>
            <w:r>
              <w:rPr>
                <w:rFonts w:hint="eastAsia" w:ascii="宋体" w:hAnsi="宋体"/>
                <w:color w:val="000000"/>
                <w:kern w:val="0"/>
                <w:sz w:val="18"/>
                <w:szCs w:val="18"/>
              </w:rPr>
              <w:t>10</w:t>
            </w:r>
          </w:p>
        </w:tc>
        <w:tc>
          <w:tcPr>
            <w:tcW w:w="4320" w:type="dxa"/>
            <w:tcBorders>
              <w:top w:val="nil"/>
              <w:left w:val="nil"/>
              <w:bottom w:val="single" w:color="auto" w:sz="8" w:space="0"/>
              <w:right w:val="single" w:color="auto" w:sz="8" w:space="0"/>
            </w:tcBorders>
            <w:shd w:val="clear" w:color="auto" w:fill="auto"/>
            <w:vAlign w:val="center"/>
          </w:tcPr>
          <w:p>
            <w:pPr>
              <w:widowControl/>
              <w:spacing w:line="360" w:lineRule="exact"/>
              <w:rPr>
                <w:rFonts w:ascii="宋体" w:hAnsi="宋体"/>
                <w:color w:val="000000"/>
                <w:kern w:val="0"/>
                <w:sz w:val="18"/>
                <w:szCs w:val="18"/>
              </w:rPr>
            </w:pPr>
            <w:r>
              <w:rPr>
                <w:rFonts w:hint="eastAsia" w:ascii="宋体" w:hAnsi="宋体"/>
                <w:color w:val="000000"/>
                <w:kern w:val="0"/>
                <w:sz w:val="18"/>
                <w:szCs w:val="18"/>
              </w:rPr>
              <w:t>开展各类社区活动，每有1例加2分。</w:t>
            </w:r>
          </w:p>
        </w:tc>
      </w:tr>
      <w:tr>
        <w:tblPrEx>
          <w:tblCellMar>
            <w:top w:w="0" w:type="dxa"/>
            <w:left w:w="108" w:type="dxa"/>
            <w:bottom w:w="0" w:type="dxa"/>
            <w:right w:w="108" w:type="dxa"/>
          </w:tblCellMar>
        </w:tblPrEx>
        <w:trPr>
          <w:trHeight w:val="687" w:hRule="atLeast"/>
        </w:trPr>
        <w:tc>
          <w:tcPr>
            <w:tcW w:w="760" w:type="dxa"/>
            <w:vMerge w:val="continue"/>
            <w:tcBorders>
              <w:left w:val="single" w:color="auto" w:sz="8" w:space="0"/>
              <w:bottom w:val="single" w:color="auto" w:sz="8" w:space="0"/>
              <w:right w:val="single" w:color="auto" w:sz="8" w:space="0"/>
            </w:tcBorders>
            <w:shd w:val="clear" w:color="auto" w:fill="auto"/>
            <w:vAlign w:val="center"/>
          </w:tcPr>
          <w:p>
            <w:pPr>
              <w:spacing w:line="360" w:lineRule="exact"/>
              <w:rPr>
                <w:rFonts w:ascii="宋体" w:hAnsi="宋体"/>
                <w:sz w:val="18"/>
                <w:szCs w:val="18"/>
              </w:rPr>
            </w:pPr>
          </w:p>
        </w:tc>
        <w:tc>
          <w:tcPr>
            <w:tcW w:w="2740" w:type="dxa"/>
            <w:tcBorders>
              <w:top w:val="nil"/>
              <w:left w:val="nil"/>
              <w:bottom w:val="single" w:color="auto" w:sz="8" w:space="0"/>
              <w:right w:val="single" w:color="auto" w:sz="8" w:space="0"/>
            </w:tcBorders>
            <w:shd w:val="clear" w:color="auto" w:fill="auto"/>
            <w:vAlign w:val="center"/>
          </w:tcPr>
          <w:p>
            <w:pPr>
              <w:widowControl/>
              <w:spacing w:line="360" w:lineRule="exact"/>
              <w:jc w:val="left"/>
              <w:rPr>
                <w:rFonts w:ascii="宋体" w:hAnsi="宋体"/>
                <w:color w:val="000000"/>
                <w:kern w:val="0"/>
                <w:sz w:val="18"/>
                <w:szCs w:val="18"/>
              </w:rPr>
            </w:pPr>
            <w:r>
              <w:rPr>
                <w:rFonts w:hint="eastAsia" w:ascii="宋体" w:hAnsi="宋体"/>
                <w:color w:val="000000"/>
                <w:kern w:val="0"/>
                <w:sz w:val="18"/>
                <w:szCs w:val="18"/>
              </w:rPr>
              <w:t>每年至少开展一次业主满意率调查，调查覆盖率不低于80%。</w:t>
            </w:r>
          </w:p>
        </w:tc>
        <w:tc>
          <w:tcPr>
            <w:tcW w:w="1080"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olor w:val="000000"/>
                <w:kern w:val="0"/>
                <w:sz w:val="18"/>
                <w:szCs w:val="18"/>
              </w:rPr>
            </w:pPr>
            <w:r>
              <w:rPr>
                <w:rFonts w:hint="eastAsia" w:ascii="宋体" w:hAnsi="宋体"/>
                <w:color w:val="000000"/>
                <w:kern w:val="0"/>
                <w:sz w:val="18"/>
                <w:szCs w:val="18"/>
              </w:rPr>
              <w:t>10</w:t>
            </w:r>
          </w:p>
        </w:tc>
        <w:tc>
          <w:tcPr>
            <w:tcW w:w="4320" w:type="dxa"/>
            <w:tcBorders>
              <w:top w:val="nil"/>
              <w:left w:val="nil"/>
              <w:bottom w:val="single" w:color="auto" w:sz="8" w:space="0"/>
              <w:right w:val="single" w:color="auto" w:sz="8" w:space="0"/>
            </w:tcBorders>
            <w:shd w:val="clear" w:color="auto" w:fill="auto"/>
            <w:vAlign w:val="center"/>
          </w:tcPr>
          <w:p>
            <w:pPr>
              <w:widowControl/>
              <w:spacing w:line="360" w:lineRule="exact"/>
              <w:rPr>
                <w:rFonts w:ascii="宋体" w:hAnsi="宋体"/>
                <w:color w:val="000000"/>
                <w:kern w:val="0"/>
                <w:sz w:val="18"/>
                <w:szCs w:val="18"/>
              </w:rPr>
            </w:pPr>
            <w:r>
              <w:rPr>
                <w:rFonts w:hint="eastAsia" w:ascii="宋体" w:hAnsi="宋体"/>
                <w:color w:val="000000"/>
                <w:kern w:val="0"/>
                <w:sz w:val="18"/>
                <w:szCs w:val="18"/>
              </w:rPr>
              <w:t>满意率80%-90%，加5分；满意率90%-100%，加10分。</w:t>
            </w:r>
          </w:p>
        </w:tc>
      </w:tr>
    </w:tbl>
    <w:p>
      <w:pPr>
        <w:pStyle w:val="13"/>
        <w:spacing w:line="360" w:lineRule="exact"/>
        <w:ind w:left="360" w:firstLine="0" w:firstLineChars="0"/>
        <w:rPr>
          <w:rFonts w:ascii="宋体" w:hAnsi="宋体"/>
          <w:color w:val="000000"/>
          <w:kern w:val="0"/>
          <w:sz w:val="18"/>
          <w:szCs w:val="18"/>
        </w:rPr>
      </w:pPr>
    </w:p>
    <w:p>
      <w:pPr>
        <w:pStyle w:val="13"/>
        <w:numPr>
          <w:ilvl w:val="0"/>
          <w:numId w:val="1"/>
        </w:numPr>
        <w:spacing w:line="360" w:lineRule="exact"/>
        <w:ind w:firstLineChars="0"/>
        <w:rPr>
          <w:rFonts w:ascii="宋体" w:hAnsi="宋体"/>
          <w:color w:val="000000"/>
          <w:kern w:val="0"/>
          <w:sz w:val="18"/>
          <w:szCs w:val="18"/>
        </w:rPr>
      </w:pPr>
      <w:r>
        <w:rPr>
          <w:rFonts w:hint="eastAsia" w:ascii="宋体" w:hAnsi="宋体"/>
          <w:b/>
          <w:color w:val="000000"/>
          <w:kern w:val="0"/>
          <w:sz w:val="18"/>
          <w:szCs w:val="18"/>
        </w:rPr>
        <w:t>基础管理台账</w:t>
      </w:r>
      <w:r>
        <w:rPr>
          <w:rFonts w:hint="eastAsia" w:ascii="宋体" w:hAnsi="宋体"/>
          <w:color w:val="000000"/>
          <w:kern w:val="0"/>
          <w:sz w:val="18"/>
          <w:szCs w:val="18"/>
        </w:rPr>
        <w:t>：投诉、报修登记台账、外来人员、车辆进出登记台账、保洁、绿化及消杀台账、保安日常巡逻记录、小区各类应急预案、设施设备值班、巡查记录、电梯日常管理及事故处理台账、联合执法进小区台账等</w:t>
      </w:r>
    </w:p>
    <w:p>
      <w:pPr>
        <w:pStyle w:val="13"/>
        <w:spacing w:line="360" w:lineRule="exact"/>
        <w:ind w:left="360" w:firstLine="0" w:firstLineChars="0"/>
        <w:rPr>
          <w:rFonts w:ascii="宋体" w:hAnsi="宋体"/>
          <w:color w:val="000000"/>
          <w:kern w:val="0"/>
          <w:sz w:val="18"/>
          <w:szCs w:val="18"/>
        </w:rPr>
      </w:pPr>
      <w:r>
        <w:rPr>
          <w:rFonts w:hint="eastAsia" w:ascii="宋体" w:hAnsi="宋体"/>
          <w:b/>
          <w:color w:val="000000"/>
          <w:kern w:val="0"/>
          <w:sz w:val="18"/>
          <w:szCs w:val="18"/>
        </w:rPr>
        <w:t>设施设备管理：</w:t>
      </w:r>
      <w:r>
        <w:rPr>
          <w:rFonts w:hint="eastAsia" w:ascii="宋体" w:hAnsi="宋体"/>
          <w:color w:val="000000"/>
          <w:kern w:val="0"/>
          <w:sz w:val="18"/>
          <w:szCs w:val="18"/>
        </w:rPr>
        <w:t>消控室、消防泵房、电梯机房、风机房等</w:t>
      </w:r>
    </w:p>
    <w:p>
      <w:pPr>
        <w:pStyle w:val="13"/>
        <w:spacing w:line="360" w:lineRule="exact"/>
        <w:ind w:left="360" w:firstLine="0" w:firstLineChars="0"/>
        <w:rPr>
          <w:rFonts w:ascii="宋体" w:hAnsi="宋体"/>
          <w:color w:val="000000"/>
          <w:kern w:val="0"/>
          <w:sz w:val="18"/>
          <w:szCs w:val="18"/>
        </w:rPr>
      </w:pPr>
      <w:r>
        <w:rPr>
          <w:rFonts w:hint="eastAsia" w:ascii="宋体" w:hAnsi="宋体"/>
          <w:b/>
          <w:color w:val="000000"/>
          <w:kern w:val="0"/>
          <w:sz w:val="18"/>
          <w:szCs w:val="18"/>
        </w:rPr>
        <w:t>现场环境秩序：</w:t>
      </w:r>
      <w:r>
        <w:rPr>
          <w:rFonts w:hint="eastAsia" w:ascii="宋体" w:hAnsi="宋体"/>
          <w:color w:val="000000"/>
          <w:kern w:val="0"/>
          <w:sz w:val="18"/>
          <w:szCs w:val="18"/>
        </w:rPr>
        <w:t>要求公示内容公示情况、门岗管理和卫生情况、保洁卫生情况、绿化管养情况、楼道整治情况、非机动车停放管理情况</w:t>
      </w:r>
    </w:p>
    <w:p>
      <w:pPr>
        <w:spacing w:line="560" w:lineRule="exact"/>
        <w:jc w:val="left"/>
        <w:rPr>
          <w:rFonts w:ascii="仿宋_GB2312" w:hAnsi="方正小标宋_GBK" w:eastAsia="仿宋_GB2312" w:cs="方正小标宋_GBK"/>
          <w:spacing w:val="-11"/>
          <w:sz w:val="24"/>
          <w:szCs w:val="36"/>
        </w:rPr>
      </w:pPr>
      <w:r>
        <w:rPr>
          <w:rFonts w:hint="eastAsia" w:ascii="仿宋_GB2312" w:hAnsi="方正小标宋_GBK" w:eastAsia="仿宋_GB2312" w:cs="方正小标宋_GBK"/>
          <w:spacing w:val="-11"/>
          <w:sz w:val="32"/>
          <w:szCs w:val="36"/>
        </w:rPr>
        <w:t>附件3：</w:t>
      </w:r>
    </w:p>
    <w:p>
      <w:pPr>
        <w:spacing w:line="560" w:lineRule="exact"/>
        <w:jc w:val="center"/>
        <w:rPr>
          <w:rFonts w:hAnsi="方正小标宋_GBK" w:eastAsia="方正小标宋_GBK" w:cs="方正小标宋_GBK"/>
          <w:spacing w:val="-11"/>
          <w:sz w:val="36"/>
          <w:szCs w:val="36"/>
        </w:rPr>
      </w:pPr>
      <w:r>
        <w:rPr>
          <w:rFonts w:hint="eastAsia" w:hAnsi="方正小标宋_GBK" w:eastAsia="方正小标宋_GBK" w:cs="方正小标宋_GBK"/>
          <w:spacing w:val="-11"/>
          <w:sz w:val="36"/>
          <w:szCs w:val="36"/>
        </w:rPr>
        <w:t>党建引领物业管理服务工作市级示范点评分标准</w:t>
      </w:r>
    </w:p>
    <w:tbl>
      <w:tblPr>
        <w:tblStyle w:val="5"/>
        <w:tblW w:w="102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5278"/>
        <w:gridCol w:w="1090"/>
        <w:gridCol w:w="11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700" w:type="dxa"/>
            <w:vAlign w:val="center"/>
          </w:tcPr>
          <w:p>
            <w:pPr>
              <w:widowControl/>
              <w:jc w:val="center"/>
              <w:rPr>
                <w:rFonts w:eastAsia="方正黑体_GBK" w:cs="方正黑体_GBK"/>
                <w:color w:val="000000"/>
                <w:kern w:val="0"/>
                <w:szCs w:val="21"/>
              </w:rPr>
            </w:pPr>
            <w:r>
              <w:rPr>
                <w:rFonts w:hint="eastAsia" w:eastAsia="方正黑体_GBK" w:cs="方正黑体_GBK"/>
                <w:color w:val="000000"/>
                <w:kern w:val="0"/>
                <w:szCs w:val="21"/>
              </w:rPr>
              <w:t>项    目</w:t>
            </w:r>
          </w:p>
        </w:tc>
        <w:tc>
          <w:tcPr>
            <w:tcW w:w="5278" w:type="dxa"/>
            <w:vAlign w:val="center"/>
          </w:tcPr>
          <w:p>
            <w:pPr>
              <w:widowControl/>
              <w:jc w:val="center"/>
              <w:rPr>
                <w:rFonts w:eastAsia="方正黑体_GBK" w:cs="方正黑体_GBK"/>
                <w:color w:val="000000"/>
                <w:kern w:val="0"/>
                <w:szCs w:val="21"/>
              </w:rPr>
            </w:pPr>
            <w:r>
              <w:rPr>
                <w:rFonts w:hint="eastAsia" w:eastAsia="方正黑体_GBK" w:cs="方正黑体_GBK"/>
                <w:color w:val="000000"/>
                <w:kern w:val="0"/>
                <w:szCs w:val="21"/>
              </w:rPr>
              <w:t>标  准  内  容</w:t>
            </w:r>
          </w:p>
        </w:tc>
        <w:tc>
          <w:tcPr>
            <w:tcW w:w="1090" w:type="dxa"/>
            <w:vAlign w:val="center"/>
          </w:tcPr>
          <w:p>
            <w:pPr>
              <w:jc w:val="center"/>
              <w:rPr>
                <w:rFonts w:eastAsia="方正黑体_GBK" w:cs="方正黑体_GBK"/>
                <w:color w:val="000000"/>
                <w:kern w:val="0"/>
                <w:szCs w:val="21"/>
              </w:rPr>
            </w:pPr>
            <w:r>
              <w:rPr>
                <w:rFonts w:hint="eastAsia" w:eastAsia="方正黑体_GBK" w:cs="方正黑体_GBK"/>
                <w:color w:val="000000"/>
                <w:kern w:val="0"/>
                <w:szCs w:val="21"/>
              </w:rPr>
              <w:t>评价分值</w:t>
            </w:r>
          </w:p>
        </w:tc>
        <w:tc>
          <w:tcPr>
            <w:tcW w:w="1151" w:type="dxa"/>
            <w:vAlign w:val="center"/>
          </w:tcPr>
          <w:p>
            <w:pPr>
              <w:jc w:val="center"/>
              <w:rPr>
                <w:rFonts w:eastAsia="方正黑体_GBK" w:cs="方正黑体_GBK"/>
                <w:color w:val="000000"/>
                <w:kern w:val="0"/>
                <w:szCs w:val="21"/>
              </w:rPr>
            </w:pPr>
            <w:r>
              <w:rPr>
                <w:rFonts w:hint="eastAsia" w:eastAsia="方正黑体_GBK" w:cs="方正黑体_GBK"/>
                <w:color w:val="000000"/>
                <w:kern w:val="0"/>
                <w:szCs w:val="21"/>
              </w:rPr>
              <w:t>考核打分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8" w:type="dxa"/>
            <w:gridSpan w:val="3"/>
            <w:vAlign w:val="center"/>
          </w:tcPr>
          <w:p>
            <w:pPr>
              <w:widowControl/>
              <w:jc w:val="center"/>
              <w:rPr>
                <w:rFonts w:eastAsia="方正黑体_GBK"/>
                <w:color w:val="000000"/>
                <w:kern w:val="0"/>
                <w:sz w:val="24"/>
              </w:rPr>
            </w:pPr>
            <w:r>
              <w:rPr>
                <w:rFonts w:eastAsia="方正黑体_GBK"/>
                <w:color w:val="000000"/>
                <w:kern w:val="0"/>
                <w:sz w:val="24"/>
              </w:rPr>
              <w:t>一、组织体系健全（20分）</w:t>
            </w:r>
          </w:p>
        </w:tc>
        <w:tc>
          <w:tcPr>
            <w:tcW w:w="1151" w:type="dxa"/>
            <w:vAlign w:val="center"/>
          </w:tcPr>
          <w:p>
            <w:pPr>
              <w:widowControl/>
              <w:jc w:val="center"/>
              <w:rPr>
                <w:rFonts w:eastAsia="方正黑体_GBK"/>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0" w:type="dxa"/>
            <w:vMerge w:val="restart"/>
            <w:vAlign w:val="center"/>
          </w:tcPr>
          <w:p>
            <w:pPr>
              <w:widowControl/>
              <w:jc w:val="left"/>
              <w:rPr>
                <w:rFonts w:eastAsia="方正仿宋_GBK" w:cs="方正楷体_GBK"/>
                <w:color w:val="000000"/>
                <w:kern w:val="0"/>
                <w:szCs w:val="21"/>
              </w:rPr>
            </w:pPr>
            <w:r>
              <w:rPr>
                <w:rFonts w:hint="eastAsia" w:eastAsia="方正仿宋_GBK" w:cs="方正楷体_GBK"/>
                <w:color w:val="000000"/>
                <w:kern w:val="0"/>
                <w:szCs w:val="21"/>
              </w:rPr>
              <w:t>物业管理服务项目成立党组织，选优配强党组织书记，明确工作职责。</w:t>
            </w: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1.项目有党组织；</w:t>
            </w:r>
          </w:p>
        </w:tc>
        <w:tc>
          <w:tcPr>
            <w:tcW w:w="1090" w:type="dxa"/>
            <w:vAlign w:val="center"/>
          </w:tcPr>
          <w:p>
            <w:pPr>
              <w:widowControl/>
              <w:spacing w:line="240" w:lineRule="exact"/>
              <w:rPr>
                <w:rFonts w:eastAsia="方正仿宋_GBK" w:cs="方正仿宋_GBK"/>
                <w:color w:val="000000"/>
                <w:kern w:val="0"/>
                <w:szCs w:val="21"/>
              </w:rPr>
            </w:pPr>
            <w:r>
              <w:rPr>
                <w:rFonts w:hint="eastAsia" w:eastAsia="方正仿宋_GBK" w:cs="方正仿宋_GBK"/>
                <w:color w:val="000000"/>
                <w:kern w:val="0"/>
                <w:szCs w:val="21"/>
              </w:rPr>
              <w:t>没有建立党组织的，一票否决</w:t>
            </w:r>
          </w:p>
        </w:tc>
        <w:tc>
          <w:tcPr>
            <w:tcW w:w="1151" w:type="dxa"/>
            <w:vAlign w:val="center"/>
          </w:tcPr>
          <w:p>
            <w:pPr>
              <w:widowControl/>
              <w:spacing w:line="240" w:lineRule="exact"/>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0" w:type="dxa"/>
            <w:vMerge w:val="continue"/>
            <w:vAlign w:val="center"/>
          </w:tcPr>
          <w:p>
            <w:pPr>
              <w:widowControl/>
              <w:jc w:val="left"/>
              <w:rPr>
                <w:rFonts w:eastAsia="方正仿宋_GBK" w:cs="方正楷体_GBK"/>
                <w:color w:val="000000"/>
                <w:kern w:val="0"/>
                <w:szCs w:val="21"/>
              </w:rPr>
            </w:pP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2.党组织成员职责清晰明确，履职较好；</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3分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0" w:type="dxa"/>
            <w:vMerge w:val="continue"/>
            <w:vAlign w:val="center"/>
          </w:tcPr>
          <w:p>
            <w:pPr>
              <w:widowControl/>
              <w:jc w:val="left"/>
              <w:rPr>
                <w:rFonts w:eastAsia="方正仿宋_GBK" w:cs="方正楷体_GBK"/>
                <w:color w:val="000000"/>
                <w:kern w:val="0"/>
                <w:szCs w:val="21"/>
              </w:rPr>
            </w:pP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3.项目党组织架构、人员信息公示上墙；</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2分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0" w:type="dxa"/>
            <w:vMerge w:val="continue"/>
            <w:vAlign w:val="center"/>
          </w:tcPr>
          <w:p>
            <w:pPr>
              <w:widowControl/>
              <w:jc w:val="left"/>
              <w:rPr>
                <w:rFonts w:eastAsia="方正仿宋_GBK" w:cs="方正楷体_GBK"/>
                <w:color w:val="000000"/>
                <w:kern w:val="0"/>
                <w:szCs w:val="21"/>
              </w:rPr>
            </w:pP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4.项目成立的业委会或物管会中党员人数不少于半数。</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2分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0" w:type="dxa"/>
            <w:vMerge w:val="restart"/>
            <w:vAlign w:val="center"/>
          </w:tcPr>
          <w:p>
            <w:pPr>
              <w:widowControl/>
              <w:jc w:val="left"/>
              <w:rPr>
                <w:rFonts w:eastAsia="方正仿宋_GBK" w:cs="方正楷体_GBK"/>
                <w:color w:val="000000"/>
                <w:kern w:val="0"/>
                <w:szCs w:val="21"/>
              </w:rPr>
            </w:pPr>
            <w:r>
              <w:rPr>
                <w:rFonts w:hint="eastAsia" w:eastAsia="方正仿宋_GBK" w:cs="方正楷体_GBK"/>
                <w:color w:val="000000"/>
                <w:kern w:val="0"/>
                <w:szCs w:val="21"/>
              </w:rPr>
              <w:t>街道社区或上级党组织选派党员干部担任项目党建指导员，因地制宜采取多种形式开展党建工作。</w:t>
            </w: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1.积极配合街道社区或上级党组织选派到项目的党建指导员开展工作；</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2分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0" w:type="dxa"/>
            <w:vMerge w:val="continue"/>
            <w:vAlign w:val="center"/>
          </w:tcPr>
          <w:p>
            <w:pPr>
              <w:widowControl/>
              <w:jc w:val="left"/>
              <w:rPr>
                <w:rFonts w:eastAsia="方正仿宋_GBK" w:cs="方正楷体_GBK"/>
                <w:color w:val="000000"/>
                <w:kern w:val="0"/>
                <w:szCs w:val="21"/>
              </w:rPr>
            </w:pP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 xml:space="preserve">2.党建指导员积极参与项目活动，有计划，有方案，有措施，有落实； </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2分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0" w:type="dxa"/>
            <w:vMerge w:val="continue"/>
            <w:vAlign w:val="center"/>
          </w:tcPr>
          <w:p>
            <w:pPr>
              <w:widowControl/>
              <w:jc w:val="left"/>
              <w:rPr>
                <w:rFonts w:eastAsia="方正仿宋_GBK" w:cs="方正楷体_GBK"/>
                <w:color w:val="000000"/>
                <w:kern w:val="0"/>
                <w:szCs w:val="21"/>
              </w:rPr>
            </w:pP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3.党建活动形式多样，在传递党的声音、收集社情民意、调解矛盾纠纷、促进和谐稳定等方面成效较好。</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3分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0" w:type="dxa"/>
            <w:vMerge w:val="restart"/>
            <w:vAlign w:val="center"/>
          </w:tcPr>
          <w:p>
            <w:pPr>
              <w:widowControl/>
              <w:jc w:val="left"/>
              <w:rPr>
                <w:rFonts w:eastAsia="方正仿宋_GBK" w:cs="方正楷体_GBK"/>
                <w:color w:val="000000"/>
                <w:kern w:val="0"/>
                <w:szCs w:val="21"/>
              </w:rPr>
            </w:pPr>
            <w:r>
              <w:rPr>
                <w:rFonts w:hint="eastAsia" w:eastAsia="方正仿宋_GBK" w:cs="方正楷体_GBK"/>
                <w:color w:val="000000"/>
                <w:kern w:val="0"/>
                <w:szCs w:val="21"/>
              </w:rPr>
              <w:t>项目党组织自觉接受街道社区党组织领导，与街道社区内各类组织衔接有序、互动良好。</w:t>
            </w: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1.项目党组织每季度向街道社区党组织汇报1次党建工作情况；</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2分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0" w:type="dxa"/>
            <w:vMerge w:val="continue"/>
            <w:vAlign w:val="center"/>
          </w:tcPr>
          <w:p>
            <w:pPr>
              <w:widowControl/>
              <w:jc w:val="left"/>
              <w:rPr>
                <w:rFonts w:eastAsia="方正仿宋_GBK" w:cs="方正楷体_GBK"/>
                <w:color w:val="000000"/>
                <w:kern w:val="0"/>
                <w:szCs w:val="21"/>
              </w:rPr>
            </w:pP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2.项目党组织主动接受街道社区党组织指导；</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2分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0" w:type="dxa"/>
            <w:vMerge w:val="continue"/>
            <w:vAlign w:val="center"/>
          </w:tcPr>
          <w:p>
            <w:pPr>
              <w:widowControl/>
              <w:jc w:val="left"/>
              <w:rPr>
                <w:rFonts w:eastAsia="方正仿宋_GBK" w:cs="方正楷体_GBK"/>
                <w:color w:val="000000"/>
                <w:kern w:val="0"/>
                <w:szCs w:val="21"/>
              </w:rPr>
            </w:pP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3.项目党组织与街道社区内各类组织正常开展活动。</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2分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8" w:type="dxa"/>
            <w:gridSpan w:val="3"/>
            <w:vAlign w:val="center"/>
          </w:tcPr>
          <w:p>
            <w:pPr>
              <w:widowControl/>
              <w:jc w:val="center"/>
              <w:rPr>
                <w:rFonts w:eastAsia="方正黑体_GBK"/>
                <w:color w:val="000000"/>
                <w:kern w:val="0"/>
                <w:sz w:val="24"/>
              </w:rPr>
            </w:pPr>
            <w:r>
              <w:rPr>
                <w:rFonts w:hint="eastAsia" w:eastAsia="方正黑体_GBK"/>
                <w:color w:val="000000"/>
                <w:kern w:val="0"/>
                <w:sz w:val="24"/>
              </w:rPr>
              <w:t>二、运行机制科学（15分）</w:t>
            </w:r>
          </w:p>
        </w:tc>
        <w:tc>
          <w:tcPr>
            <w:tcW w:w="1151" w:type="dxa"/>
            <w:vAlign w:val="center"/>
          </w:tcPr>
          <w:p>
            <w:pPr>
              <w:widowControl/>
              <w:jc w:val="center"/>
              <w:rPr>
                <w:rFonts w:eastAsia="方正黑体_GBK"/>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0" w:type="dxa"/>
            <w:vMerge w:val="restart"/>
            <w:vAlign w:val="center"/>
          </w:tcPr>
          <w:p>
            <w:pPr>
              <w:widowControl/>
              <w:rPr>
                <w:rFonts w:eastAsia="方正仿宋_GBK" w:cs="方正仿宋_GBK"/>
                <w:color w:val="000000"/>
                <w:kern w:val="0"/>
                <w:szCs w:val="21"/>
              </w:rPr>
            </w:pPr>
            <w:r>
              <w:rPr>
                <w:rFonts w:hint="eastAsia" w:eastAsia="方正仿宋_GBK" w:cs="方正楷体_GBK"/>
                <w:color w:val="000000"/>
                <w:kern w:val="0"/>
                <w:szCs w:val="21"/>
              </w:rPr>
              <w:t>项目所在地街道社区党组织牵头的社区居委会、物业服务企业、业主委员会和辖区治理力量共同参加的多方联动机制或联席会议制度健全。</w:t>
            </w: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 xml:space="preserve">1.建立多方联动机制或联席会议制度，有党建共建工作平台； </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3分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0" w:type="dxa"/>
            <w:vMerge w:val="continue"/>
            <w:vAlign w:val="center"/>
          </w:tcPr>
          <w:p>
            <w:pPr>
              <w:widowControl/>
              <w:rPr>
                <w:rFonts w:eastAsia="方正仿宋_GBK" w:cs="方正仿宋_GBK"/>
                <w:color w:val="000000"/>
                <w:kern w:val="0"/>
                <w:szCs w:val="21"/>
              </w:rPr>
            </w:pP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2.多方联动机制或联席会议制度有效落实，对涉及物业管理服务的重大事项、重要问题、重点工作能共同协商解决；</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2分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0" w:type="dxa"/>
            <w:vMerge w:val="continue"/>
            <w:vAlign w:val="center"/>
          </w:tcPr>
          <w:p>
            <w:pPr>
              <w:widowControl/>
              <w:rPr>
                <w:rFonts w:eastAsia="方正仿宋_GBK" w:cs="方正楷体_GBK"/>
                <w:color w:val="000000"/>
                <w:kern w:val="0"/>
                <w:szCs w:val="21"/>
              </w:rPr>
            </w:pP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3.有合理的议事规则和规范的工作流程；</w:t>
            </w:r>
          </w:p>
        </w:tc>
        <w:tc>
          <w:tcPr>
            <w:tcW w:w="1090" w:type="dxa"/>
            <w:vAlign w:val="center"/>
          </w:tcPr>
          <w:p>
            <w:pPr>
              <w:jc w:val="center"/>
              <w:rPr>
                <w:rFonts w:eastAsia="方正仿宋_GBK" w:cs="方正仿宋_GBK"/>
                <w:szCs w:val="21"/>
              </w:rPr>
            </w:pPr>
            <w:r>
              <w:rPr>
                <w:rFonts w:hint="eastAsia" w:eastAsia="方正仿宋_GBK" w:cs="方正仿宋_GBK"/>
                <w:szCs w:val="21"/>
              </w:rPr>
              <w:t>2分</w:t>
            </w:r>
          </w:p>
        </w:tc>
        <w:tc>
          <w:tcPr>
            <w:tcW w:w="1151" w:type="dxa"/>
            <w:vAlign w:val="center"/>
          </w:tcPr>
          <w:p>
            <w:pPr>
              <w:jc w:val="center"/>
              <w:rPr>
                <w:rFonts w:eastAsia="方正仿宋_GBK" w:cs="方正仿宋_GBK"/>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0" w:type="dxa"/>
            <w:vMerge w:val="continue"/>
            <w:vAlign w:val="center"/>
          </w:tcPr>
          <w:p>
            <w:pPr>
              <w:widowControl/>
              <w:jc w:val="left"/>
              <w:rPr>
                <w:rFonts w:eastAsia="方正仿宋_GBK" w:cs="方正楷体_GBK"/>
                <w:color w:val="000000"/>
                <w:kern w:val="0"/>
                <w:szCs w:val="21"/>
              </w:rPr>
            </w:pP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4.每月至少召开1次联席会议，会议记录完整。</w:t>
            </w:r>
          </w:p>
        </w:tc>
        <w:tc>
          <w:tcPr>
            <w:tcW w:w="1090" w:type="dxa"/>
            <w:vAlign w:val="center"/>
          </w:tcPr>
          <w:p>
            <w:pPr>
              <w:jc w:val="center"/>
              <w:rPr>
                <w:rFonts w:eastAsia="方正仿宋_GBK" w:cs="方正仿宋_GBK"/>
                <w:szCs w:val="21"/>
              </w:rPr>
            </w:pPr>
            <w:r>
              <w:rPr>
                <w:rFonts w:hint="eastAsia" w:eastAsia="方正仿宋_GBK" w:cs="方正仿宋_GBK"/>
                <w:szCs w:val="21"/>
              </w:rPr>
              <w:t>2分</w:t>
            </w:r>
          </w:p>
        </w:tc>
        <w:tc>
          <w:tcPr>
            <w:tcW w:w="1151" w:type="dxa"/>
            <w:vAlign w:val="center"/>
          </w:tcPr>
          <w:p>
            <w:pPr>
              <w:jc w:val="center"/>
              <w:rPr>
                <w:rFonts w:eastAsia="方正仿宋_GBK" w:cs="方正仿宋_GBK"/>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0" w:type="dxa"/>
            <w:vMerge w:val="restart"/>
            <w:vAlign w:val="center"/>
          </w:tcPr>
          <w:p>
            <w:pPr>
              <w:widowControl/>
              <w:jc w:val="left"/>
              <w:rPr>
                <w:rFonts w:eastAsia="方正仿宋_GBK" w:cs="方正楷体_GBK"/>
                <w:color w:val="000000"/>
                <w:kern w:val="0"/>
                <w:szCs w:val="21"/>
              </w:rPr>
            </w:pPr>
            <w:r>
              <w:rPr>
                <w:rFonts w:hint="eastAsia" w:eastAsia="方正仿宋_GBK" w:cs="方正楷体_GBK"/>
                <w:color w:val="000000"/>
                <w:kern w:val="0"/>
                <w:szCs w:val="21"/>
              </w:rPr>
              <w:t>落实“交叉任职”制度，项目党员负责人担任社区党组织兼职委员，作用发挥较好。</w:t>
            </w: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1.配合社区党员兼任的物业项目服务督导员，开展好物业服务监督检查工作；</w:t>
            </w:r>
          </w:p>
        </w:tc>
        <w:tc>
          <w:tcPr>
            <w:tcW w:w="1090" w:type="dxa"/>
            <w:vAlign w:val="center"/>
          </w:tcPr>
          <w:p>
            <w:pPr>
              <w:jc w:val="center"/>
              <w:rPr>
                <w:rFonts w:eastAsia="方正仿宋_GBK" w:cs="方正仿宋_GBK"/>
                <w:szCs w:val="21"/>
              </w:rPr>
            </w:pPr>
            <w:r>
              <w:rPr>
                <w:rFonts w:hint="eastAsia" w:eastAsia="方正仿宋_GBK" w:cs="方正仿宋_GBK"/>
                <w:szCs w:val="21"/>
              </w:rPr>
              <w:t>3分</w:t>
            </w:r>
          </w:p>
        </w:tc>
        <w:tc>
          <w:tcPr>
            <w:tcW w:w="1151" w:type="dxa"/>
            <w:vAlign w:val="center"/>
          </w:tcPr>
          <w:p>
            <w:pPr>
              <w:jc w:val="center"/>
              <w:rPr>
                <w:rFonts w:eastAsia="方正仿宋_GBK" w:cs="方正仿宋_GBK"/>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700" w:type="dxa"/>
            <w:vMerge w:val="continue"/>
            <w:vAlign w:val="center"/>
          </w:tcPr>
          <w:p>
            <w:pPr>
              <w:widowControl/>
              <w:jc w:val="left"/>
              <w:rPr>
                <w:rFonts w:eastAsia="方正仿宋_GBK" w:cs="方正楷体_GBK"/>
                <w:color w:val="000000"/>
                <w:kern w:val="0"/>
                <w:szCs w:val="21"/>
              </w:rPr>
            </w:pP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2.物业服务企业负责人中的党员担任社区党组织兼职委员，积极主动完成社区党组织安排的工作任务。</w:t>
            </w:r>
          </w:p>
        </w:tc>
        <w:tc>
          <w:tcPr>
            <w:tcW w:w="1090" w:type="dxa"/>
            <w:vAlign w:val="center"/>
          </w:tcPr>
          <w:p>
            <w:pPr>
              <w:jc w:val="center"/>
              <w:rPr>
                <w:rFonts w:eastAsia="方正仿宋_GBK" w:cs="方正仿宋_GBK"/>
                <w:szCs w:val="21"/>
              </w:rPr>
            </w:pPr>
            <w:r>
              <w:rPr>
                <w:rFonts w:hint="eastAsia" w:eastAsia="方正仿宋_GBK" w:cs="方正仿宋_GBK"/>
                <w:szCs w:val="21"/>
              </w:rPr>
              <w:t>3分</w:t>
            </w:r>
          </w:p>
        </w:tc>
        <w:tc>
          <w:tcPr>
            <w:tcW w:w="1151" w:type="dxa"/>
            <w:vAlign w:val="center"/>
          </w:tcPr>
          <w:p>
            <w:pPr>
              <w:jc w:val="center"/>
              <w:rPr>
                <w:rFonts w:eastAsia="方正仿宋_GBK" w:cs="方正仿宋_GBK"/>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8" w:type="dxa"/>
            <w:gridSpan w:val="3"/>
            <w:vAlign w:val="center"/>
          </w:tcPr>
          <w:p>
            <w:pPr>
              <w:widowControl/>
              <w:jc w:val="center"/>
              <w:rPr>
                <w:rFonts w:eastAsia="方正黑体_GBK"/>
                <w:color w:val="000000"/>
                <w:kern w:val="0"/>
                <w:sz w:val="24"/>
              </w:rPr>
            </w:pPr>
            <w:r>
              <w:rPr>
                <w:rFonts w:hint="eastAsia" w:eastAsia="方正黑体_GBK"/>
                <w:color w:val="000000"/>
                <w:kern w:val="0"/>
                <w:sz w:val="24"/>
              </w:rPr>
              <w:t>三、党员作用明显（22分）</w:t>
            </w:r>
          </w:p>
        </w:tc>
        <w:tc>
          <w:tcPr>
            <w:tcW w:w="1151" w:type="dxa"/>
            <w:vAlign w:val="center"/>
          </w:tcPr>
          <w:p>
            <w:pPr>
              <w:widowControl/>
              <w:jc w:val="center"/>
              <w:rPr>
                <w:rFonts w:eastAsia="方正黑体_GBK"/>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0" w:type="dxa"/>
            <w:vMerge w:val="restart"/>
            <w:vAlign w:val="center"/>
          </w:tcPr>
          <w:p>
            <w:pPr>
              <w:widowControl/>
              <w:jc w:val="left"/>
              <w:rPr>
                <w:rFonts w:eastAsia="方正仿宋_GBK" w:cs="方正楷体_GBK"/>
                <w:color w:val="000000"/>
                <w:kern w:val="0"/>
                <w:szCs w:val="21"/>
              </w:rPr>
            </w:pPr>
            <w:r>
              <w:rPr>
                <w:rFonts w:hint="eastAsia" w:eastAsia="方正仿宋_GBK" w:cs="方正楷体_GBK"/>
                <w:color w:val="000000"/>
                <w:kern w:val="0"/>
                <w:szCs w:val="21"/>
              </w:rPr>
              <w:t>项目党组织严格执行“三会一课”等基本制度，积极开展“主题党日”、党员责任区、党员示范岗、特色创建等活动。</w:t>
            </w: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1.“三会一课”等基本制度落实；</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3分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0" w:type="dxa"/>
            <w:vMerge w:val="continue"/>
            <w:vAlign w:val="center"/>
          </w:tcPr>
          <w:p>
            <w:pPr>
              <w:widowControl/>
              <w:jc w:val="left"/>
              <w:rPr>
                <w:rFonts w:eastAsia="方正仿宋_GBK" w:cs="方正楷体_GBK"/>
                <w:color w:val="000000"/>
                <w:kern w:val="0"/>
                <w:szCs w:val="21"/>
              </w:rPr>
            </w:pP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2.每月定期开展“主题党日”活动；</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2分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0" w:type="dxa"/>
            <w:vMerge w:val="continue"/>
            <w:vAlign w:val="center"/>
          </w:tcPr>
          <w:p>
            <w:pPr>
              <w:widowControl/>
              <w:jc w:val="left"/>
              <w:rPr>
                <w:rFonts w:eastAsia="方正仿宋_GBK" w:cs="方正楷体_GBK"/>
                <w:color w:val="000000"/>
                <w:kern w:val="0"/>
                <w:szCs w:val="21"/>
              </w:rPr>
            </w:pP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3.设有党员示范岗、党员责任区；</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2分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0" w:type="dxa"/>
            <w:vMerge w:val="continue"/>
            <w:vAlign w:val="center"/>
          </w:tcPr>
          <w:p>
            <w:pPr>
              <w:widowControl/>
              <w:jc w:val="left"/>
              <w:rPr>
                <w:rFonts w:eastAsia="方正仿宋_GBK" w:cs="方正楷体_GBK"/>
                <w:color w:val="000000"/>
                <w:kern w:val="0"/>
                <w:szCs w:val="21"/>
              </w:rPr>
            </w:pP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4.有党建活动经费保障，收支记录准确完整。</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2分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0" w:type="dxa"/>
            <w:vMerge w:val="restart"/>
            <w:vAlign w:val="center"/>
          </w:tcPr>
          <w:p>
            <w:pPr>
              <w:widowControl/>
              <w:jc w:val="left"/>
              <w:rPr>
                <w:rFonts w:eastAsia="方正仿宋_GBK" w:cs="方正楷体_GBK"/>
                <w:color w:val="000000"/>
                <w:kern w:val="0"/>
                <w:szCs w:val="21"/>
              </w:rPr>
            </w:pPr>
            <w:r>
              <w:rPr>
                <w:rFonts w:hint="eastAsia" w:eastAsia="方正仿宋_GBK" w:cs="方正楷体_GBK"/>
                <w:color w:val="000000"/>
                <w:kern w:val="0"/>
                <w:szCs w:val="21"/>
              </w:rPr>
              <w:t>主动融入属地街道社区治理网格党建范畴，组建“红色物业”党员志愿服务队，主动联系落实小区业主党员参与共建共治。</w:t>
            </w: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1.积极融入街道社区治理网格党建框架内；</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1分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0" w:type="dxa"/>
            <w:vMerge w:val="continue"/>
            <w:vAlign w:val="center"/>
          </w:tcPr>
          <w:p>
            <w:pPr>
              <w:widowControl/>
              <w:jc w:val="left"/>
              <w:rPr>
                <w:rFonts w:eastAsia="方正仿宋_GBK" w:cs="方正楷体_GBK"/>
                <w:color w:val="000000"/>
                <w:kern w:val="0"/>
                <w:szCs w:val="21"/>
              </w:rPr>
            </w:pP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2.组建“红色物业”党员志愿服务队并发挥作用；</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2分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700" w:type="dxa"/>
            <w:vMerge w:val="continue"/>
            <w:vAlign w:val="center"/>
          </w:tcPr>
          <w:p>
            <w:pPr>
              <w:widowControl/>
              <w:jc w:val="left"/>
              <w:rPr>
                <w:rFonts w:eastAsia="方正仿宋_GBK" w:cs="方正楷体_GBK"/>
                <w:color w:val="000000"/>
                <w:kern w:val="0"/>
                <w:szCs w:val="21"/>
              </w:rPr>
            </w:pP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3.推动小区党员积极参与共建共治活动，有计划、有成效。</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2分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0" w:type="dxa"/>
            <w:vMerge w:val="restart"/>
            <w:vAlign w:val="center"/>
          </w:tcPr>
          <w:p>
            <w:pPr>
              <w:widowControl/>
              <w:jc w:val="left"/>
              <w:rPr>
                <w:rFonts w:eastAsia="方正仿宋_GBK" w:cs="方正楷体_GBK"/>
                <w:color w:val="000000"/>
                <w:kern w:val="0"/>
                <w:szCs w:val="21"/>
              </w:rPr>
            </w:pPr>
            <w:r>
              <w:rPr>
                <w:rFonts w:hint="eastAsia" w:eastAsia="方正仿宋_GBK" w:cs="方正楷体_GBK"/>
                <w:color w:val="000000"/>
                <w:kern w:val="0"/>
                <w:szCs w:val="21"/>
              </w:rPr>
              <w:t>党组织活动与物业管理服务工作有机融合，党建品牌特色鲜明，示范效应和社会影响良好。</w:t>
            </w: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1.党组织活动与物业管理服务工作有机融合；</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2分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0" w:type="dxa"/>
            <w:vMerge w:val="continue"/>
            <w:vAlign w:val="center"/>
          </w:tcPr>
          <w:p>
            <w:pPr>
              <w:widowControl/>
              <w:jc w:val="left"/>
              <w:rPr>
                <w:rFonts w:eastAsia="方正仿宋_GBK" w:cs="方正楷体_GBK"/>
                <w:color w:val="000000"/>
                <w:kern w:val="0"/>
                <w:szCs w:val="21"/>
              </w:rPr>
            </w:pP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2.有自己的特色党建品牌，示范效应和社会影响良好。</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2分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700" w:type="dxa"/>
            <w:vMerge w:val="restart"/>
            <w:vAlign w:val="center"/>
          </w:tcPr>
          <w:p>
            <w:pPr>
              <w:widowControl/>
              <w:rPr>
                <w:rFonts w:eastAsia="方正仿宋_GBK" w:cs="方正楷体_GBK"/>
                <w:color w:val="000000"/>
                <w:kern w:val="0"/>
                <w:szCs w:val="21"/>
              </w:rPr>
            </w:pPr>
            <w:r>
              <w:rPr>
                <w:rFonts w:hint="eastAsia" w:eastAsia="方正仿宋_GBK" w:cs="方正楷体_GBK"/>
                <w:color w:val="000000"/>
                <w:kern w:val="0"/>
                <w:szCs w:val="21"/>
              </w:rPr>
              <w:t>发挥党员业主模范带头作用，推进住宅小区共建共治共享。</w:t>
            </w: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1.项目党组织主动联系落实小区业主党员到属地社区党组织报到；</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2分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700" w:type="dxa"/>
            <w:vMerge w:val="continue"/>
            <w:vAlign w:val="center"/>
          </w:tcPr>
          <w:p>
            <w:pPr>
              <w:widowControl/>
              <w:jc w:val="left"/>
              <w:rPr>
                <w:rFonts w:eastAsia="方正仿宋_GBK" w:cs="方正仿宋_GBK"/>
                <w:color w:val="000000"/>
                <w:kern w:val="0"/>
                <w:szCs w:val="21"/>
              </w:rPr>
            </w:pP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2.协助支持业主中的党员参与居民委员会委员、楼栋长或业主组织成员等选举活动；</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1分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2700" w:type="dxa"/>
            <w:vMerge w:val="continue"/>
            <w:vAlign w:val="center"/>
          </w:tcPr>
          <w:p>
            <w:pPr>
              <w:widowControl/>
              <w:jc w:val="left"/>
              <w:rPr>
                <w:rFonts w:eastAsia="方正仿宋_GBK" w:cs="方正仿宋_GBK"/>
                <w:color w:val="000000"/>
                <w:kern w:val="0"/>
                <w:szCs w:val="21"/>
              </w:rPr>
            </w:pP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3.协助支持业主中的党员参与小区党组织活动、公益活动、综合治理等相关活动。</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1分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8" w:type="dxa"/>
            <w:gridSpan w:val="3"/>
            <w:vAlign w:val="center"/>
          </w:tcPr>
          <w:p>
            <w:pPr>
              <w:widowControl/>
              <w:jc w:val="center"/>
              <w:rPr>
                <w:rFonts w:eastAsia="方正黑体_GBK"/>
                <w:color w:val="000000"/>
                <w:kern w:val="0"/>
                <w:sz w:val="24"/>
              </w:rPr>
            </w:pPr>
            <w:r>
              <w:rPr>
                <w:rFonts w:hint="eastAsia" w:eastAsia="方正黑体_GBK"/>
                <w:color w:val="000000"/>
                <w:kern w:val="0"/>
                <w:sz w:val="24"/>
              </w:rPr>
              <w:t>四、党建阵地规范（10分）</w:t>
            </w:r>
          </w:p>
        </w:tc>
        <w:tc>
          <w:tcPr>
            <w:tcW w:w="1151" w:type="dxa"/>
            <w:vAlign w:val="center"/>
          </w:tcPr>
          <w:p>
            <w:pPr>
              <w:widowControl/>
              <w:jc w:val="center"/>
              <w:rPr>
                <w:rFonts w:eastAsia="方正黑体_GBK"/>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0" w:type="dxa"/>
            <w:vMerge w:val="restart"/>
            <w:vAlign w:val="center"/>
          </w:tcPr>
          <w:p>
            <w:pPr>
              <w:widowControl/>
              <w:jc w:val="left"/>
              <w:rPr>
                <w:rFonts w:eastAsia="方正仿宋_GBK" w:cs="方正仿宋_GBK"/>
                <w:color w:val="000000"/>
                <w:kern w:val="0"/>
                <w:szCs w:val="21"/>
              </w:rPr>
            </w:pPr>
            <w:r>
              <w:rPr>
                <w:rFonts w:hint="eastAsia" w:eastAsia="方正仿宋_GBK" w:cs="方正楷体_GBK"/>
                <w:color w:val="000000"/>
                <w:kern w:val="0"/>
                <w:szCs w:val="21"/>
              </w:rPr>
              <w:t>党建阵地布局合理、节约实用。</w:t>
            </w: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1.有党建活动场所和设施设备；</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2分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0" w:type="dxa"/>
            <w:vMerge w:val="continue"/>
            <w:vAlign w:val="center"/>
          </w:tcPr>
          <w:p>
            <w:pPr>
              <w:widowControl/>
              <w:jc w:val="left"/>
              <w:rPr>
                <w:rFonts w:eastAsia="方正仿宋_GBK" w:cs="方正仿宋_GBK"/>
                <w:color w:val="000000"/>
                <w:kern w:val="0"/>
                <w:szCs w:val="21"/>
              </w:rPr>
            </w:pP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2.有“红色物业”相关标识，各项党建工作制度健全。</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2分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0" w:type="dxa"/>
            <w:vMerge w:val="restart"/>
            <w:vAlign w:val="center"/>
          </w:tcPr>
          <w:p>
            <w:pPr>
              <w:widowControl/>
              <w:jc w:val="left"/>
              <w:rPr>
                <w:rFonts w:eastAsia="方正仿宋_GBK" w:cs="方正仿宋_GBK"/>
                <w:color w:val="000000"/>
                <w:kern w:val="0"/>
                <w:szCs w:val="21"/>
              </w:rPr>
            </w:pPr>
            <w:r>
              <w:rPr>
                <w:rFonts w:hint="eastAsia" w:eastAsia="方正仿宋_GBK" w:cs="方正楷体_GBK"/>
                <w:color w:val="000000"/>
                <w:kern w:val="0"/>
                <w:szCs w:val="21"/>
              </w:rPr>
              <w:t>在业主休闲场所、公共通道等重点区域，党建氛围浓厚。</w:t>
            </w: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1.公共区域党建元素丰富；</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2分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0" w:type="dxa"/>
            <w:vMerge w:val="continue"/>
            <w:vAlign w:val="center"/>
          </w:tcPr>
          <w:p>
            <w:pPr>
              <w:widowControl/>
              <w:jc w:val="left"/>
              <w:rPr>
                <w:rFonts w:eastAsia="方正仿宋_GBK" w:cs="方正仿宋_GBK"/>
                <w:color w:val="000000"/>
                <w:kern w:val="0"/>
                <w:szCs w:val="21"/>
              </w:rPr>
            </w:pP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2.有体现党建引领小区治理的特色做法；</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1分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0" w:type="dxa"/>
            <w:vMerge w:val="continue"/>
            <w:vAlign w:val="center"/>
          </w:tcPr>
          <w:p>
            <w:pPr>
              <w:widowControl/>
              <w:jc w:val="left"/>
              <w:rPr>
                <w:rFonts w:eastAsia="方正仿宋_GBK" w:cs="方正仿宋_GBK"/>
                <w:color w:val="000000"/>
                <w:kern w:val="0"/>
                <w:szCs w:val="21"/>
              </w:rPr>
            </w:pP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3.设有楼栋党小组、楼栋党员等公示牌；</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2分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0" w:type="dxa"/>
            <w:vMerge w:val="continue"/>
            <w:vAlign w:val="center"/>
          </w:tcPr>
          <w:p>
            <w:pPr>
              <w:widowControl/>
              <w:jc w:val="left"/>
              <w:rPr>
                <w:rFonts w:eastAsia="方正仿宋_GBK" w:cs="方正仿宋_GBK"/>
                <w:color w:val="000000"/>
                <w:kern w:val="0"/>
                <w:szCs w:val="21"/>
              </w:rPr>
            </w:pP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4.网格化党建工作内容有落实，有成效。</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1分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8" w:type="dxa"/>
            <w:gridSpan w:val="3"/>
            <w:vAlign w:val="center"/>
          </w:tcPr>
          <w:p>
            <w:pPr>
              <w:widowControl/>
              <w:jc w:val="center"/>
              <w:rPr>
                <w:rFonts w:eastAsia="方正黑体_GBK"/>
                <w:color w:val="000000"/>
                <w:kern w:val="0"/>
                <w:sz w:val="24"/>
              </w:rPr>
            </w:pPr>
            <w:r>
              <w:rPr>
                <w:rFonts w:hint="eastAsia" w:eastAsia="方正黑体_GBK"/>
                <w:color w:val="000000"/>
                <w:kern w:val="0"/>
                <w:sz w:val="24"/>
              </w:rPr>
              <w:t>五、管理服务高效（20分）</w:t>
            </w:r>
          </w:p>
        </w:tc>
        <w:tc>
          <w:tcPr>
            <w:tcW w:w="1151" w:type="dxa"/>
            <w:vAlign w:val="center"/>
          </w:tcPr>
          <w:p>
            <w:pPr>
              <w:widowControl/>
              <w:jc w:val="center"/>
              <w:rPr>
                <w:rFonts w:eastAsia="方正黑体_GBK"/>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0" w:type="dxa"/>
            <w:vMerge w:val="restart"/>
            <w:vAlign w:val="center"/>
          </w:tcPr>
          <w:p>
            <w:pPr>
              <w:widowControl/>
              <w:rPr>
                <w:rFonts w:eastAsia="方正仿宋_GBK" w:cs="方正楷体_GBK"/>
                <w:color w:val="000000"/>
                <w:spacing w:val="-10"/>
                <w:kern w:val="0"/>
                <w:szCs w:val="21"/>
              </w:rPr>
            </w:pPr>
            <w:r>
              <w:rPr>
                <w:rFonts w:hint="eastAsia" w:eastAsia="方正仿宋_GBK" w:cs="方正楷体_GBK"/>
                <w:color w:val="000000"/>
                <w:spacing w:val="-10"/>
                <w:kern w:val="0"/>
                <w:szCs w:val="21"/>
              </w:rPr>
              <w:t>物业管理项目按照合同规定提供标准化服务，公示服务内容、服务标准、收费标准等。</w:t>
            </w: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1.设立物业服务中心，公示服务内容和标准、收费依据和标准等；</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2分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0" w:type="dxa"/>
            <w:vMerge w:val="continue"/>
            <w:vAlign w:val="center"/>
          </w:tcPr>
          <w:p>
            <w:pPr>
              <w:widowControl/>
              <w:rPr>
                <w:rFonts w:eastAsia="方正仿宋_GBK" w:cs="方正楷体_GBK"/>
                <w:color w:val="000000"/>
                <w:kern w:val="0"/>
                <w:szCs w:val="21"/>
              </w:rPr>
            </w:pP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2.物业项目财务公开，定期公布物业收支情况。</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2分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0" w:type="dxa"/>
            <w:vMerge w:val="restart"/>
            <w:vAlign w:val="center"/>
          </w:tcPr>
          <w:p>
            <w:pPr>
              <w:widowControl/>
              <w:rPr>
                <w:rFonts w:eastAsia="方正仿宋_GBK" w:cs="方正楷体_GBK"/>
                <w:color w:val="000000"/>
                <w:kern w:val="0"/>
                <w:szCs w:val="21"/>
              </w:rPr>
            </w:pPr>
            <w:r>
              <w:rPr>
                <w:rFonts w:hint="eastAsia" w:eastAsia="方正仿宋_GBK" w:cs="方正楷体_GBK"/>
                <w:color w:val="000000"/>
                <w:kern w:val="0"/>
                <w:szCs w:val="21"/>
              </w:rPr>
              <w:t>强化安全责任，对小区安全隐患部位严格落实防范措施、设置警示标识。</w:t>
            </w: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1.安全标志设置合理，对可能危及人身安全的地点和设施设备，有明显警示标志和防范措施；</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1分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0" w:type="dxa"/>
            <w:vMerge w:val="continue"/>
            <w:vAlign w:val="center"/>
          </w:tcPr>
          <w:p>
            <w:pPr>
              <w:widowControl/>
              <w:jc w:val="left"/>
              <w:rPr>
                <w:rFonts w:eastAsia="方正仿宋_GBK" w:cs="方正楷体_GBK"/>
                <w:color w:val="000000"/>
                <w:kern w:val="0"/>
                <w:szCs w:val="21"/>
              </w:rPr>
            </w:pP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2.小区安全防范服务责任制和责任人明确；</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1分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0" w:type="dxa"/>
            <w:vMerge w:val="continue"/>
            <w:vAlign w:val="center"/>
          </w:tcPr>
          <w:p>
            <w:pPr>
              <w:widowControl/>
              <w:jc w:val="left"/>
              <w:rPr>
                <w:rFonts w:eastAsia="方正仿宋_GBK" w:cs="方正楷体_GBK"/>
                <w:color w:val="000000"/>
                <w:kern w:val="0"/>
                <w:szCs w:val="21"/>
              </w:rPr>
            </w:pP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3.有消防安全制度和消防安全操作规程，定期进行消防安全巡视检查，隐患及时整改；</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2分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0" w:type="dxa"/>
            <w:vMerge w:val="continue"/>
            <w:vAlign w:val="center"/>
          </w:tcPr>
          <w:p>
            <w:pPr>
              <w:widowControl/>
              <w:jc w:val="left"/>
              <w:rPr>
                <w:rFonts w:eastAsia="方正仿宋_GBK" w:cs="方正楷体_GBK"/>
                <w:color w:val="000000"/>
                <w:kern w:val="0"/>
                <w:szCs w:val="21"/>
              </w:rPr>
            </w:pP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4.消防通道畅通，无杂物堆放，无违章占用；</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2分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0" w:type="dxa"/>
            <w:vMerge w:val="continue"/>
            <w:vAlign w:val="center"/>
          </w:tcPr>
          <w:p>
            <w:pPr>
              <w:widowControl/>
              <w:jc w:val="left"/>
              <w:rPr>
                <w:rFonts w:eastAsia="方正仿宋_GBK" w:cs="方正楷体_GBK"/>
                <w:color w:val="000000"/>
                <w:kern w:val="0"/>
                <w:szCs w:val="21"/>
              </w:rPr>
            </w:pP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5.消火栓柜、防火卷帘、防火门、灭火器、疏散指示灯、应急灯及应急工具等消防设施设备完好，定期组织检验、保养；</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1分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0" w:type="dxa"/>
            <w:vMerge w:val="continue"/>
            <w:vAlign w:val="center"/>
          </w:tcPr>
          <w:p>
            <w:pPr>
              <w:widowControl/>
              <w:jc w:val="left"/>
              <w:rPr>
                <w:rFonts w:eastAsia="方正仿宋_GBK" w:cs="方正楷体_GBK"/>
                <w:color w:val="000000"/>
                <w:kern w:val="0"/>
                <w:szCs w:val="21"/>
              </w:rPr>
            </w:pP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6.</w:t>
            </w:r>
            <w:r>
              <w:rPr>
                <w:rFonts w:hint="eastAsia" w:eastAsia="方正仿宋_GBK" w:cs="方正仿宋_GBK"/>
                <w:color w:val="000000"/>
                <w:spacing w:val="-10"/>
                <w:kern w:val="0"/>
                <w:szCs w:val="21"/>
              </w:rPr>
              <w:t>安全疏散通道畅通，疏散标志和示意图设置合理、醒目；</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1分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0" w:type="dxa"/>
            <w:vMerge w:val="continue"/>
            <w:vAlign w:val="center"/>
          </w:tcPr>
          <w:p>
            <w:pPr>
              <w:widowControl/>
              <w:jc w:val="left"/>
              <w:rPr>
                <w:rFonts w:eastAsia="方正仿宋_GBK" w:cs="方正楷体_GBK"/>
                <w:color w:val="000000"/>
                <w:kern w:val="0"/>
                <w:szCs w:val="21"/>
              </w:rPr>
            </w:pP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7.对私拉乱接、飞线充电、高空抛物等危害安全行为，制定并落实有效措施；</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1分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0" w:type="dxa"/>
            <w:vMerge w:val="continue"/>
            <w:vAlign w:val="center"/>
          </w:tcPr>
          <w:p>
            <w:pPr>
              <w:widowControl/>
              <w:jc w:val="left"/>
              <w:rPr>
                <w:rFonts w:eastAsia="方正仿宋_GBK" w:cs="方正楷体_GBK"/>
                <w:color w:val="000000"/>
                <w:kern w:val="0"/>
                <w:szCs w:val="21"/>
              </w:rPr>
            </w:pP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8.定期开展形式多样的安全警示教育宣传工作。</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2分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0" w:type="dxa"/>
            <w:vMerge w:val="restart"/>
            <w:vAlign w:val="center"/>
          </w:tcPr>
          <w:p>
            <w:pPr>
              <w:widowControl/>
              <w:jc w:val="left"/>
              <w:rPr>
                <w:rFonts w:eastAsia="方正仿宋_GBK" w:cs="方正楷体_GBK"/>
                <w:color w:val="000000"/>
                <w:kern w:val="0"/>
                <w:szCs w:val="21"/>
              </w:rPr>
            </w:pPr>
            <w:r>
              <w:rPr>
                <w:rFonts w:hint="eastAsia" w:eastAsia="方正仿宋_GBK" w:cs="方正楷体_GBK"/>
                <w:color w:val="000000"/>
                <w:kern w:val="0"/>
                <w:szCs w:val="21"/>
              </w:rPr>
              <w:t>做好垃圾分类、日产日清工作，公共区域环境整洁。</w:t>
            </w: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1.配合做好垃圾实行分类管理工作，日产日清；</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2分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0" w:type="dxa"/>
            <w:vMerge w:val="continue"/>
            <w:vAlign w:val="center"/>
          </w:tcPr>
          <w:p>
            <w:pPr>
              <w:widowControl/>
              <w:jc w:val="left"/>
              <w:rPr>
                <w:rFonts w:eastAsia="方正仿宋_GBK" w:cs="方正仿宋_GBK"/>
                <w:color w:val="000000"/>
                <w:kern w:val="0"/>
                <w:szCs w:val="21"/>
              </w:rPr>
            </w:pP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2.定期对保洁设施设备进行卫生消毒；</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1分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0" w:type="dxa"/>
            <w:vMerge w:val="continue"/>
            <w:vAlign w:val="center"/>
          </w:tcPr>
          <w:p>
            <w:pPr>
              <w:widowControl/>
              <w:jc w:val="left"/>
              <w:rPr>
                <w:rFonts w:eastAsia="方正仿宋_GBK" w:cs="方正仿宋_GBK"/>
                <w:color w:val="000000"/>
                <w:kern w:val="0"/>
                <w:szCs w:val="21"/>
              </w:rPr>
            </w:pPr>
          </w:p>
        </w:tc>
        <w:tc>
          <w:tcPr>
            <w:tcW w:w="5278" w:type="dxa"/>
            <w:vAlign w:val="center"/>
          </w:tcPr>
          <w:p>
            <w:pPr>
              <w:widowControl/>
              <w:rPr>
                <w:rFonts w:eastAsia="方正仿宋_GBK" w:cs="方正仿宋_GBK"/>
                <w:color w:val="000000"/>
                <w:kern w:val="0"/>
                <w:szCs w:val="21"/>
              </w:rPr>
            </w:pPr>
            <w:r>
              <w:rPr>
                <w:rFonts w:hint="eastAsia" w:eastAsia="方正仿宋_GBK" w:cs="方正仿宋_GBK"/>
                <w:color w:val="000000"/>
                <w:kern w:val="0"/>
                <w:szCs w:val="21"/>
              </w:rPr>
              <w:t>3.管理区域内道路、绿地、停车场、文体活动区域等共用场地，确保无纸屑、烟头、塑料袋等废弃物。</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2分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8" w:type="dxa"/>
            <w:gridSpan w:val="3"/>
            <w:vAlign w:val="center"/>
          </w:tcPr>
          <w:p>
            <w:pPr>
              <w:widowControl/>
              <w:jc w:val="center"/>
              <w:rPr>
                <w:rFonts w:eastAsia="方正黑体_GBK"/>
                <w:color w:val="000000"/>
                <w:kern w:val="0"/>
                <w:sz w:val="24"/>
              </w:rPr>
            </w:pPr>
            <w:r>
              <w:rPr>
                <w:rFonts w:hint="eastAsia" w:eastAsia="方正黑体_GBK"/>
                <w:color w:val="000000"/>
                <w:kern w:val="0"/>
                <w:sz w:val="24"/>
              </w:rPr>
              <w:t>六、民主监督有力（13分）</w:t>
            </w:r>
          </w:p>
        </w:tc>
        <w:tc>
          <w:tcPr>
            <w:tcW w:w="1151" w:type="dxa"/>
            <w:vAlign w:val="center"/>
          </w:tcPr>
          <w:p>
            <w:pPr>
              <w:widowControl/>
              <w:jc w:val="center"/>
              <w:rPr>
                <w:rFonts w:eastAsia="方正黑体_GBK"/>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0" w:type="dxa"/>
            <w:vMerge w:val="restart"/>
            <w:vAlign w:val="center"/>
          </w:tcPr>
          <w:p>
            <w:pPr>
              <w:widowControl/>
              <w:spacing w:line="280" w:lineRule="exact"/>
              <w:jc w:val="left"/>
              <w:rPr>
                <w:rFonts w:eastAsia="方正仿宋_GBK" w:cs="方正楷体_GBK"/>
                <w:color w:val="000000"/>
                <w:kern w:val="0"/>
                <w:szCs w:val="21"/>
              </w:rPr>
            </w:pPr>
            <w:r>
              <w:rPr>
                <w:rFonts w:hint="eastAsia" w:eastAsia="方正仿宋_GBK" w:cs="方正楷体_GBK"/>
                <w:color w:val="000000"/>
                <w:kern w:val="0"/>
                <w:szCs w:val="21"/>
              </w:rPr>
              <w:t>抓好业委会党组织组建工作，支持和保证业委会依法依规行使职权，维护业主合法权益。</w:t>
            </w:r>
          </w:p>
        </w:tc>
        <w:tc>
          <w:tcPr>
            <w:tcW w:w="5278" w:type="dxa"/>
            <w:vAlign w:val="center"/>
          </w:tcPr>
          <w:p>
            <w:pPr>
              <w:widowControl/>
              <w:spacing w:line="280" w:lineRule="exact"/>
              <w:rPr>
                <w:rFonts w:eastAsia="方正仿宋_GBK" w:cs="方正仿宋_GBK"/>
                <w:color w:val="000000"/>
                <w:kern w:val="0"/>
                <w:szCs w:val="21"/>
              </w:rPr>
            </w:pPr>
            <w:r>
              <w:rPr>
                <w:rFonts w:hint="eastAsia" w:eastAsia="方正仿宋_GBK" w:cs="方正仿宋_GBK"/>
                <w:color w:val="000000"/>
                <w:kern w:val="0"/>
                <w:szCs w:val="21"/>
              </w:rPr>
              <w:t>1.配合街道社区做好业委会党组织的组建工作，支持业委会落实有关党建工作要求；</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2分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0" w:type="dxa"/>
            <w:vMerge w:val="continue"/>
            <w:vAlign w:val="center"/>
          </w:tcPr>
          <w:p>
            <w:pPr>
              <w:widowControl/>
              <w:spacing w:line="280" w:lineRule="exact"/>
              <w:jc w:val="left"/>
              <w:rPr>
                <w:rFonts w:eastAsia="方正仿宋_GBK" w:cs="方正楷体_GBK"/>
                <w:color w:val="000000"/>
                <w:kern w:val="0"/>
                <w:szCs w:val="21"/>
              </w:rPr>
            </w:pPr>
          </w:p>
        </w:tc>
        <w:tc>
          <w:tcPr>
            <w:tcW w:w="5278" w:type="dxa"/>
            <w:vAlign w:val="center"/>
          </w:tcPr>
          <w:p>
            <w:pPr>
              <w:widowControl/>
              <w:spacing w:line="280" w:lineRule="exact"/>
              <w:rPr>
                <w:rFonts w:eastAsia="方正仿宋_GBK" w:cs="方正仿宋_GBK"/>
                <w:color w:val="000000"/>
                <w:kern w:val="0"/>
                <w:szCs w:val="21"/>
              </w:rPr>
            </w:pPr>
            <w:r>
              <w:rPr>
                <w:rFonts w:hint="eastAsia" w:eastAsia="方正仿宋_GBK" w:cs="方正仿宋_GBK"/>
                <w:color w:val="000000"/>
                <w:kern w:val="0"/>
                <w:szCs w:val="21"/>
              </w:rPr>
              <w:t xml:space="preserve">2.开展多种形式的宣传教育，配合做好对业主的政治引领。 </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2分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0" w:type="dxa"/>
            <w:vMerge w:val="restart"/>
            <w:vAlign w:val="center"/>
          </w:tcPr>
          <w:p>
            <w:pPr>
              <w:widowControl/>
              <w:spacing w:line="280" w:lineRule="exact"/>
              <w:jc w:val="left"/>
              <w:rPr>
                <w:rFonts w:eastAsia="方正仿宋_GBK" w:cs="方正楷体_GBK"/>
                <w:color w:val="000000"/>
                <w:kern w:val="0"/>
                <w:szCs w:val="21"/>
              </w:rPr>
            </w:pPr>
            <w:r>
              <w:rPr>
                <w:rFonts w:hint="eastAsia" w:eastAsia="方正仿宋_GBK" w:cs="方正楷体_GBK"/>
                <w:color w:val="000000"/>
                <w:kern w:val="0"/>
                <w:szCs w:val="21"/>
              </w:rPr>
              <w:t>推动业委会和物业管理服务项目融入基层治理，组织居民有序参与事前、事中、事后的全过程监督，小区自治水平较高，业主满意度较高。</w:t>
            </w:r>
          </w:p>
        </w:tc>
        <w:tc>
          <w:tcPr>
            <w:tcW w:w="5278" w:type="dxa"/>
            <w:vAlign w:val="center"/>
          </w:tcPr>
          <w:p>
            <w:pPr>
              <w:widowControl/>
              <w:spacing w:line="280" w:lineRule="exact"/>
              <w:rPr>
                <w:rFonts w:eastAsia="方正仿宋_GBK" w:cs="方正仿宋_GBK"/>
                <w:color w:val="000000"/>
                <w:kern w:val="0"/>
                <w:szCs w:val="21"/>
              </w:rPr>
            </w:pPr>
            <w:r>
              <w:rPr>
                <w:rFonts w:hint="eastAsia" w:eastAsia="方正仿宋_GBK" w:cs="方正仿宋_GBK"/>
                <w:color w:val="000000"/>
                <w:kern w:val="0"/>
                <w:szCs w:val="21"/>
              </w:rPr>
              <w:t>1.落实所在地的物业管理行政主管部门、镇街有关基层治理要求，配合街道社区动员和组织业主积极参与小区自治；</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2分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0" w:type="dxa"/>
            <w:vMerge w:val="continue"/>
            <w:vAlign w:val="center"/>
          </w:tcPr>
          <w:p>
            <w:pPr>
              <w:widowControl/>
              <w:spacing w:line="280" w:lineRule="exact"/>
              <w:jc w:val="left"/>
              <w:rPr>
                <w:rFonts w:eastAsia="方正仿宋_GBK" w:cs="方正仿宋_GBK"/>
                <w:color w:val="000000"/>
                <w:kern w:val="0"/>
                <w:szCs w:val="21"/>
              </w:rPr>
            </w:pPr>
          </w:p>
        </w:tc>
        <w:tc>
          <w:tcPr>
            <w:tcW w:w="5278" w:type="dxa"/>
            <w:vAlign w:val="center"/>
          </w:tcPr>
          <w:p>
            <w:pPr>
              <w:widowControl/>
              <w:spacing w:line="280" w:lineRule="exact"/>
              <w:rPr>
                <w:rFonts w:eastAsia="方正仿宋_GBK" w:cs="方正仿宋_GBK"/>
                <w:color w:val="000000"/>
                <w:kern w:val="0"/>
                <w:szCs w:val="21"/>
              </w:rPr>
            </w:pPr>
            <w:r>
              <w:rPr>
                <w:rFonts w:hint="eastAsia" w:eastAsia="方正仿宋_GBK" w:cs="方正仿宋_GBK"/>
                <w:color w:val="000000"/>
                <w:kern w:val="0"/>
                <w:szCs w:val="21"/>
              </w:rPr>
              <w:t>2.建立健全与业委员的沟通联系机制，不定期地听取业主和业委会对物业服务的意见建议，主动接受监督；</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2分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0" w:type="dxa"/>
            <w:vMerge w:val="continue"/>
            <w:vAlign w:val="center"/>
          </w:tcPr>
          <w:p>
            <w:pPr>
              <w:widowControl/>
              <w:spacing w:line="280" w:lineRule="exact"/>
              <w:rPr>
                <w:rFonts w:eastAsia="方正仿宋_GBK" w:cs="方正仿宋_GBK"/>
                <w:color w:val="000000"/>
                <w:kern w:val="0"/>
                <w:szCs w:val="21"/>
              </w:rPr>
            </w:pPr>
          </w:p>
        </w:tc>
        <w:tc>
          <w:tcPr>
            <w:tcW w:w="5278" w:type="dxa"/>
            <w:vAlign w:val="center"/>
          </w:tcPr>
          <w:p>
            <w:pPr>
              <w:widowControl/>
              <w:spacing w:line="280" w:lineRule="exact"/>
              <w:rPr>
                <w:rFonts w:eastAsia="方正仿宋_GBK" w:cs="方正仿宋_GBK"/>
                <w:color w:val="000000"/>
                <w:kern w:val="0"/>
                <w:szCs w:val="21"/>
              </w:rPr>
            </w:pPr>
            <w:r>
              <w:rPr>
                <w:rFonts w:hint="eastAsia" w:eastAsia="方正仿宋_GBK" w:cs="方正仿宋_GBK"/>
                <w:color w:val="000000"/>
                <w:kern w:val="0"/>
                <w:szCs w:val="21"/>
              </w:rPr>
              <w:t>3.小区报修服务与投诉处理制度健全，记录完整；</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2分</w:t>
            </w:r>
          </w:p>
        </w:tc>
        <w:tc>
          <w:tcPr>
            <w:tcW w:w="1151" w:type="dxa"/>
            <w:vAlign w:val="center"/>
          </w:tcPr>
          <w:p>
            <w:pPr>
              <w:widowControl/>
              <w:jc w:val="center"/>
              <w:rPr>
                <w:rFonts w:eastAsia="方正仿宋_GBK" w:cs="方正仿宋_GBK"/>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0" w:type="dxa"/>
            <w:vMerge w:val="continue"/>
            <w:vAlign w:val="center"/>
          </w:tcPr>
          <w:p>
            <w:pPr>
              <w:widowControl/>
              <w:spacing w:line="280" w:lineRule="exact"/>
              <w:rPr>
                <w:rFonts w:eastAsia="方正仿宋_GBK" w:cs="方正仿宋_GBK"/>
                <w:color w:val="000000"/>
                <w:kern w:val="0"/>
                <w:szCs w:val="21"/>
              </w:rPr>
            </w:pPr>
          </w:p>
        </w:tc>
        <w:tc>
          <w:tcPr>
            <w:tcW w:w="5278" w:type="dxa"/>
            <w:vAlign w:val="center"/>
          </w:tcPr>
          <w:p>
            <w:pPr>
              <w:widowControl/>
              <w:spacing w:line="280" w:lineRule="exact"/>
              <w:rPr>
                <w:rFonts w:eastAsia="方正仿宋_GBK" w:cs="方正仿宋_GBK"/>
                <w:color w:val="000000"/>
                <w:kern w:val="0"/>
                <w:szCs w:val="21"/>
              </w:rPr>
            </w:pPr>
            <w:r>
              <w:rPr>
                <w:rFonts w:hint="eastAsia" w:eastAsia="方正仿宋_GBK" w:cs="方正仿宋_GBK"/>
                <w:color w:val="000000"/>
                <w:kern w:val="0"/>
                <w:szCs w:val="21"/>
              </w:rPr>
              <w:t>4.每年开展1次业主满意率调查，调查结果和对发现问题的整改落实情况及时向业主公示，业主满意率较高。</w:t>
            </w:r>
          </w:p>
        </w:tc>
        <w:tc>
          <w:tcPr>
            <w:tcW w:w="1090" w:type="dxa"/>
            <w:vAlign w:val="center"/>
          </w:tcPr>
          <w:p>
            <w:pPr>
              <w:widowControl/>
              <w:jc w:val="center"/>
              <w:rPr>
                <w:rFonts w:eastAsia="方正仿宋_GBK" w:cs="方正仿宋_GBK"/>
                <w:color w:val="000000"/>
                <w:kern w:val="0"/>
                <w:szCs w:val="21"/>
              </w:rPr>
            </w:pPr>
            <w:r>
              <w:rPr>
                <w:rFonts w:hint="eastAsia" w:eastAsia="方正仿宋_GBK" w:cs="方正仿宋_GBK"/>
                <w:color w:val="000000"/>
                <w:kern w:val="0"/>
                <w:szCs w:val="21"/>
              </w:rPr>
              <w:t>3分</w:t>
            </w:r>
          </w:p>
        </w:tc>
        <w:tc>
          <w:tcPr>
            <w:tcW w:w="1151" w:type="dxa"/>
            <w:vAlign w:val="center"/>
          </w:tcPr>
          <w:p>
            <w:pPr>
              <w:widowControl/>
              <w:jc w:val="center"/>
              <w:rPr>
                <w:rFonts w:eastAsia="方正仿宋_GBK" w:cs="方正仿宋_GBK"/>
                <w:color w:val="000000"/>
                <w:kern w:val="0"/>
                <w:szCs w:val="21"/>
              </w:rPr>
            </w:pPr>
          </w:p>
        </w:tc>
      </w:tr>
    </w:tbl>
    <w:p>
      <w:pPr>
        <w:rPr>
          <w:rFonts w:ascii="仿宋_GB2312" w:eastAsia="仿宋_GB2312"/>
          <w:sz w:val="32"/>
        </w:rPr>
      </w:pPr>
    </w:p>
    <w:p>
      <w:pPr>
        <w:rPr>
          <w:rFonts w:ascii="仿宋_GB2312" w:eastAsia="仿宋_GB2312"/>
          <w:sz w:val="32"/>
        </w:rPr>
      </w:pPr>
    </w:p>
    <w:p>
      <w:pPr>
        <w:rPr>
          <w:rFonts w:ascii="楷体_GB2312" w:hAnsi="楷体_GB2312" w:eastAsia="楷体_GB2312" w:cs="楷体_GB2312"/>
          <w:color w:val="333333"/>
          <w:spacing w:val="30"/>
          <w:sz w:val="32"/>
          <w:szCs w:val="32"/>
        </w:rPr>
      </w:pPr>
    </w:p>
    <w:p>
      <w:pPr>
        <w:rPr>
          <w:rFonts w:ascii="楷体_GB2312" w:hAnsi="楷体_GB2312" w:eastAsia="楷体_GB2312" w:cs="楷体_GB2312"/>
          <w:color w:val="333333"/>
          <w:spacing w:val="30"/>
          <w:sz w:val="32"/>
          <w:szCs w:val="32"/>
        </w:rPr>
      </w:pPr>
    </w:p>
    <w:p>
      <w:pPr>
        <w:rPr>
          <w:rFonts w:ascii="宋体" w:hAnsi="宋体"/>
          <w:color w:val="333333"/>
          <w:spacing w:val="30"/>
          <w:sz w:val="36"/>
          <w:szCs w:val="36"/>
        </w:rPr>
      </w:pPr>
    </w:p>
    <w:p>
      <w:pPr>
        <w:rPr>
          <w:rFonts w:ascii="宋体" w:hAnsi="宋体"/>
          <w:color w:val="333333"/>
          <w:spacing w:val="30"/>
          <w:sz w:val="36"/>
          <w:szCs w:val="36"/>
        </w:rPr>
      </w:pPr>
    </w:p>
    <w:p>
      <w:pPr>
        <w:rPr>
          <w:rFonts w:ascii="宋体" w:hAnsi="宋体"/>
          <w:color w:val="333333"/>
          <w:spacing w:val="30"/>
          <w:sz w:val="36"/>
          <w:szCs w:val="36"/>
        </w:rPr>
      </w:pPr>
    </w:p>
    <w:p>
      <w:pPr>
        <w:rPr>
          <w:rFonts w:ascii="宋体" w:hAnsi="宋体"/>
          <w:color w:val="333333"/>
          <w:spacing w:val="30"/>
          <w:sz w:val="36"/>
          <w:szCs w:val="36"/>
        </w:rPr>
      </w:pPr>
    </w:p>
    <w:p>
      <w:pPr>
        <w:rPr>
          <w:rFonts w:ascii="宋体" w:hAnsi="宋体"/>
          <w:color w:val="333333"/>
          <w:spacing w:val="30"/>
          <w:sz w:val="36"/>
          <w:szCs w:val="36"/>
        </w:rPr>
      </w:pPr>
    </w:p>
    <w:p>
      <w:pPr>
        <w:rPr>
          <w:rFonts w:ascii="宋体" w:hAnsi="宋体"/>
          <w:color w:val="333333"/>
          <w:spacing w:val="30"/>
          <w:sz w:val="36"/>
          <w:szCs w:val="36"/>
        </w:rPr>
      </w:pPr>
    </w:p>
    <w:p>
      <w:pPr>
        <w:rPr>
          <w:rFonts w:ascii="宋体" w:hAnsi="宋体"/>
          <w:color w:val="333333"/>
          <w:spacing w:val="30"/>
          <w:sz w:val="36"/>
          <w:szCs w:val="36"/>
        </w:rPr>
      </w:pPr>
    </w:p>
    <w:p>
      <w:pPr>
        <w:rPr>
          <w:rFonts w:ascii="宋体" w:hAnsi="宋体"/>
          <w:color w:val="333333"/>
          <w:spacing w:val="30"/>
          <w:sz w:val="36"/>
          <w:szCs w:val="36"/>
        </w:rPr>
      </w:pPr>
      <w:r>
        <w:rPr>
          <w:rFonts w:hint="eastAsia" w:ascii="宋体" w:hAnsi="宋体"/>
          <w:color w:val="333333"/>
          <w:spacing w:val="30"/>
          <w:sz w:val="36"/>
          <w:szCs w:val="36"/>
        </w:rPr>
        <w:t>附件</w:t>
      </w:r>
      <w:r>
        <w:rPr>
          <w:rFonts w:ascii="宋体" w:hAnsi="宋体"/>
          <w:color w:val="333333"/>
          <w:spacing w:val="30"/>
          <w:sz w:val="36"/>
          <w:szCs w:val="36"/>
        </w:rPr>
        <w:t>4</w:t>
      </w:r>
      <w:r>
        <w:rPr>
          <w:rFonts w:hint="eastAsia" w:ascii="宋体" w:hAnsi="宋体"/>
          <w:color w:val="333333"/>
          <w:spacing w:val="30"/>
          <w:sz w:val="36"/>
          <w:szCs w:val="36"/>
        </w:rPr>
        <w:t>：</w:t>
      </w:r>
    </w:p>
    <w:tbl>
      <w:tblPr>
        <w:tblStyle w:val="5"/>
        <w:tblpPr w:leftFromText="180" w:rightFromText="180" w:vertAnchor="text" w:horzAnchor="page" w:tblpXSpec="center" w:tblpY="279"/>
        <w:tblOverlap w:val="never"/>
        <w:tblW w:w="8320" w:type="dxa"/>
        <w:jc w:val="center"/>
        <w:tblLayout w:type="autofit"/>
        <w:tblCellMar>
          <w:top w:w="0" w:type="dxa"/>
          <w:left w:w="0" w:type="dxa"/>
          <w:bottom w:w="0" w:type="dxa"/>
          <w:right w:w="0" w:type="dxa"/>
        </w:tblCellMar>
      </w:tblPr>
      <w:tblGrid>
        <w:gridCol w:w="1064"/>
        <w:gridCol w:w="3204"/>
        <w:gridCol w:w="4052"/>
      </w:tblGrid>
      <w:tr>
        <w:tblPrEx>
          <w:tblCellMar>
            <w:top w:w="0" w:type="dxa"/>
            <w:left w:w="0" w:type="dxa"/>
            <w:bottom w:w="0" w:type="dxa"/>
            <w:right w:w="0" w:type="dxa"/>
          </w:tblCellMar>
        </w:tblPrEx>
        <w:trPr>
          <w:trHeight w:val="2048" w:hRule="atLeast"/>
          <w:jc w:val="center"/>
        </w:trPr>
        <w:tc>
          <w:tcPr>
            <w:tcW w:w="8320" w:type="dxa"/>
            <w:gridSpan w:val="3"/>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44"/>
                <w:szCs w:val="44"/>
              </w:rPr>
            </w:pPr>
            <w:r>
              <w:rPr>
                <w:rFonts w:hint="eastAsia" w:ascii="宋体" w:hAnsi="宋体"/>
                <w:b/>
                <w:bCs/>
                <w:color w:val="000000"/>
                <w:kern w:val="0"/>
                <w:sz w:val="30"/>
                <w:szCs w:val="30"/>
                <w:lang w:bidi="ar"/>
              </w:rPr>
              <w:t>洛阳镇环境卫生长效管理和住宅小区物业管理以奖代补资金表</w:t>
            </w:r>
          </w:p>
        </w:tc>
      </w:tr>
      <w:tr>
        <w:tblPrEx>
          <w:tblCellMar>
            <w:top w:w="0" w:type="dxa"/>
            <w:left w:w="0" w:type="dxa"/>
            <w:bottom w:w="0" w:type="dxa"/>
            <w:right w:w="0" w:type="dxa"/>
          </w:tblCellMar>
        </w:tblPrEx>
        <w:trPr>
          <w:trHeight w:val="1235" w:hRule="atLeas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32"/>
                <w:szCs w:val="32"/>
              </w:rPr>
            </w:pPr>
            <w:r>
              <w:rPr>
                <w:rFonts w:hint="eastAsia" w:ascii="宋体" w:hAnsi="宋体"/>
                <w:color w:val="000000"/>
                <w:kern w:val="0"/>
                <w:sz w:val="32"/>
                <w:szCs w:val="32"/>
                <w:lang w:bidi="ar"/>
              </w:rPr>
              <w:t>序号</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32"/>
                <w:szCs w:val="32"/>
              </w:rPr>
            </w:pPr>
            <w:r>
              <w:rPr>
                <w:rFonts w:hint="eastAsia" w:ascii="宋体" w:hAnsi="宋体"/>
                <w:color w:val="000000"/>
                <w:kern w:val="0"/>
                <w:sz w:val="32"/>
                <w:szCs w:val="32"/>
                <w:lang w:bidi="ar"/>
              </w:rPr>
              <w:t>档次</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32"/>
                <w:szCs w:val="32"/>
              </w:rPr>
            </w:pPr>
            <w:r>
              <w:rPr>
                <w:rFonts w:hint="eastAsia" w:ascii="宋体" w:hAnsi="宋体"/>
                <w:color w:val="000000"/>
                <w:kern w:val="0"/>
                <w:sz w:val="32"/>
                <w:szCs w:val="32"/>
                <w:lang w:bidi="ar"/>
              </w:rPr>
              <w:t>以奖代补资金(元）</w:t>
            </w:r>
          </w:p>
        </w:tc>
      </w:tr>
      <w:tr>
        <w:tblPrEx>
          <w:tblCellMar>
            <w:top w:w="0" w:type="dxa"/>
            <w:left w:w="0" w:type="dxa"/>
            <w:bottom w:w="0" w:type="dxa"/>
            <w:right w:w="0" w:type="dxa"/>
          </w:tblCellMar>
        </w:tblPrEx>
        <w:trPr>
          <w:trHeight w:val="1301" w:hRule="atLeas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32"/>
                <w:szCs w:val="32"/>
              </w:rPr>
            </w:pPr>
            <w:r>
              <w:rPr>
                <w:rFonts w:hint="eastAsia" w:ascii="宋体" w:hAnsi="宋体"/>
                <w:color w:val="000000"/>
                <w:kern w:val="0"/>
                <w:sz w:val="32"/>
                <w:szCs w:val="32"/>
                <w:lang w:bidi="ar"/>
              </w:rPr>
              <w:t>1</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32"/>
                <w:szCs w:val="32"/>
              </w:rPr>
            </w:pPr>
            <w:r>
              <w:rPr>
                <w:rFonts w:hint="eastAsia" w:ascii="宋体" w:hAnsi="宋体"/>
                <w:color w:val="000000"/>
                <w:kern w:val="0"/>
                <w:sz w:val="32"/>
                <w:szCs w:val="32"/>
                <w:lang w:bidi="ar"/>
              </w:rPr>
              <w:t>一等奖（2名）</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32"/>
                <w:szCs w:val="32"/>
              </w:rPr>
            </w:pPr>
            <w:r>
              <w:rPr>
                <w:rFonts w:hint="eastAsia" w:ascii="宋体" w:hAnsi="宋体"/>
                <w:color w:val="000000"/>
                <w:kern w:val="0"/>
                <w:sz w:val="32"/>
                <w:szCs w:val="32"/>
                <w:lang w:bidi="ar"/>
              </w:rPr>
              <w:t>3000/名</w:t>
            </w:r>
          </w:p>
        </w:tc>
      </w:tr>
      <w:tr>
        <w:tblPrEx>
          <w:tblCellMar>
            <w:top w:w="0" w:type="dxa"/>
            <w:left w:w="0" w:type="dxa"/>
            <w:bottom w:w="0" w:type="dxa"/>
            <w:right w:w="0" w:type="dxa"/>
          </w:tblCellMar>
        </w:tblPrEx>
        <w:trPr>
          <w:trHeight w:val="1351" w:hRule="atLeas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32"/>
                <w:szCs w:val="32"/>
              </w:rPr>
            </w:pPr>
            <w:r>
              <w:rPr>
                <w:rFonts w:hint="eastAsia" w:ascii="宋体" w:hAnsi="宋体"/>
                <w:color w:val="000000"/>
                <w:kern w:val="0"/>
                <w:sz w:val="32"/>
                <w:szCs w:val="32"/>
                <w:lang w:bidi="ar"/>
              </w:rPr>
              <w:t>2</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32"/>
                <w:szCs w:val="32"/>
              </w:rPr>
            </w:pPr>
            <w:r>
              <w:rPr>
                <w:rFonts w:hint="eastAsia" w:ascii="宋体" w:hAnsi="宋体"/>
                <w:color w:val="000000"/>
                <w:kern w:val="0"/>
                <w:sz w:val="32"/>
                <w:szCs w:val="32"/>
                <w:lang w:bidi="ar"/>
              </w:rPr>
              <w:t>二等奖（2名）</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32"/>
                <w:szCs w:val="32"/>
              </w:rPr>
            </w:pPr>
            <w:r>
              <w:rPr>
                <w:rFonts w:hint="eastAsia" w:ascii="宋体" w:hAnsi="宋体"/>
                <w:color w:val="000000"/>
                <w:kern w:val="0"/>
                <w:sz w:val="32"/>
                <w:szCs w:val="32"/>
                <w:lang w:bidi="ar"/>
              </w:rPr>
              <w:t>2000/名</w:t>
            </w:r>
          </w:p>
        </w:tc>
      </w:tr>
      <w:tr>
        <w:tblPrEx>
          <w:tblCellMar>
            <w:top w:w="0" w:type="dxa"/>
            <w:left w:w="0" w:type="dxa"/>
            <w:bottom w:w="0" w:type="dxa"/>
            <w:right w:w="0" w:type="dxa"/>
          </w:tblCellMar>
        </w:tblPrEx>
        <w:trPr>
          <w:trHeight w:val="1349" w:hRule="atLeas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32"/>
                <w:szCs w:val="32"/>
              </w:rPr>
            </w:pPr>
            <w:r>
              <w:rPr>
                <w:rFonts w:hint="eastAsia" w:ascii="宋体" w:hAnsi="宋体"/>
                <w:color w:val="000000"/>
                <w:kern w:val="0"/>
                <w:sz w:val="32"/>
                <w:szCs w:val="32"/>
                <w:lang w:bidi="ar"/>
              </w:rPr>
              <w:t>3</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32"/>
                <w:szCs w:val="32"/>
              </w:rPr>
            </w:pPr>
            <w:r>
              <w:rPr>
                <w:rFonts w:hint="eastAsia" w:ascii="宋体" w:hAnsi="宋体"/>
                <w:color w:val="000000"/>
                <w:kern w:val="0"/>
                <w:sz w:val="32"/>
                <w:szCs w:val="32"/>
                <w:lang w:bidi="ar"/>
              </w:rPr>
              <w:t>三等奖（2名）</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32"/>
                <w:szCs w:val="32"/>
              </w:rPr>
            </w:pPr>
            <w:r>
              <w:rPr>
                <w:rFonts w:hint="eastAsia" w:ascii="宋体" w:hAnsi="宋体"/>
                <w:color w:val="000000"/>
                <w:kern w:val="0"/>
                <w:sz w:val="32"/>
                <w:szCs w:val="32"/>
                <w:lang w:bidi="ar"/>
              </w:rPr>
              <w:t>1000/名</w:t>
            </w:r>
          </w:p>
        </w:tc>
      </w:tr>
      <w:tr>
        <w:tblPrEx>
          <w:tblCellMar>
            <w:top w:w="0" w:type="dxa"/>
            <w:left w:w="0" w:type="dxa"/>
            <w:bottom w:w="0" w:type="dxa"/>
            <w:right w:w="0" w:type="dxa"/>
          </w:tblCellMar>
        </w:tblPrEx>
        <w:trPr>
          <w:trHeight w:val="1459" w:hRule="atLeas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kern w:val="0"/>
                <w:sz w:val="32"/>
                <w:szCs w:val="32"/>
                <w:lang w:bidi="ar"/>
              </w:rPr>
            </w:pPr>
            <w:r>
              <w:rPr>
                <w:rFonts w:hint="eastAsia" w:ascii="宋体" w:hAnsi="宋体"/>
                <w:color w:val="000000"/>
                <w:kern w:val="0"/>
                <w:sz w:val="32"/>
                <w:szCs w:val="32"/>
                <w:lang w:bidi="ar"/>
              </w:rPr>
              <w:t>4</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kern w:val="0"/>
                <w:sz w:val="32"/>
                <w:szCs w:val="32"/>
                <w:lang w:bidi="ar"/>
              </w:rPr>
            </w:pPr>
            <w:r>
              <w:rPr>
                <w:rFonts w:ascii="宋体" w:hAnsi="宋体"/>
                <w:color w:val="000000"/>
                <w:kern w:val="0"/>
                <w:sz w:val="32"/>
                <w:szCs w:val="32"/>
                <w:lang w:bidi="ar"/>
              </w:rPr>
              <w:t>“红色物业”</w:t>
            </w:r>
            <w:r>
              <w:rPr>
                <w:rFonts w:hint="eastAsia" w:ascii="宋体" w:hAnsi="宋体"/>
                <w:color w:val="000000"/>
                <w:kern w:val="0"/>
                <w:sz w:val="32"/>
                <w:szCs w:val="32"/>
                <w:lang w:bidi="ar"/>
              </w:rPr>
              <w:t>（1个）</w:t>
            </w: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olor w:val="000000"/>
                <w:sz w:val="32"/>
                <w:szCs w:val="32"/>
              </w:rPr>
            </w:pPr>
            <w:r>
              <w:rPr>
                <w:rFonts w:hint="eastAsia" w:ascii="宋体" w:hAnsi="宋体"/>
                <w:color w:val="000000"/>
                <w:sz w:val="32"/>
                <w:szCs w:val="32"/>
              </w:rPr>
              <w:t>2</w:t>
            </w:r>
            <w:r>
              <w:rPr>
                <w:rFonts w:ascii="宋体" w:hAnsi="宋体"/>
                <w:color w:val="000000"/>
                <w:sz w:val="32"/>
                <w:szCs w:val="32"/>
              </w:rPr>
              <w:t>000</w:t>
            </w:r>
            <w:r>
              <w:rPr>
                <w:rFonts w:hint="eastAsia" w:ascii="宋体" w:hAnsi="宋体"/>
                <w:color w:val="000000"/>
                <w:sz w:val="32"/>
                <w:szCs w:val="32"/>
              </w:rPr>
              <w:t>/个</w:t>
            </w:r>
          </w:p>
        </w:tc>
      </w:tr>
    </w:tbl>
    <w:p>
      <w:pPr>
        <w:rPr>
          <w:rFonts w:ascii="宋体" w:hAnsi="宋体" w:cs="宋体"/>
          <w:color w:val="333333"/>
          <w:spacing w:val="30"/>
          <w:sz w:val="30"/>
          <w:szCs w:val="30"/>
        </w:rPr>
      </w:pPr>
      <w:r>
        <w:rPr>
          <w:rFonts w:hint="eastAsia" w:ascii="宋体" w:hAnsi="宋体" w:cs="宋体"/>
          <w:color w:val="333333"/>
          <w:spacing w:val="30"/>
          <w:sz w:val="30"/>
          <w:szCs w:val="30"/>
        </w:rPr>
        <w:t>备注：须物业制表奖励到个人，领取表由镇审核后发放，领取人为小区负责人。</w:t>
      </w:r>
    </w:p>
    <w:p>
      <w:pPr>
        <w:rPr>
          <w:rFonts w:ascii="楷体_GB2312" w:hAnsi="楷体_GB2312" w:eastAsia="楷体_GB2312" w:cs="楷体_GB2312"/>
          <w:color w:val="333333"/>
          <w:spacing w:val="30"/>
          <w:sz w:val="32"/>
          <w:szCs w:val="32"/>
        </w:rPr>
      </w:pPr>
    </w:p>
    <w:p>
      <w:pPr>
        <w:spacing w:line="360" w:lineRule="exact"/>
        <w:rPr>
          <w:rFonts w:ascii="Times New Roman" w:hAnsi="Times New Roman" w:eastAsia="仿宋_GB2312"/>
          <w:sz w:val="32"/>
          <w:szCs w:val="32"/>
        </w:rPr>
      </w:pPr>
    </w:p>
    <w:sectPr>
      <w:footerReference r:id="rId4" w:type="default"/>
      <w:pgSz w:w="11906" w:h="16838"/>
      <w:pgMar w:top="2098" w:right="1474" w:bottom="1985" w:left="1588" w:header="709" w:footer="709" w:gutter="0"/>
      <w:pgNumType w:start="8"/>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宋体"/>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eastAsia="宋体"/>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
                      <w:rPr>
                        <w:rFonts w:eastAsia="宋体"/>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eastAsia="宋体"/>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eastAsia="宋体"/>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06667"/>
    <w:multiLevelType w:val="multilevel"/>
    <w:tmpl w:val="09A0666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yYzdkNDNlNDJkY2I1Y2RkZjk4ODE5MWE3YTljZDYifQ=="/>
    <w:docVar w:name="KSO_WPS_MARK_KEY" w:val="6b2da648-d00a-439a-8f5c-0912ede9797e"/>
  </w:docVars>
  <w:rsids>
    <w:rsidRoot w:val="00A17B22"/>
    <w:rsid w:val="001F3802"/>
    <w:rsid w:val="00237ED2"/>
    <w:rsid w:val="00241FBD"/>
    <w:rsid w:val="00252475"/>
    <w:rsid w:val="00280551"/>
    <w:rsid w:val="0032635B"/>
    <w:rsid w:val="00493A19"/>
    <w:rsid w:val="004A56EF"/>
    <w:rsid w:val="004D5B32"/>
    <w:rsid w:val="004F5A7A"/>
    <w:rsid w:val="005A1C6A"/>
    <w:rsid w:val="00650480"/>
    <w:rsid w:val="008F06D2"/>
    <w:rsid w:val="00A17B22"/>
    <w:rsid w:val="00A764BA"/>
    <w:rsid w:val="00D1037E"/>
    <w:rsid w:val="00D32644"/>
    <w:rsid w:val="00E10725"/>
    <w:rsid w:val="00FC3A59"/>
    <w:rsid w:val="07F13F60"/>
    <w:rsid w:val="122225A1"/>
    <w:rsid w:val="1DAE2C2D"/>
    <w:rsid w:val="2BFA0DD4"/>
    <w:rsid w:val="307127A3"/>
    <w:rsid w:val="3CA167B9"/>
    <w:rsid w:val="3E2051EC"/>
    <w:rsid w:val="40402770"/>
    <w:rsid w:val="45D67F56"/>
    <w:rsid w:val="48012AB4"/>
    <w:rsid w:val="4D432259"/>
    <w:rsid w:val="534B6178"/>
    <w:rsid w:val="66F01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paragraph" w:customStyle="1" w:styleId="8">
    <w:name w:val="Char1 Char Char Char Char Char Char"/>
    <w:basedOn w:val="1"/>
    <w:qFormat/>
    <w:uiPriority w:val="0"/>
    <w:rPr>
      <w:rFonts w:ascii="Tahoma" w:hAnsi="Tahoma"/>
      <w:sz w:val="24"/>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页脚 Char1"/>
    <w:qFormat/>
    <w:uiPriority w:val="99"/>
    <w:rPr>
      <w:rFonts w:ascii="Times New Roman" w:hAnsi="Times New Roman" w:eastAsia="宋体" w:cs="Times New Roman"/>
      <w:kern w:val="2"/>
      <w:sz w:val="18"/>
      <w:szCs w:val="18"/>
    </w:rPr>
  </w:style>
  <w:style w:type="character" w:customStyle="1" w:styleId="12">
    <w:name w:val="批注框文本 Char"/>
    <w:basedOn w:val="6"/>
    <w:link w:val="2"/>
    <w:semiHidden/>
    <w:qFormat/>
    <w:uiPriority w:val="99"/>
    <w:rPr>
      <w:rFonts w:ascii="Calibri" w:hAnsi="Calibri"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4280</Words>
  <Characters>4397</Characters>
  <Lines>35</Lines>
  <Paragraphs>10</Paragraphs>
  <TotalTime>1</TotalTime>
  <ScaleCrop>false</ScaleCrop>
  <LinksUpToDate>false</LinksUpToDate>
  <CharactersWithSpaces>4416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2021-04-20T02:43:00Z</dcterms:created>
  <dc:creator>Administrator</dc:creator>
  <cp:lastModifiedBy>WPS_1617243092</cp:lastModifiedBy>
  <cp:lastPrinted>2021-02-25T02:16:00Z</cp:lastPrinted>
  <dcterms:modified xsi:type="dcterms:W3CDTF">2025-04-28T03:28:09Z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81CD1BFEE3DA40B2A6DC266EF9F13AF2</vt:lpwstr>
  </property>
</Properties>
</file>