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6"/>
        <w:spacing w:before="144" w:line="23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20"/>
        </w:rPr>
        <w:t>3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1315" w:right="1304" w:hanging="2"/>
        <w:spacing w:before="223" w:line="179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江苏省固体（危险）废物</w:t>
      </w:r>
      <w:r>
        <w:rPr>
          <w:rFonts w:ascii="Microsoft YaHei" w:hAnsi="Microsoft YaHei" w:eastAsia="Microsoft YaHei" w:cs="Microsoft YaHei"/>
          <w:sz w:val="52"/>
          <w:szCs w:val="52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52"/>
          <w:szCs w:val="52"/>
          <w:spacing w:val="-1"/>
        </w:rPr>
        <w:t>跨省（市）转移实施方案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67"/>
        <w:spacing w:before="100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申请单位：</w:t>
      </w:r>
      <w:r>
        <w:rPr>
          <w:rFonts w:ascii="SimSun" w:hAnsi="SimSun" w:eastAsia="SimSun" w:cs="SimSun"/>
          <w:sz w:val="31"/>
          <w:szCs w:val="31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u w:val="single" w:color="auto"/>
          <w:spacing w:val="5"/>
        </w:rPr>
        <w:t>常州市武进区漕桥晟睿机械配件厂</w:t>
      </w:r>
      <w:r>
        <w:rPr>
          <w:rFonts w:ascii="SimSun" w:hAnsi="SimSun" w:eastAsia="SimSun" w:cs="SimSun"/>
          <w:sz w:val="31"/>
          <w:szCs w:val="31"/>
          <w:u w:val="single" w:color="auto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（公章）</w:t>
      </w:r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9"/>
        <w:spacing w:before="101" w:line="22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2"/>
        </w:rPr>
        <w:t>填报日期：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u w:val="single" w:color="auto"/>
          <w:spacing w:val="2"/>
        </w:rPr>
        <w:t xml:space="preserve">                  2025.4.7            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u w:val="single" w:color="auto"/>
          <w:spacing w:val="1"/>
        </w:rPr>
        <w:t xml:space="preserve">                      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3094"/>
        <w:spacing w:before="79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3"/>
        </w:rPr>
        <w:t>江苏省环境保护厅制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ind w:left="3673"/>
        <w:spacing w:before="92" w:line="186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</w:rPr>
        <w:t>申请者声明</w:t>
      </w:r>
    </w:p>
    <w:p>
      <w:pPr>
        <w:pStyle w:val="BodyText"/>
        <w:spacing w:line="448" w:lineRule="auto"/>
        <w:rPr/>
      </w:pPr>
      <w:r/>
    </w:p>
    <w:p>
      <w:pPr>
        <w:ind w:firstLine="648"/>
        <w:spacing w:before="133" w:line="261" w:lineRule="auto"/>
        <w:jc w:val="both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我代表申请单位郑重承诺：</w:t>
      </w:r>
      <w:r>
        <w:rPr>
          <w:rFonts w:ascii="Microsoft YaHei" w:hAnsi="Microsoft YaHei" w:eastAsia="Microsoft YaHei" w:cs="Microsoft YaHei"/>
          <w:sz w:val="31"/>
          <w:szCs w:val="31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本实施方案所填资料是完整的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和真实的</w:t>
      </w:r>
      <w:r>
        <w:rPr>
          <w:rFonts w:ascii="Microsoft YaHei" w:hAnsi="Microsoft YaHei" w:eastAsia="Microsoft YaHei" w:cs="Microsoft YaHei"/>
          <w:sz w:val="31"/>
          <w:szCs w:val="31"/>
          <w:spacing w:val="-5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7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转移的危险废物名称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、类别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、代码</w:t>
      </w:r>
      <w:r>
        <w:rPr>
          <w:rFonts w:ascii="Microsoft YaHei" w:hAnsi="Microsoft YaHei" w:eastAsia="Microsoft YaHei" w:cs="Microsoft YaHei"/>
          <w:sz w:val="31"/>
          <w:szCs w:val="31"/>
          <w:spacing w:val="-5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、数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量与实际相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符</w:t>
      </w:r>
      <w:r>
        <w:rPr>
          <w:rFonts w:ascii="Microsoft YaHei" w:hAnsi="Microsoft YaHei" w:eastAsia="Microsoft YaHei" w:cs="Microsoft YaHei"/>
          <w:sz w:val="31"/>
          <w:szCs w:val="31"/>
          <w:spacing w:val="-4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。危险废物接受单位具备相应的处置利用能力和污染防治措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施</w:t>
      </w:r>
      <w:r>
        <w:rPr>
          <w:rFonts w:ascii="Microsoft YaHei" w:hAnsi="Microsoft YaHei" w:eastAsia="Microsoft YaHei" w:cs="Microsoft YaHei"/>
          <w:sz w:val="31"/>
          <w:szCs w:val="31"/>
          <w:spacing w:val="-5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。委托有资质单位进行运输并按照制定的运输路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线运输</w:t>
      </w: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，保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证转移的废物均到达接收单位进行安全处置处理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6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对转移过程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中可能产生的环境风险提出合理的控制措施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5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实行跨省（ 市</w:t>
      </w:r>
      <w:r>
        <w:rPr>
          <w:rFonts w:ascii="Microsoft YaHei" w:hAnsi="Microsoft YaHei" w:eastAsia="Microsoft YaHei" w:cs="Microsoft YaHei"/>
          <w:sz w:val="31"/>
          <w:szCs w:val="31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转移网上报告</w:t>
      </w:r>
      <w:r>
        <w:rPr>
          <w:rFonts w:ascii="Microsoft YaHei" w:hAnsi="Microsoft YaHei" w:eastAsia="Microsoft YaHei" w:cs="Microsoft YaHei"/>
          <w:sz w:val="31"/>
          <w:szCs w:val="31"/>
          <w:spacing w:val="-3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，</w:t>
      </w:r>
      <w:r>
        <w:rPr>
          <w:rFonts w:ascii="Microsoft YaHei" w:hAnsi="Microsoft YaHei" w:eastAsia="Microsoft YaHei" w:cs="Microsoft YaHei"/>
          <w:sz w:val="31"/>
          <w:szCs w:val="31"/>
          <w:spacing w:val="-7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承担转移全过程监控责任。</w:t>
      </w: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4371"/>
        <w:spacing w:before="133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法人代表签字：</w:t>
      </w:r>
    </w:p>
    <w:p>
      <w:pPr>
        <w:ind w:left="5527"/>
        <w:spacing w:before="111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    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         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日</w:t>
      </w:r>
    </w:p>
    <w:p>
      <w:pPr>
        <w:spacing w:line="206" w:lineRule="auto"/>
        <w:sectPr>
          <w:pgSz w:w="11906" w:h="16839"/>
          <w:pgMar w:top="1431" w:right="1580" w:bottom="0" w:left="1606" w:header="0" w:footer="0" w:gutter="0"/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ind w:left="541"/>
        <w:spacing w:before="22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第一部分：拟转移废物基本情况</w:t>
      </w:r>
    </w:p>
    <w:p>
      <w:pPr>
        <w:spacing w:line="17" w:lineRule="exact"/>
        <w:rPr/>
      </w:pPr>
      <w:r/>
    </w:p>
    <w:tbl>
      <w:tblPr>
        <w:tblStyle w:val="TableNormal"/>
        <w:tblW w:w="97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767"/>
        <w:gridCol w:w="2028"/>
        <w:gridCol w:w="1712"/>
        <w:gridCol w:w="2320"/>
        <w:gridCol w:w="1918"/>
      </w:tblGrid>
      <w:tr>
        <w:trPr>
          <w:trHeight w:val="579" w:hRule="atLeast"/>
        </w:trPr>
        <w:tc>
          <w:tcPr>
            <w:tcW w:w="9745" w:type="dxa"/>
            <w:vAlign w:val="top"/>
            <w:gridSpan w:val="5"/>
          </w:tcPr>
          <w:p>
            <w:pPr>
              <w:ind w:left="121"/>
              <w:spacing w:before="218" w:line="351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  <w:position w:val="2"/>
              </w:rPr>
              <w:t>表</w:t>
            </w:r>
            <w:r>
              <w:rPr>
                <w:rFonts w:ascii="SimHei" w:hAnsi="SimHei" w:eastAsia="SimHei" w:cs="SimHei"/>
                <w:sz w:val="24"/>
                <w:szCs w:val="24"/>
                <w:spacing w:val="-25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  <w:position w:val="2"/>
              </w:rPr>
              <w:t>1  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  <w:position w:val="2"/>
              </w:rPr>
              <w:t>废物产生情况</w:t>
            </w:r>
          </w:p>
        </w:tc>
      </w:tr>
      <w:tr>
        <w:trPr>
          <w:trHeight w:val="4555" w:hRule="atLeast"/>
        </w:trPr>
        <w:tc>
          <w:tcPr>
            <w:tcW w:w="9745" w:type="dxa"/>
            <w:vAlign w:val="top"/>
            <w:gridSpan w:val="5"/>
          </w:tcPr>
          <w:p>
            <w:pPr>
              <w:ind w:left="115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废物产生企业概况（企业投产时间、主要经营范围及规模）</w:t>
            </w:r>
          </w:p>
          <w:p>
            <w:pPr>
              <w:ind w:left="115" w:right="106" w:firstLine="5"/>
              <w:spacing w:before="22" w:line="2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常州市武进区漕桥晟睿机械配件厂成立于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1"/>
              </w:rPr>
              <w:t>2006-12-05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，经营者为谢富良。经营范围包含：机械零部件制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造、加工；铝制品加工。个体工商户当前经营状态为存续。</w:t>
            </w:r>
          </w:p>
        </w:tc>
      </w:tr>
      <w:tr>
        <w:trPr>
          <w:trHeight w:val="563" w:hRule="atLeast"/>
        </w:trPr>
        <w:tc>
          <w:tcPr>
            <w:tcW w:w="9745" w:type="dxa"/>
            <w:vAlign w:val="top"/>
            <w:gridSpan w:val="5"/>
          </w:tcPr>
          <w:p>
            <w:pPr>
              <w:ind w:left="115"/>
              <w:spacing w:before="19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产品及产废情况</w:t>
            </w:r>
          </w:p>
        </w:tc>
      </w:tr>
      <w:tr>
        <w:trPr>
          <w:trHeight w:val="564" w:hRule="atLeast"/>
        </w:trPr>
        <w:tc>
          <w:tcPr>
            <w:tcW w:w="5507" w:type="dxa"/>
            <w:vAlign w:val="top"/>
            <w:gridSpan w:val="3"/>
          </w:tcPr>
          <w:p>
            <w:pPr>
              <w:ind w:left="2340"/>
              <w:spacing w:before="19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产品情况</w:t>
            </w:r>
          </w:p>
        </w:tc>
        <w:tc>
          <w:tcPr>
            <w:tcW w:w="4238" w:type="dxa"/>
            <w:vAlign w:val="top"/>
            <w:gridSpan w:val="2"/>
          </w:tcPr>
          <w:p>
            <w:pPr>
              <w:ind w:left="1283"/>
              <w:spacing w:before="19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产生危险废物情况</w:t>
            </w:r>
          </w:p>
        </w:tc>
      </w:tr>
      <w:tr>
        <w:trPr>
          <w:trHeight w:val="580" w:hRule="atLeast"/>
        </w:trPr>
        <w:tc>
          <w:tcPr>
            <w:tcW w:w="1767" w:type="dxa"/>
            <w:vAlign w:val="top"/>
          </w:tcPr>
          <w:p>
            <w:pPr>
              <w:ind w:left="468"/>
              <w:spacing w:before="20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产品名称</w:t>
            </w:r>
          </w:p>
        </w:tc>
        <w:tc>
          <w:tcPr>
            <w:tcW w:w="2028" w:type="dxa"/>
            <w:vAlign w:val="top"/>
          </w:tcPr>
          <w:p>
            <w:pPr>
              <w:ind w:left="285"/>
              <w:spacing w:before="20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主要成分化学名</w:t>
            </w:r>
          </w:p>
        </w:tc>
        <w:tc>
          <w:tcPr>
            <w:tcW w:w="1712" w:type="dxa"/>
            <w:vAlign w:val="top"/>
          </w:tcPr>
          <w:p>
            <w:pPr>
              <w:ind w:left="545"/>
              <w:spacing w:before="20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年产量</w:t>
            </w:r>
          </w:p>
        </w:tc>
        <w:tc>
          <w:tcPr>
            <w:tcW w:w="2320" w:type="dxa"/>
            <w:vAlign w:val="top"/>
          </w:tcPr>
          <w:p>
            <w:pPr>
              <w:ind w:left="744"/>
              <w:spacing w:before="20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废物名称</w:t>
            </w:r>
          </w:p>
        </w:tc>
        <w:tc>
          <w:tcPr>
            <w:tcW w:w="1918" w:type="dxa"/>
            <w:vAlign w:val="top"/>
          </w:tcPr>
          <w:p>
            <w:pPr>
              <w:ind w:left="545"/>
              <w:spacing w:before="20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年产生量</w:t>
            </w:r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363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铝锭、铝棒</w:t>
            </w:r>
          </w:p>
        </w:tc>
        <w:tc>
          <w:tcPr>
            <w:tcW w:w="20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912"/>
              <w:spacing w:before="65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铝</w:t>
            </w:r>
          </w:p>
        </w:tc>
        <w:tc>
          <w:tcPr>
            <w:tcW w:w="1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467"/>
              <w:spacing w:before="65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50000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  <w:position w:val="1"/>
              </w:rPr>
              <w:t>吨</w:t>
            </w:r>
          </w:p>
        </w:tc>
        <w:tc>
          <w:tcPr>
            <w:tcW w:w="2320" w:type="dxa"/>
            <w:vAlign w:val="top"/>
          </w:tcPr>
          <w:p>
            <w:pPr>
              <w:ind w:left="852"/>
              <w:spacing w:before="65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铝灰渣</w:t>
            </w:r>
          </w:p>
        </w:tc>
        <w:tc>
          <w:tcPr>
            <w:tcW w:w="1918" w:type="dxa"/>
            <w:vAlign w:val="top"/>
          </w:tcPr>
          <w:p>
            <w:pPr>
              <w:ind w:left="677"/>
              <w:spacing w:before="3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900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吨</w:t>
            </w:r>
          </w:p>
        </w:tc>
      </w:tr>
      <w:tr>
        <w:trPr>
          <w:trHeight w:val="317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ind w:left="863"/>
              <w:spacing w:before="71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除尘灰</w:t>
            </w:r>
          </w:p>
        </w:tc>
        <w:tc>
          <w:tcPr>
            <w:tcW w:w="1918" w:type="dxa"/>
            <w:vAlign w:val="top"/>
          </w:tcPr>
          <w:p>
            <w:pPr>
              <w:ind w:left="693"/>
              <w:spacing w:before="34" w:line="27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3"/>
                <w:position w:val="1"/>
              </w:rPr>
              <w:t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  <w:position w:val="1"/>
              </w:rPr>
              <w:t>吨</w:t>
            </w:r>
          </w:p>
        </w:tc>
      </w:tr>
      <w:tr>
        <w:trPr>
          <w:trHeight w:val="317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5" w:hRule="atLeast"/>
        </w:trPr>
        <w:tc>
          <w:tcPr>
            <w:tcW w:w="17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07" w:hRule="atLeast"/>
        </w:trPr>
        <w:tc>
          <w:tcPr>
            <w:tcW w:w="17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0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18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888" w:bottom="0" w:left="12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7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745"/>
      </w:tblGrid>
      <w:tr>
        <w:trPr>
          <w:trHeight w:val="531" w:hRule="atLeast"/>
        </w:trPr>
        <w:tc>
          <w:tcPr>
            <w:tcW w:w="9745" w:type="dxa"/>
            <w:vAlign w:val="top"/>
          </w:tcPr>
          <w:p>
            <w:pPr>
              <w:ind w:left="121"/>
              <w:spacing w:before="114" w:line="359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  <w:position w:val="2"/>
              </w:rPr>
              <w:t>表</w:t>
            </w:r>
            <w:r>
              <w:rPr>
                <w:rFonts w:ascii="SimHei" w:hAnsi="SimHei" w:eastAsia="SimHei" w:cs="SimHei"/>
                <w:sz w:val="24"/>
                <w:szCs w:val="24"/>
                <w:spacing w:val="-3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  <w:position w:val="2"/>
              </w:rPr>
              <w:t>2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  <w:position w:val="2"/>
              </w:rPr>
              <w:t>与申请转移废物相关的生产工艺</w:t>
            </w:r>
          </w:p>
        </w:tc>
      </w:tr>
      <w:tr>
        <w:trPr>
          <w:trHeight w:val="2481" w:hRule="atLeast"/>
        </w:trPr>
        <w:tc>
          <w:tcPr>
            <w:tcW w:w="9745" w:type="dxa"/>
            <w:vAlign w:val="top"/>
            <w:tcBorders>
              <w:bottom w:val="nil"/>
            </w:tcBorders>
          </w:tcPr>
          <w:p>
            <w:pPr>
              <w:ind w:left="117"/>
              <w:spacing w:before="6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文字描述及工艺流程图</w:t>
            </w:r>
          </w:p>
          <w:p>
            <w:pPr>
              <w:ind w:left="115" w:right="108"/>
              <w:spacing w:before="20" w:line="2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0"/>
              </w:rPr>
              <w:t>熔炼：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熔炼采用天然气为燃料，天然气年用量为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400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万立方米，产生燃烧废气主要为：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NOX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、颗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粒物；铝材在高温熔化后产生熔炼废气颗粒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物，主要为金属氧化物；熔炼炉中产生的铝灰渣，主要为铁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等其他金属。</w:t>
            </w:r>
          </w:p>
          <w:p>
            <w:pPr>
              <w:ind w:left="116" w:right="217"/>
              <w:spacing w:before="5" w:line="2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9"/>
              </w:rPr>
              <w:t>筛灰：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铝渣在筛灰机中加热，产生熔炼废气颗粒物，主要为金属氧化物；筛灰所得的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铝回用于熔炼炉。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熔炼和筛灰工段烟（粉）尘经布袋除尘器处理会产生除尘灰。</w:t>
            </w:r>
          </w:p>
          <w:p>
            <w:pPr>
              <w:ind w:left="116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8"/>
              </w:rPr>
              <w:t>浇注成型：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把加热熔化的铝水倒入模具中，浇注成型。</w:t>
            </w:r>
          </w:p>
        </w:tc>
      </w:tr>
      <w:tr>
        <w:trPr>
          <w:trHeight w:val="4124" w:hRule="atLeast"/>
        </w:trPr>
        <w:tc>
          <w:tcPr>
            <w:tcW w:w="9745" w:type="dxa"/>
            <w:vAlign w:val="top"/>
            <w:tcBorders>
              <w:bottom w:val="nil"/>
              <w:top w:val="nil"/>
            </w:tcBorders>
          </w:tcPr>
          <w:p>
            <w:pPr>
              <w:ind w:firstLine="107"/>
              <w:spacing w:before="1" w:line="4113" w:lineRule="exact"/>
              <w:rPr/>
            </w:pPr>
            <w:r>
              <w:rPr>
                <w:position w:val="-82"/>
              </w:rPr>
              <w:drawing>
                <wp:inline distT="0" distB="0" distL="0" distR="0">
                  <wp:extent cx="6048756" cy="261112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48756" cy="261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90" w:hRule="atLeast"/>
        </w:trPr>
        <w:tc>
          <w:tcPr>
            <w:tcW w:w="9745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4"/>
        <w:rPr/>
      </w:pPr>
      <w:r/>
    </w:p>
    <w:p>
      <w:pPr>
        <w:spacing w:before="43"/>
        <w:rPr/>
      </w:pPr>
      <w:r/>
    </w:p>
    <w:tbl>
      <w:tblPr>
        <w:tblStyle w:val="TableNormal"/>
        <w:tblW w:w="91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05"/>
        <w:gridCol w:w="1768"/>
        <w:gridCol w:w="1679"/>
        <w:gridCol w:w="2203"/>
        <w:gridCol w:w="1684"/>
      </w:tblGrid>
      <w:tr>
        <w:trPr>
          <w:trHeight w:val="579" w:hRule="atLeast"/>
        </w:trPr>
        <w:tc>
          <w:tcPr>
            <w:tcW w:w="9139" w:type="dxa"/>
            <w:vAlign w:val="top"/>
            <w:gridSpan w:val="5"/>
          </w:tcPr>
          <w:p>
            <w:pPr>
              <w:ind w:left="121"/>
              <w:spacing w:before="220" w:line="348" w:lineRule="exac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  <w:position w:val="2"/>
              </w:rPr>
              <w:t>表</w:t>
            </w:r>
            <w:r>
              <w:rPr>
                <w:rFonts w:ascii="SimHei" w:hAnsi="SimHei" w:eastAsia="SimHei" w:cs="SimHei"/>
                <w:sz w:val="24"/>
                <w:szCs w:val="24"/>
                <w:spacing w:val="-33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  <w:position w:val="2"/>
              </w:rPr>
              <w:t>3      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  <w:position w:val="2"/>
              </w:rPr>
              <w:t>废物组分、特性（详见附件）</w:t>
            </w:r>
          </w:p>
        </w:tc>
      </w:tr>
      <w:tr>
        <w:trPr>
          <w:trHeight w:val="515" w:hRule="atLeast"/>
        </w:trPr>
        <w:tc>
          <w:tcPr>
            <w:tcW w:w="1805" w:type="dxa"/>
            <w:vAlign w:val="top"/>
          </w:tcPr>
          <w:p>
            <w:pPr>
              <w:ind w:left="115"/>
              <w:spacing w:before="15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废物名称</w:t>
            </w:r>
          </w:p>
        </w:tc>
        <w:tc>
          <w:tcPr>
            <w:tcW w:w="1768" w:type="dxa"/>
            <w:vAlign w:val="top"/>
          </w:tcPr>
          <w:p>
            <w:pPr>
              <w:ind w:left="112"/>
              <w:spacing w:before="15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主要组分</w:t>
            </w:r>
          </w:p>
        </w:tc>
        <w:tc>
          <w:tcPr>
            <w:tcW w:w="1679" w:type="dxa"/>
            <w:vAlign w:val="top"/>
          </w:tcPr>
          <w:p>
            <w:pPr>
              <w:ind w:left="111"/>
              <w:spacing w:before="120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相应比例（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%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）</w:t>
            </w:r>
          </w:p>
        </w:tc>
        <w:tc>
          <w:tcPr>
            <w:tcW w:w="2203" w:type="dxa"/>
            <w:vAlign w:val="top"/>
          </w:tcPr>
          <w:p>
            <w:pPr>
              <w:ind w:left="115"/>
              <w:spacing w:before="15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危害特性</w:t>
            </w:r>
          </w:p>
        </w:tc>
        <w:tc>
          <w:tcPr>
            <w:tcW w:w="1684" w:type="dxa"/>
            <w:vAlign w:val="top"/>
          </w:tcPr>
          <w:p>
            <w:pPr>
              <w:ind w:left="117"/>
              <w:spacing w:before="151" w:line="23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形态</w:t>
            </w:r>
          </w:p>
        </w:tc>
      </w:tr>
      <w:tr>
        <w:trPr>
          <w:trHeight w:val="290" w:hRule="atLeast"/>
        </w:trPr>
        <w:tc>
          <w:tcPr>
            <w:tcW w:w="18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594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铝灰渣</w:t>
            </w:r>
          </w:p>
        </w:tc>
        <w:tc>
          <w:tcPr>
            <w:tcW w:w="1768" w:type="dxa"/>
            <w:vAlign w:val="top"/>
          </w:tcPr>
          <w:p>
            <w:pPr>
              <w:ind w:left="256"/>
              <w:spacing w:before="3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铁等其他金属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3" w:type="dxa"/>
            <w:vAlign w:val="top"/>
            <w:vMerge w:val="restart"/>
            <w:tcBorders>
              <w:bottom w:val="nil"/>
            </w:tcBorders>
          </w:tcPr>
          <w:p>
            <w:pPr>
              <w:ind w:left="112"/>
              <w:spacing w:before="61"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腐蚀性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  <w:p>
            <w:pPr>
              <w:ind w:left="114"/>
              <w:spacing w:before="3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毒性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     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□</w:t>
            </w:r>
          </w:p>
          <w:p>
            <w:pPr>
              <w:ind w:left="126"/>
              <w:spacing w:before="37" w:line="23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易燃性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</w:p>
          <w:p>
            <w:pPr>
              <w:ind w:left="113"/>
              <w:spacing w:before="36" w:line="230" w:lineRule="auto"/>
              <w:rPr>
                <w:rFonts w:ascii="MS PMincho" w:hAnsi="MS PMincho" w:eastAsia="MS PMincho" w:cs="MS PMincho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反应性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     </w:t>
            </w:r>
            <w:r>
              <w:rPr>
                <w:rFonts w:ascii="MS PMincho" w:hAnsi="MS PMincho" w:eastAsia="MS PMincho" w:cs="MS PMincho"/>
                <w:sz w:val="20"/>
                <w:szCs w:val="20"/>
                <w:spacing w:val="4"/>
              </w:rPr>
              <w:t>☑</w:t>
            </w:r>
          </w:p>
          <w:p>
            <w:pPr>
              <w:ind w:left="113"/>
              <w:spacing w:before="37" w:line="22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感染性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</w:tc>
        <w:tc>
          <w:tcPr>
            <w:tcW w:w="1684" w:type="dxa"/>
            <w:vAlign w:val="top"/>
            <w:vMerge w:val="restart"/>
            <w:tcBorders>
              <w:bottom w:val="nil"/>
            </w:tcBorders>
          </w:tcPr>
          <w:p>
            <w:pPr>
              <w:ind w:left="133"/>
              <w:spacing w:before="61" w:line="229" w:lineRule="auto"/>
              <w:rPr>
                <w:rFonts w:ascii="MS PMincho" w:hAnsi="MS PMincho" w:eastAsia="MS PMincho" w:cs="MS PMincho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固态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   </w:t>
            </w:r>
            <w:r>
              <w:rPr>
                <w:rFonts w:ascii="MS PMincho" w:hAnsi="MS PMincho" w:eastAsia="MS PMincho" w:cs="MS PMincho"/>
                <w:sz w:val="20"/>
                <w:szCs w:val="20"/>
                <w:spacing w:val="-3"/>
              </w:rPr>
              <w:t>☑</w:t>
            </w:r>
          </w:p>
          <w:p>
            <w:pPr>
              <w:ind w:left="118"/>
              <w:spacing w:before="37" w:line="22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半固态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</w:p>
          <w:p>
            <w:pPr>
              <w:ind w:left="114"/>
              <w:spacing w:before="37"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粉末态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  <w:p>
            <w:pPr>
              <w:ind w:left="114"/>
              <w:spacing w:before="38" w:line="22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颗粒态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  <w:p>
            <w:pPr>
              <w:ind w:left="117"/>
              <w:spacing w:before="37" w:line="229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液态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</w:p>
        </w:tc>
      </w:tr>
      <w:tr>
        <w:trPr>
          <w:trHeight w:val="291" w:hRule="atLeast"/>
        </w:trPr>
        <w:tc>
          <w:tcPr>
            <w:tcW w:w="1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1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0" w:hRule="atLeast"/>
        </w:trPr>
        <w:tc>
          <w:tcPr>
            <w:tcW w:w="1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91" w:hRule="atLeast"/>
        </w:trPr>
        <w:tc>
          <w:tcPr>
            <w:tcW w:w="18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9" w:hRule="atLeast"/>
        </w:trPr>
        <w:tc>
          <w:tcPr>
            <w:tcW w:w="1805" w:type="dxa"/>
            <w:vAlign w:val="top"/>
          </w:tcPr>
          <w:p>
            <w:pPr>
              <w:ind w:left="605"/>
              <w:spacing w:before="5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除尘灰</w:t>
            </w:r>
          </w:p>
        </w:tc>
        <w:tc>
          <w:tcPr>
            <w:tcW w:w="1768" w:type="dxa"/>
            <w:vAlign w:val="top"/>
          </w:tcPr>
          <w:p>
            <w:pPr>
              <w:ind w:left="783"/>
              <w:spacing w:before="43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铝</w:t>
            </w:r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03" w:type="dxa"/>
            <w:vAlign w:val="top"/>
          </w:tcPr>
          <w:p>
            <w:pPr>
              <w:ind w:left="112"/>
              <w:spacing w:before="55"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腐蚀性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</w:p>
        </w:tc>
        <w:tc>
          <w:tcPr>
            <w:tcW w:w="1684" w:type="dxa"/>
            <w:vAlign w:val="top"/>
          </w:tcPr>
          <w:p>
            <w:pPr>
              <w:ind w:left="133"/>
              <w:spacing w:before="55" w:line="229" w:lineRule="auto"/>
              <w:rPr>
                <w:rFonts w:ascii="MS PMincho" w:hAnsi="MS PMincho" w:eastAsia="MS PMincho" w:cs="MS PMincho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固态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     </w:t>
            </w:r>
            <w:r>
              <w:rPr>
                <w:rFonts w:ascii="MS PMincho" w:hAnsi="MS PMincho" w:eastAsia="MS PMincho" w:cs="MS PMincho"/>
                <w:sz w:val="20"/>
                <w:szCs w:val="20"/>
                <w:spacing w:val="-3"/>
              </w:rPr>
              <w:t>☑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888" w:bottom="0" w:left="12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05"/>
        <w:gridCol w:w="1768"/>
        <w:gridCol w:w="1679"/>
        <w:gridCol w:w="1212"/>
        <w:gridCol w:w="991"/>
        <w:gridCol w:w="963"/>
        <w:gridCol w:w="721"/>
      </w:tblGrid>
      <w:tr>
        <w:trPr>
          <w:trHeight w:val="321" w:hRule="atLeast"/>
        </w:trPr>
        <w:tc>
          <w:tcPr>
            <w:tcW w:w="18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ind w:left="114"/>
              <w:spacing w:before="4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毒性</w:t>
            </w:r>
          </w:p>
          <w:p>
            <w:pPr>
              <w:ind w:left="126"/>
              <w:spacing w:before="37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易燃性</w:t>
            </w:r>
          </w:p>
          <w:p>
            <w:pPr>
              <w:ind w:left="113"/>
              <w:spacing w:before="36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反应性</w:t>
            </w:r>
          </w:p>
          <w:p>
            <w:pPr>
              <w:ind w:left="113"/>
              <w:spacing w:before="37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感染性</w:t>
            </w:r>
          </w:p>
        </w:tc>
        <w:tc>
          <w:tcPr>
            <w:tcW w:w="991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ind w:left="488"/>
              <w:spacing w:before="44" w:line="264" w:lineRule="exact"/>
              <w:rPr>
                <w:rFonts w:ascii="MS PMincho" w:hAnsi="MS PMincho" w:eastAsia="MS PMincho" w:cs="MS PMincho"/>
                <w:sz w:val="20"/>
                <w:szCs w:val="20"/>
              </w:rPr>
            </w:pPr>
            <w:r>
              <w:rPr>
                <w:rFonts w:ascii="MS PMincho" w:hAnsi="MS PMincho" w:eastAsia="MS PMincho" w:cs="MS PMincho"/>
                <w:sz w:val="20"/>
                <w:szCs w:val="20"/>
                <w:position w:val="1"/>
              </w:rPr>
              <w:t>☑</w:t>
            </w:r>
          </w:p>
          <w:p>
            <w:pPr>
              <w:ind w:left="486"/>
              <w:spacing w:before="102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  <w:p>
            <w:pPr>
              <w:ind w:left="488"/>
              <w:spacing w:before="62" w:line="265" w:lineRule="exact"/>
              <w:rPr>
                <w:rFonts w:ascii="MS PMincho" w:hAnsi="MS PMincho" w:eastAsia="MS PMincho" w:cs="MS PMincho"/>
                <w:sz w:val="20"/>
                <w:szCs w:val="20"/>
              </w:rPr>
            </w:pPr>
            <w:r>
              <w:rPr>
                <w:rFonts w:ascii="MS PMincho" w:hAnsi="MS PMincho" w:eastAsia="MS PMincho" w:cs="MS PMincho"/>
                <w:sz w:val="20"/>
                <w:szCs w:val="20"/>
                <w:position w:val="1"/>
              </w:rPr>
              <w:t>☑</w:t>
            </w:r>
          </w:p>
          <w:p>
            <w:pPr>
              <w:ind w:left="486"/>
              <w:spacing w:before="102" w:line="14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63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ind w:left="118"/>
              <w:spacing w:before="44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半固态</w:t>
            </w:r>
          </w:p>
          <w:p>
            <w:pPr>
              <w:ind w:left="114"/>
              <w:spacing w:before="3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粉末态</w:t>
            </w:r>
          </w:p>
          <w:p>
            <w:pPr>
              <w:ind w:left="116" w:right="224" w:hanging="2"/>
              <w:spacing w:before="38" w:line="26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颗粒态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液态</w:t>
            </w:r>
          </w:p>
        </w:tc>
        <w:tc>
          <w:tcPr>
            <w:tcW w:w="721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ind w:left="315"/>
              <w:spacing w:before="126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  <w:p>
            <w:pPr>
              <w:ind w:left="315"/>
              <w:spacing w:before="144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  <w:p>
            <w:pPr>
              <w:ind w:left="315"/>
              <w:spacing w:before="144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  <w:p>
            <w:pPr>
              <w:ind w:left="315"/>
              <w:spacing w:before="144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</w:tr>
      <w:tr>
        <w:trPr>
          <w:trHeight w:val="316" w:hRule="atLeast"/>
        </w:trPr>
        <w:tc>
          <w:tcPr>
            <w:tcW w:w="1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3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2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8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3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21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8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91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63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21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84" w:hRule="atLeast"/>
        </w:trPr>
        <w:tc>
          <w:tcPr>
            <w:tcW w:w="1805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nil"/>
              <w:right w:val="nil"/>
            </w:tcBorders>
          </w:tcPr>
          <w:p>
            <w:pPr>
              <w:ind w:left="112"/>
              <w:spacing w:before="42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腐蚀性</w:t>
            </w:r>
          </w:p>
        </w:tc>
        <w:tc>
          <w:tcPr>
            <w:tcW w:w="991" w:type="dxa"/>
            <w:vAlign w:val="top"/>
            <w:tcBorders>
              <w:left w:val="nil"/>
              <w:bottom w:val="nil"/>
            </w:tcBorders>
          </w:tcPr>
          <w:p>
            <w:pPr>
              <w:ind w:left="486"/>
              <w:spacing w:before="123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63" w:type="dxa"/>
            <w:vAlign w:val="top"/>
            <w:tcBorders>
              <w:bottom w:val="nil"/>
              <w:right w:val="nil"/>
            </w:tcBorders>
          </w:tcPr>
          <w:p>
            <w:pPr>
              <w:ind w:left="133"/>
              <w:spacing w:before="42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固态</w:t>
            </w:r>
          </w:p>
        </w:tc>
        <w:tc>
          <w:tcPr>
            <w:tcW w:w="721" w:type="dxa"/>
            <w:vAlign w:val="top"/>
            <w:tcBorders>
              <w:left w:val="nil"/>
              <w:bottom w:val="nil"/>
            </w:tcBorders>
          </w:tcPr>
          <w:p>
            <w:pPr>
              <w:ind w:left="315"/>
              <w:spacing w:before="123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</w:tr>
      <w:tr>
        <w:trPr>
          <w:trHeight w:val="286" w:hRule="atLeast"/>
        </w:trPr>
        <w:tc>
          <w:tcPr>
            <w:tcW w:w="1805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ind w:left="114"/>
              <w:spacing w:before="43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毒性</w:t>
            </w:r>
          </w:p>
        </w:tc>
        <w:tc>
          <w:tcPr>
            <w:tcW w:w="991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486"/>
              <w:spacing w:before="125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63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ind w:left="118"/>
              <w:spacing w:before="43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半固态</w:t>
            </w:r>
          </w:p>
        </w:tc>
        <w:tc>
          <w:tcPr>
            <w:tcW w:w="721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15"/>
              <w:spacing w:before="125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</w:tr>
      <w:tr>
        <w:trPr>
          <w:trHeight w:val="287" w:hRule="atLeast"/>
        </w:trPr>
        <w:tc>
          <w:tcPr>
            <w:tcW w:w="1805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ind w:left="126"/>
              <w:spacing w:before="45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易燃性</w:t>
            </w:r>
          </w:p>
        </w:tc>
        <w:tc>
          <w:tcPr>
            <w:tcW w:w="991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486"/>
              <w:spacing w:before="127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63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ind w:left="114"/>
              <w:spacing w:before="45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粉末态</w:t>
            </w:r>
          </w:p>
        </w:tc>
        <w:tc>
          <w:tcPr>
            <w:tcW w:w="721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15"/>
              <w:spacing w:before="127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1805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ind w:left="113"/>
              <w:spacing w:before="44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反应性</w:t>
            </w:r>
          </w:p>
        </w:tc>
        <w:tc>
          <w:tcPr>
            <w:tcW w:w="991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486"/>
              <w:spacing w:before="125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63" w:type="dxa"/>
            <w:vAlign w:val="top"/>
            <w:tcBorders>
              <w:bottom w:val="nil"/>
              <w:right w:val="nil"/>
              <w:top w:val="nil"/>
            </w:tcBorders>
          </w:tcPr>
          <w:p>
            <w:pPr>
              <w:ind w:left="114"/>
              <w:spacing w:before="44" w:line="21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颗粒态</w:t>
            </w:r>
          </w:p>
        </w:tc>
        <w:tc>
          <w:tcPr>
            <w:tcW w:w="721" w:type="dxa"/>
            <w:vAlign w:val="top"/>
            <w:tcBorders>
              <w:left w:val="nil"/>
              <w:bottom w:val="nil"/>
              <w:top w:val="nil"/>
            </w:tcBorders>
          </w:tcPr>
          <w:p>
            <w:pPr>
              <w:ind w:left="315"/>
              <w:spacing w:before="125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</w:tr>
      <w:tr>
        <w:trPr>
          <w:trHeight w:val="297" w:hRule="atLeast"/>
        </w:trPr>
        <w:tc>
          <w:tcPr>
            <w:tcW w:w="1805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68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79" w:type="dxa"/>
            <w:vAlign w:val="top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2" w:type="dxa"/>
            <w:vAlign w:val="top"/>
            <w:tcBorders>
              <w:right w:val="nil"/>
              <w:top w:val="nil"/>
            </w:tcBorders>
          </w:tcPr>
          <w:p>
            <w:pPr>
              <w:ind w:left="113"/>
              <w:spacing w:before="4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感染性</w:t>
            </w:r>
          </w:p>
        </w:tc>
        <w:tc>
          <w:tcPr>
            <w:tcW w:w="991" w:type="dxa"/>
            <w:vAlign w:val="top"/>
            <w:tcBorders>
              <w:left w:val="nil"/>
              <w:top w:val="nil"/>
            </w:tcBorders>
          </w:tcPr>
          <w:p>
            <w:pPr>
              <w:ind w:left="486"/>
              <w:spacing w:before="127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  <w:tc>
          <w:tcPr>
            <w:tcW w:w="963" w:type="dxa"/>
            <w:vAlign w:val="top"/>
            <w:tcBorders>
              <w:right w:val="nil"/>
              <w:top w:val="nil"/>
            </w:tcBorders>
          </w:tcPr>
          <w:p>
            <w:pPr>
              <w:ind w:left="117"/>
              <w:spacing w:before="45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液态</w:t>
            </w:r>
          </w:p>
        </w:tc>
        <w:tc>
          <w:tcPr>
            <w:tcW w:w="721" w:type="dxa"/>
            <w:vAlign w:val="top"/>
            <w:tcBorders>
              <w:left w:val="nil"/>
              <w:top w:val="nil"/>
            </w:tcBorders>
          </w:tcPr>
          <w:p>
            <w:pPr>
              <w:ind w:left="315"/>
              <w:spacing w:before="127" w:line="14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</w:p>
        </w:tc>
      </w:tr>
    </w:tbl>
    <w:p>
      <w:pPr>
        <w:ind w:left="541"/>
        <w:spacing w:before="216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第二部分：废物包装、运输情况</w:t>
      </w:r>
    </w:p>
    <w:p>
      <w:pPr>
        <w:spacing w:line="16" w:lineRule="exact"/>
        <w:rPr/>
      </w:pPr>
      <w:r/>
    </w:p>
    <w:tbl>
      <w:tblPr>
        <w:tblStyle w:val="TableNormal"/>
        <w:tblW w:w="92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0"/>
        <w:gridCol w:w="1814"/>
        <w:gridCol w:w="2082"/>
        <w:gridCol w:w="1420"/>
        <w:gridCol w:w="1378"/>
        <w:gridCol w:w="1720"/>
      </w:tblGrid>
      <w:tr>
        <w:trPr>
          <w:trHeight w:val="579" w:hRule="atLeast"/>
        </w:trPr>
        <w:tc>
          <w:tcPr>
            <w:tcW w:w="9244" w:type="dxa"/>
            <w:vAlign w:val="top"/>
            <w:gridSpan w:val="6"/>
          </w:tcPr>
          <w:p>
            <w:pPr>
              <w:ind w:left="115"/>
              <w:spacing w:before="28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表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3"/>
              </w:rPr>
              <w:t>1    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3"/>
              </w:rPr>
              <w:t>废物包装情况</w:t>
            </w:r>
          </w:p>
        </w:tc>
      </w:tr>
      <w:tr>
        <w:trPr>
          <w:trHeight w:val="574" w:hRule="atLeast"/>
        </w:trPr>
        <w:tc>
          <w:tcPr>
            <w:tcW w:w="830" w:type="dxa"/>
            <w:vAlign w:val="top"/>
          </w:tcPr>
          <w:p>
            <w:pPr>
              <w:ind w:left="211"/>
              <w:spacing w:before="277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序号</w:t>
            </w:r>
          </w:p>
        </w:tc>
        <w:tc>
          <w:tcPr>
            <w:tcW w:w="1814" w:type="dxa"/>
            <w:vAlign w:val="top"/>
          </w:tcPr>
          <w:p>
            <w:pPr>
              <w:ind w:left="489"/>
              <w:spacing w:before="27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废物名称</w:t>
            </w:r>
          </w:p>
        </w:tc>
        <w:tc>
          <w:tcPr>
            <w:tcW w:w="2082" w:type="dxa"/>
            <w:vAlign w:val="top"/>
          </w:tcPr>
          <w:p>
            <w:pPr>
              <w:ind w:left="111"/>
              <w:spacing w:before="27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包装物（容器）名称</w:t>
            </w:r>
          </w:p>
        </w:tc>
        <w:tc>
          <w:tcPr>
            <w:tcW w:w="1420" w:type="dxa"/>
            <w:vAlign w:val="top"/>
          </w:tcPr>
          <w:p>
            <w:pPr>
              <w:ind w:left="506"/>
              <w:spacing w:before="2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材质</w:t>
            </w:r>
          </w:p>
        </w:tc>
        <w:tc>
          <w:tcPr>
            <w:tcW w:w="1378" w:type="dxa"/>
            <w:vAlign w:val="top"/>
          </w:tcPr>
          <w:p>
            <w:pPr>
              <w:ind w:left="488"/>
              <w:spacing w:before="27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容积</w:t>
            </w:r>
          </w:p>
        </w:tc>
        <w:tc>
          <w:tcPr>
            <w:tcW w:w="1720" w:type="dxa"/>
            <w:vAlign w:val="top"/>
          </w:tcPr>
          <w:p>
            <w:pPr>
              <w:ind w:left="133"/>
              <w:spacing w:before="278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是否有危废标签</w:t>
            </w:r>
          </w:p>
        </w:tc>
      </w:tr>
      <w:tr>
        <w:trPr>
          <w:trHeight w:val="504" w:hRule="atLeast"/>
        </w:trPr>
        <w:tc>
          <w:tcPr>
            <w:tcW w:w="830" w:type="dxa"/>
            <w:vAlign w:val="top"/>
          </w:tcPr>
          <w:p>
            <w:pPr>
              <w:ind w:left="384"/>
              <w:spacing w:before="246" w:line="24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1</w:t>
            </w:r>
          </w:p>
        </w:tc>
        <w:tc>
          <w:tcPr>
            <w:tcW w:w="1814" w:type="dxa"/>
            <w:vAlign w:val="top"/>
          </w:tcPr>
          <w:p>
            <w:pPr>
              <w:ind w:left="597"/>
              <w:spacing w:before="277" w:line="2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铝灰渣</w:t>
            </w:r>
          </w:p>
        </w:tc>
        <w:tc>
          <w:tcPr>
            <w:tcW w:w="2082" w:type="dxa"/>
            <w:vAlign w:val="top"/>
          </w:tcPr>
          <w:p>
            <w:pPr>
              <w:ind w:left="731"/>
              <w:spacing w:before="277" w:line="2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包装袋</w:t>
            </w:r>
          </w:p>
        </w:tc>
        <w:tc>
          <w:tcPr>
            <w:tcW w:w="1420" w:type="dxa"/>
            <w:vAlign w:val="top"/>
          </w:tcPr>
          <w:p>
            <w:pPr>
              <w:ind w:left="510"/>
              <w:spacing w:before="277" w:line="2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塑料</w:t>
            </w:r>
          </w:p>
        </w:tc>
        <w:tc>
          <w:tcPr>
            <w:tcW w:w="1378" w:type="dxa"/>
            <w:vAlign w:val="top"/>
          </w:tcPr>
          <w:p>
            <w:pPr>
              <w:ind w:left="278"/>
              <w:spacing w:before="246" w:line="248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200-800L</w:t>
            </w:r>
          </w:p>
        </w:tc>
        <w:tc>
          <w:tcPr>
            <w:tcW w:w="1720" w:type="dxa"/>
            <w:vAlign w:val="top"/>
          </w:tcPr>
          <w:p>
            <w:pPr>
              <w:ind w:left="764"/>
              <w:spacing w:before="277" w:line="20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504" w:hRule="atLeast"/>
        </w:trPr>
        <w:tc>
          <w:tcPr>
            <w:tcW w:w="830" w:type="dxa"/>
            <w:vAlign w:val="top"/>
          </w:tcPr>
          <w:p>
            <w:pPr>
              <w:ind w:left="364"/>
              <w:spacing w:before="248" w:line="24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2</w:t>
            </w:r>
          </w:p>
        </w:tc>
        <w:tc>
          <w:tcPr>
            <w:tcW w:w="1814" w:type="dxa"/>
            <w:vAlign w:val="top"/>
          </w:tcPr>
          <w:p>
            <w:pPr>
              <w:ind w:left="608"/>
              <w:spacing w:before="279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除尘灰</w:t>
            </w:r>
          </w:p>
        </w:tc>
        <w:tc>
          <w:tcPr>
            <w:tcW w:w="2082" w:type="dxa"/>
            <w:vAlign w:val="top"/>
          </w:tcPr>
          <w:p>
            <w:pPr>
              <w:ind w:left="731"/>
              <w:spacing w:before="279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包装袋</w:t>
            </w:r>
          </w:p>
        </w:tc>
        <w:tc>
          <w:tcPr>
            <w:tcW w:w="1420" w:type="dxa"/>
            <w:vAlign w:val="top"/>
          </w:tcPr>
          <w:p>
            <w:pPr>
              <w:ind w:left="510"/>
              <w:spacing w:before="279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塑料</w:t>
            </w:r>
          </w:p>
        </w:tc>
        <w:tc>
          <w:tcPr>
            <w:tcW w:w="1378" w:type="dxa"/>
            <w:vAlign w:val="top"/>
          </w:tcPr>
          <w:p>
            <w:pPr>
              <w:ind w:left="278"/>
              <w:spacing w:before="248" w:line="246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200-800L</w:t>
            </w:r>
          </w:p>
        </w:tc>
        <w:tc>
          <w:tcPr>
            <w:tcW w:w="1720" w:type="dxa"/>
            <w:vAlign w:val="top"/>
          </w:tcPr>
          <w:p>
            <w:pPr>
              <w:ind w:left="764"/>
              <w:spacing w:before="279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是</w:t>
            </w:r>
          </w:p>
        </w:tc>
      </w:tr>
      <w:tr>
        <w:trPr>
          <w:trHeight w:val="504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5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8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before="44"/>
        <w:rPr/>
      </w:pPr>
      <w:r/>
    </w:p>
    <w:p>
      <w:pPr>
        <w:spacing w:before="43"/>
        <w:rPr/>
      </w:pPr>
      <w:r/>
    </w:p>
    <w:tbl>
      <w:tblPr>
        <w:tblStyle w:val="TableNormal"/>
        <w:tblW w:w="92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44"/>
      </w:tblGrid>
      <w:tr>
        <w:trPr>
          <w:trHeight w:val="639" w:hRule="atLeast"/>
        </w:trPr>
        <w:tc>
          <w:tcPr>
            <w:tcW w:w="9244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1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表</w:t>
            </w:r>
            <w:r>
              <w:rPr>
                <w:rFonts w:ascii="SimSun" w:hAnsi="SimSun" w:eastAsia="SimSun" w:cs="SimSun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4"/>
              </w:rPr>
              <w:t>2  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废物运输情况</w:t>
            </w:r>
          </w:p>
        </w:tc>
      </w:tr>
      <w:tr>
        <w:trPr>
          <w:trHeight w:val="2851" w:hRule="atLeast"/>
        </w:trPr>
        <w:tc>
          <w:tcPr>
            <w:tcW w:w="9244" w:type="dxa"/>
            <w:vAlign w:val="top"/>
          </w:tcPr>
          <w:p>
            <w:pPr>
              <w:ind w:left="115"/>
              <w:spacing w:before="2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运输是否符合交管部门运输相关规定（文字描述）</w:t>
            </w:r>
          </w:p>
          <w:p>
            <w:pPr>
              <w:ind w:left="115" w:right="98"/>
              <w:spacing w:before="293" w:line="46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委托河南利泽运输有限公司进行危废运输，道路运输许可证号：豫交运管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许可郑字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410101025364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运输车辆安装动态，监控定位系统，实时报送运输路线，严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格按规定运输路线行驶，严格遵守禁止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在居民区和人口密集区停留，禁止与其他货物混合运输规定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；装车时应严格按照《危险废物规范化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管理》要求进行操作， 做好防扬散、防泄漏等保护措施。</w:t>
            </w:r>
          </w:p>
        </w:tc>
      </w:tr>
      <w:tr>
        <w:trPr>
          <w:trHeight w:val="577" w:hRule="atLeast"/>
        </w:trPr>
        <w:tc>
          <w:tcPr>
            <w:tcW w:w="9244" w:type="dxa"/>
            <w:vAlign w:val="top"/>
          </w:tcPr>
          <w:p>
            <w:pPr>
              <w:ind w:left="115"/>
              <w:spacing w:before="282" w:line="228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运输方式：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道路 </w:t>
            </w:r>
            <w:r>
              <w:rPr>
                <w:rFonts w:ascii="MS PMincho" w:hAnsi="MS PMincho" w:eastAsia="MS PMincho" w:cs="MS PMincho"/>
                <w:sz w:val="20"/>
                <w:szCs w:val="20"/>
                <w:spacing w:val="3"/>
              </w:rPr>
              <w:t>☑           </w:t>
            </w:r>
            <w:r>
              <w:rPr>
                <w:rFonts w:ascii="MS PMincho" w:hAnsi="MS PMincho" w:eastAsia="MS PMincho" w:cs="MS PMincho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铁路</w:t>
            </w:r>
            <w:r>
              <w:rPr>
                <w:rFonts w:ascii="SimSun" w:hAnsi="SimSun" w:eastAsia="SimSun" w:cs="SimSun"/>
                <w:sz w:val="20"/>
                <w:szCs w:val="20"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 xml:space="preserve">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水路</w:t>
            </w:r>
            <w:r>
              <w:rPr>
                <w:rFonts w:ascii="SimSun" w:hAnsi="SimSun" w:eastAsia="SimSun" w:cs="SimSun"/>
                <w:sz w:val="20"/>
                <w:szCs w:val="20"/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89" w:bottom="0" w:left="12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4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244"/>
      </w:tblGrid>
      <w:tr>
        <w:trPr>
          <w:trHeight w:val="11719" w:hRule="atLeast"/>
        </w:trPr>
        <w:tc>
          <w:tcPr>
            <w:tcW w:w="9244" w:type="dxa"/>
            <w:vAlign w:val="top"/>
          </w:tcPr>
          <w:p>
            <w:pPr>
              <w:ind w:left="115"/>
              <w:spacing w:before="281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运输路线文字描述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：（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写明途经省、市、县（区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），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附路线图）</w:t>
            </w:r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1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起点：常州市武进区漕桥晟睿机械配件厂</w:t>
            </w:r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19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终点：巩义市富中冶金材料厂</w:t>
            </w:r>
          </w:p>
          <w:p>
            <w:pPr>
              <w:ind w:left="115"/>
              <w:spacing w:before="291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"/>
              </w:rPr>
              <w:t>全程：约</w:t>
            </w:r>
            <w:r>
              <w:rPr>
                <w:rFonts w:ascii="SimSun" w:hAnsi="SimSun" w:eastAsia="SimSun" w:cs="SimSun"/>
                <w:sz w:val="20"/>
                <w:szCs w:val="20"/>
                <w:spacing w:val="28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  <w:position w:val="1"/>
              </w:rPr>
              <w:t>875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  <w:position w:val="1"/>
              </w:rPr>
              <w:t>公里</w:t>
            </w:r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15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途经：江苏省（常州市、无锡市、镇江市、南京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市）安徽省（滁州市、蚌埠市、亳州市、阜阳市）</w:t>
            </w:r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1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河南省（周口市、漯河市、许昌市、郑州市）</w:t>
            </w:r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19" w:right="38" w:hanging="2"/>
              <w:spacing w:before="66" w:line="40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路线：渎边线、沪常高速、江宜高速、沪武高速、宁宣高速、南京绕城高速、沪蓉高速、沪陕高速、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天天高速、宁洛高速、京港澳高速、许广高速、盐洛高速、焦桐高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速、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235 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省道</w:t>
            </w:r>
          </w:p>
          <w:p>
            <w:pPr>
              <w:ind w:firstLine="107"/>
              <w:spacing w:line="7130" w:lineRule="exact"/>
              <w:rPr/>
            </w:pPr>
            <w:r>
              <w:rPr>
                <w:position w:val="-142"/>
              </w:rPr>
              <w:drawing>
                <wp:inline distT="0" distB="0" distL="0" distR="0">
                  <wp:extent cx="5730240" cy="4527803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30240" cy="452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389" w:bottom="0" w:left="12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3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49"/>
      </w:tblGrid>
      <w:tr>
        <w:trPr>
          <w:trHeight w:val="622" w:hRule="atLeast"/>
        </w:trPr>
        <w:tc>
          <w:tcPr>
            <w:tcW w:w="9349" w:type="dxa"/>
            <w:vAlign w:val="top"/>
          </w:tcPr>
          <w:p>
            <w:pPr>
              <w:ind w:left="115"/>
              <w:spacing w:before="301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表</w:t>
            </w:r>
            <w:r>
              <w:rPr>
                <w:rFonts w:ascii="SimSun" w:hAnsi="SimSun" w:eastAsia="SimSun" w:cs="SimSun"/>
                <w:sz w:val="20"/>
                <w:szCs w:val="20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6"/>
              </w:rPr>
              <w:t>3  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转移的污染防治、安全防护和应急措施</w:t>
            </w:r>
          </w:p>
        </w:tc>
      </w:tr>
      <w:tr>
        <w:trPr>
          <w:trHeight w:val="4192" w:hRule="atLeast"/>
        </w:trPr>
        <w:tc>
          <w:tcPr>
            <w:tcW w:w="9349" w:type="dxa"/>
            <w:vAlign w:val="top"/>
          </w:tcPr>
          <w:p>
            <w:pPr>
              <w:ind w:left="117" w:right="2787" w:firstLine="14"/>
              <w:spacing w:before="22" w:line="2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运输过程中的污染防治措施以及按照要求配备的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相应污染防治设备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污染防治措施：</w:t>
            </w:r>
          </w:p>
          <w:p>
            <w:pPr>
              <w:ind w:left="132"/>
              <w:spacing w:before="33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1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1"/>
              </w:rPr>
              <w:t>、运输时应当采取密闭、遮盖、捆扎等措施防止扬散、雨淋；</w:t>
            </w:r>
          </w:p>
          <w:p>
            <w:pPr>
              <w:ind w:left="112"/>
              <w:spacing w:before="37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6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1"/>
              </w:rPr>
              <w:t>、对运输危险废物的设施和设备应当加强管理和维护，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保证其正常运行和使用；</w:t>
            </w:r>
          </w:p>
          <w:p>
            <w:pPr>
              <w:ind w:left="116"/>
              <w:spacing w:before="37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  <w:position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  <w:position w:val="1"/>
              </w:rPr>
              <w:t>、严禁混合运输不同的危险废物；</w:t>
            </w:r>
          </w:p>
          <w:p>
            <w:pPr>
              <w:ind w:left="115" w:right="108" w:hanging="4"/>
              <w:spacing w:before="37" w:line="2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、转移危险废物时，严格按照规定填危险废物转移联单，并向危险废物移出地和接受地的县级以上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地方人民政府环境保护行政主管部门报告；</w:t>
            </w:r>
          </w:p>
          <w:p>
            <w:pPr>
              <w:ind w:left="117"/>
              <w:spacing w:before="66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、运输危险废物的人员，定期参加专业培训，经考核合格后上岗；</w:t>
            </w:r>
          </w:p>
          <w:p>
            <w:pPr>
              <w:ind w:left="117" w:right="173" w:hanging="1"/>
              <w:spacing w:before="34" w:line="27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、发生泄漏时，污泥被带入外环境，立即用应急设施如扫把、簸箕、抹布、消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防砂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(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等对泄漏的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危废及废水进行清理及堵截，并妥善收集待处置；</w:t>
            </w:r>
          </w:p>
          <w:p>
            <w:pPr>
              <w:ind w:left="117"/>
              <w:spacing w:before="6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污染防治设备主要有：雨布、铁锹、消防沙、抹布、应急收集桶等。</w:t>
            </w:r>
          </w:p>
        </w:tc>
      </w:tr>
      <w:tr>
        <w:trPr>
          <w:trHeight w:val="3734" w:hRule="atLeast"/>
        </w:trPr>
        <w:tc>
          <w:tcPr>
            <w:tcW w:w="9349" w:type="dxa"/>
            <w:vAlign w:val="top"/>
          </w:tcPr>
          <w:p>
            <w:pPr>
              <w:ind w:left="119" w:right="2787" w:hanging="7"/>
              <w:spacing w:before="247" w:line="30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运输过程中的安全防护措施以及按照要求配备的相应安全防护设备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安全防护措施：</w:t>
            </w:r>
          </w:p>
          <w:p>
            <w:pPr>
              <w:ind w:left="132"/>
              <w:spacing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2"/>
              </w:rPr>
              <w:t>1)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2"/>
              </w:rPr>
              <w:t>个体防护措施。驾押人员应做好个体防护，以确保自身安全；</w:t>
            </w:r>
          </w:p>
          <w:p>
            <w:pPr>
              <w:ind w:left="112"/>
              <w:spacing w:before="37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  <w:position w:val="2"/>
              </w:rPr>
              <w:t>2)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  <w:position w:val="2"/>
              </w:rPr>
              <w:t>初期应急处置，事故报告后，驾驶和押运人员应根据货物特性，采取相应的措施；</w:t>
            </w:r>
          </w:p>
          <w:p>
            <w:pPr>
              <w:ind w:left="116"/>
              <w:spacing w:before="37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2"/>
              </w:rPr>
              <w:t>3)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2"/>
              </w:rPr>
              <w:t>设置警告标志、警戒带等；</w:t>
            </w:r>
          </w:p>
          <w:p>
            <w:pPr>
              <w:ind w:left="120" w:right="245" w:hanging="9"/>
              <w:spacing w:before="37" w:line="27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0"/>
              </w:rPr>
              <w:t>4)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不得违法破坏现场，如遇爆炸、火灾、中毒等危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及人身安全时，驾押人员应劝阻和协助疏导，避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免无关人员误入；</w:t>
            </w:r>
          </w:p>
          <w:p>
            <w:pPr>
              <w:ind w:left="117"/>
              <w:spacing w:before="33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  <w:position w:val="2"/>
              </w:rPr>
              <w:t>5)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  <w:position w:val="2"/>
              </w:rPr>
              <w:t>配合政府主管部门开展应急救援；</w:t>
            </w:r>
          </w:p>
          <w:p>
            <w:pPr>
              <w:ind w:left="120"/>
              <w:spacing w:before="69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安全防护设备：防护服、防护手套、防毒面具、灭火器、消防沙、警示带、警告标示等。</w:t>
            </w:r>
          </w:p>
        </w:tc>
      </w:tr>
      <w:tr>
        <w:trPr>
          <w:trHeight w:val="4823" w:hRule="atLeast"/>
        </w:trPr>
        <w:tc>
          <w:tcPr>
            <w:tcW w:w="9349" w:type="dxa"/>
            <w:vAlign w:val="top"/>
          </w:tcPr>
          <w:p>
            <w:pPr>
              <w:ind w:left="116"/>
              <w:spacing w:before="249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、运输过程中的应急预案以及按照要求配备的相应应急设备</w:t>
            </w:r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15" w:right="109"/>
              <w:spacing w:before="65" w:line="52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在运输过程中如果发生运输事故，立即启动应急预案，及时停车，在能力范围内控制住危险废物的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扩散并进行报警，同时电话通知产废及接受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单位的相关人员，配合相关部门做好后续工作。</w:t>
            </w:r>
          </w:p>
          <w:p>
            <w:pPr>
              <w:ind w:left="115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应急设备：铁桶、铁锹、灭火器、防化手套、防化鞋等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284" w:bottom="0" w:left="1267" w:header="0" w:footer="0" w:gutter="0"/>
        </w:sectPr>
        <w:rPr/>
      </w:pPr>
    </w:p>
    <w:p>
      <w:pPr>
        <w:ind w:left="541"/>
        <w:spacing w:before="22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第三部分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1"/>
        </w:rPr>
        <w:t>废物处理处置情况</w:t>
      </w:r>
    </w:p>
    <w:p>
      <w:pPr>
        <w:spacing w:line="17" w:lineRule="exact"/>
        <w:rPr/>
      </w:pPr>
      <w:r/>
    </w:p>
    <w:tbl>
      <w:tblPr>
        <w:tblStyle w:val="TableNormal"/>
        <w:tblW w:w="93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47"/>
        <w:gridCol w:w="4202"/>
      </w:tblGrid>
      <w:tr>
        <w:trPr>
          <w:trHeight w:val="579" w:hRule="atLeast"/>
        </w:trPr>
        <w:tc>
          <w:tcPr>
            <w:tcW w:w="9349" w:type="dxa"/>
            <w:vAlign w:val="top"/>
            <w:gridSpan w:val="2"/>
          </w:tcPr>
          <w:p>
            <w:pPr>
              <w:ind w:left="115"/>
              <w:spacing w:before="280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表</w:t>
            </w: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4"/>
              </w:rPr>
              <w:t>1    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接受单位基本情况</w:t>
            </w:r>
          </w:p>
        </w:tc>
      </w:tr>
      <w:tr>
        <w:trPr>
          <w:trHeight w:val="639" w:hRule="atLeast"/>
        </w:trPr>
        <w:tc>
          <w:tcPr>
            <w:tcW w:w="9349" w:type="dxa"/>
            <w:vAlign w:val="top"/>
            <w:gridSpan w:val="2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17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单位名称：巩义市富中冶金材料厂</w:t>
            </w:r>
          </w:p>
        </w:tc>
      </w:tr>
      <w:tr>
        <w:trPr>
          <w:trHeight w:val="672" w:hRule="atLeast"/>
        </w:trPr>
        <w:tc>
          <w:tcPr>
            <w:tcW w:w="5147" w:type="dxa"/>
            <w:vAlign w:val="top"/>
          </w:tcPr>
          <w:p>
            <w:pPr>
              <w:ind w:left="118"/>
              <w:spacing w:before="296"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危废经营许可证编号：豫环许可危废字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  <w:position w:val="1"/>
              </w:rPr>
              <w:t>230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  <w:position w:val="1"/>
              </w:rPr>
              <w:t>号</w:t>
            </w:r>
          </w:p>
        </w:tc>
        <w:tc>
          <w:tcPr>
            <w:tcW w:w="4202" w:type="dxa"/>
            <w:vAlign w:val="top"/>
          </w:tcPr>
          <w:p>
            <w:pPr>
              <w:ind w:left="115"/>
              <w:spacing w:before="296" w:line="274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有效期：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1"/>
              </w:rPr>
              <w:t>2024.08.20-2029.08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.20</w:t>
            </w:r>
          </w:p>
        </w:tc>
      </w:tr>
      <w:tr>
        <w:trPr>
          <w:trHeight w:val="1486" w:hRule="atLeast"/>
        </w:trPr>
        <w:tc>
          <w:tcPr>
            <w:tcW w:w="9349" w:type="dxa"/>
            <w:vAlign w:val="top"/>
            <w:gridSpan w:val="2"/>
          </w:tcPr>
          <w:p>
            <w:pPr>
              <w:ind w:left="117"/>
              <w:spacing w:before="3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经营核准内容（废物名称、类别、数量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）：</w:t>
            </w:r>
          </w:p>
          <w:p>
            <w:pPr>
              <w:ind w:left="115"/>
              <w:spacing w:before="23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废物名称：铝灰收集、贮存、利用</w:t>
            </w:r>
          </w:p>
          <w:p>
            <w:pPr>
              <w:ind w:left="115"/>
              <w:spacing w:line="272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类别：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1"/>
              </w:rPr>
              <w:t>HW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48 321-024-48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321-026-48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4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321-034-48</w:t>
            </w:r>
          </w:p>
          <w:p>
            <w:pPr>
              <w:ind w:left="117"/>
              <w:spacing w:line="27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数量：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60000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4"/>
                <w:w w:val="101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吨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1"/>
              </w:rPr>
              <w:t>年</w:t>
            </w:r>
          </w:p>
        </w:tc>
      </w:tr>
    </w:tbl>
    <w:p>
      <w:pPr>
        <w:spacing w:before="44"/>
        <w:rPr/>
      </w:pPr>
      <w:r/>
    </w:p>
    <w:p>
      <w:pPr>
        <w:spacing w:before="43"/>
        <w:rPr/>
      </w:pPr>
      <w:r/>
    </w:p>
    <w:tbl>
      <w:tblPr>
        <w:tblStyle w:val="TableNormal"/>
        <w:tblW w:w="93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49"/>
      </w:tblGrid>
      <w:tr>
        <w:trPr>
          <w:trHeight w:val="605" w:hRule="atLeast"/>
        </w:trPr>
        <w:tc>
          <w:tcPr>
            <w:tcW w:w="9349" w:type="dxa"/>
            <w:vAlign w:val="top"/>
          </w:tcPr>
          <w:p>
            <w:pPr>
              <w:ind w:left="115"/>
              <w:spacing w:before="29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表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b/>
                <w:bCs/>
                <w:spacing w:val="6"/>
              </w:rPr>
              <w:t>2      </w:t>
            </w: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与接收废物相关的处理处置情况</w:t>
            </w:r>
          </w:p>
        </w:tc>
      </w:tr>
      <w:tr>
        <w:trPr>
          <w:trHeight w:val="8792" w:hRule="atLeast"/>
        </w:trPr>
        <w:tc>
          <w:tcPr>
            <w:tcW w:w="9349" w:type="dxa"/>
            <w:vAlign w:val="top"/>
          </w:tcPr>
          <w:p>
            <w:pPr>
              <w:ind w:left="117"/>
              <w:spacing w:before="6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文字描述及工艺流程图</w:t>
            </w:r>
          </w:p>
          <w:p>
            <w:pPr>
              <w:ind w:left="115" w:right="109" w:firstLine="4"/>
              <w:spacing w:before="21" w:line="2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项目有</w:t>
            </w:r>
            <w:r>
              <w:rPr>
                <w:rFonts w:ascii="SimSun" w:hAnsi="SimSun" w:eastAsia="SimSun" w:cs="SimSun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7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万吨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年铝灰渣资源化综合利用生产线</w:t>
            </w: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1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条，包括铝灰渣预处理系统、铝酸钙生产系统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、铝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锭生产系统、制球系统。</w:t>
            </w:r>
          </w:p>
          <w:p>
            <w:pPr>
              <w:ind w:left="132"/>
              <w:spacing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1"/>
              </w:rPr>
              <w:t>1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1"/>
              </w:rPr>
              <w:t>铝灰渣预处理系统</w:t>
            </w:r>
          </w:p>
          <w:p>
            <w:pPr>
              <w:ind w:left="116"/>
              <w:spacing w:before="25"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(1)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2"/>
              </w:rPr>
              <w:t>投料</w:t>
            </w:r>
          </w:p>
          <w:p>
            <w:pPr>
              <w:ind w:left="116" w:right="108" w:firstLine="2"/>
              <w:spacing w:before="55" w:line="2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项目铝灰渣通过汽车运入，暂存于厂房内铝灰渣暂存库，厂区分 为南北两个厂区，南厂区的原料通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过汽车运输将吨包包装的物料运送 至北厂区，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运输过程要求不得遗漏。袋装的铝灰渣采用叉车运输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至球 磨机加料口，人工解开吨袋下方包装口后铝灰渣自动落入球磨机进料</w:t>
            </w:r>
            <w:r>
              <w:rPr>
                <w:rFonts w:ascii="SimSun" w:hAnsi="SimSun" w:eastAsia="SimSun" w:cs="SimSun"/>
                <w:sz w:val="20"/>
                <w:szCs w:val="20"/>
                <w:spacing w:val="5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口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。该过程污染主要是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铝灰渣落入加料口时投料粉尘产生，进料口采用负压收集下料粉尘。</w:t>
            </w:r>
          </w:p>
          <w:p>
            <w:pPr>
              <w:ind w:left="116"/>
              <w:spacing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(2)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2"/>
              </w:rPr>
              <w:t>球磨</w:t>
            </w:r>
          </w:p>
          <w:p>
            <w:pPr>
              <w:ind w:left="115" w:right="52"/>
              <w:spacing w:before="56" w:line="27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球磨机内研磨体为钢制圆球，可根据研磨物料的粒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径选择研磨体 的大小，球磨的目的是将小块的铝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灰渣完全破碎，使铝灰渣中的铝颗 粒和铝灰完全分离，同时球磨过程由于铝单质具有较好的延展性，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通 过研磨可以将较小的铝颗粒挤压到一起，使铝颗粒在研磨过程有所变 大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，后续更容易分选。该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过程有球磨粉尘和噪声产生。</w:t>
            </w:r>
          </w:p>
          <w:p>
            <w:pPr>
              <w:ind w:left="116"/>
              <w:spacing w:line="274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  <w:position w:val="2"/>
              </w:rPr>
              <w:t>(3)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  <w:position w:val="2"/>
              </w:rPr>
              <w:t>筛分</w:t>
            </w:r>
          </w:p>
          <w:p>
            <w:pPr>
              <w:ind w:left="116" w:right="107" w:hanging="1"/>
              <w:spacing w:before="25" w:line="2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球磨后的铝灰渣经密闭斗式提升机送入圆筒筛进行筛分，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圆筒筛内置有两道筛网，分别为</w:t>
            </w:r>
            <w:r>
              <w:rPr>
                <w:rFonts w:ascii="SimSun" w:hAnsi="SimSun" w:eastAsia="SimSun" w:cs="SimSun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9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目和</w:t>
            </w:r>
            <w:r>
              <w:rPr>
                <w:rFonts w:ascii="SimSun" w:hAnsi="SimSun" w:eastAsia="SimSun" w:cs="SimSun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目，筛上物即为金属铝单质，中间物返回球磨机继续球磨，筛下物即为铝灰，铝颗粒由吨袋包装备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用，二次铝灰进入雷蒙磨，筛分过程有粉尘和噪声产生。</w:t>
            </w:r>
          </w:p>
          <w:p>
            <w:pPr>
              <w:ind w:left="116"/>
              <w:spacing w:line="275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  <w:position w:val="2"/>
              </w:rPr>
              <w:t>(4)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  <w:position w:val="2"/>
              </w:rPr>
              <w:t>雷蒙磨</w:t>
            </w:r>
          </w:p>
          <w:p>
            <w:pPr>
              <w:ind w:left="119"/>
              <w:spacing w:before="5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该环节主要是进一步回收筛分后的二次铝灰中的铝单质，该过程主要有粉尘和噪声产生。</w:t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284" w:bottom="0" w:left="1267" w:header="0" w:footer="0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349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349"/>
      </w:tblGrid>
      <w:tr>
        <w:trPr>
          <w:trHeight w:val="12024" w:hRule="atLeast"/>
        </w:trPr>
        <w:tc>
          <w:tcPr>
            <w:tcW w:w="9349" w:type="dxa"/>
            <w:vAlign w:val="top"/>
          </w:tcPr>
          <w:p>
            <w:pPr>
              <w:ind w:firstLine="2313"/>
              <w:spacing w:before="4" w:line="4575" w:lineRule="exact"/>
              <w:rPr/>
            </w:pPr>
            <w:r>
              <w:rPr>
                <w:position w:val="-91"/>
              </w:rPr>
              <w:drawing>
                <wp:inline distT="0" distB="0" distL="0" distR="0">
                  <wp:extent cx="2996184" cy="2904744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96184" cy="2904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odyText"/>
        <w:rPr/>
      </w:pPr>
      <w:r/>
    </w:p>
    <w:p>
      <w:pPr>
        <w:sectPr>
          <w:pgSz w:w="11906" w:h="16839"/>
          <w:pgMar w:top="1431" w:right="1284" w:bottom="0" w:left="1267" w:header="0" w:footer="0" w:gutter="0"/>
        </w:sectPr>
        <w:rPr/>
      </w:pPr>
    </w:p>
    <w:p>
      <w:pPr>
        <w:pStyle w:val="BodyText"/>
        <w:spacing w:line="264" w:lineRule="auto"/>
        <w:rPr/>
      </w:pPr>
      <w:r/>
    </w:p>
    <w:p>
      <w:pPr>
        <w:pStyle w:val="BodyText"/>
        <w:spacing w:line="264" w:lineRule="auto"/>
        <w:rPr/>
      </w:pPr>
      <w:r/>
    </w:p>
    <w:p>
      <w:pPr>
        <w:ind w:left="867"/>
        <w:spacing w:before="9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第四部分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"/>
        </w:rPr>
        <w:t>上年度固体（危险）废物跨省转移情况</w:t>
      </w:r>
    </w:p>
    <w:p>
      <w:pPr>
        <w:spacing w:line="16" w:lineRule="exact"/>
        <w:rPr/>
      </w:pPr>
      <w:r/>
    </w:p>
    <w:tbl>
      <w:tblPr>
        <w:tblStyle w:val="TableNormal"/>
        <w:tblW w:w="1457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43"/>
        <w:gridCol w:w="1208"/>
        <w:gridCol w:w="2057"/>
        <w:gridCol w:w="1336"/>
        <w:gridCol w:w="1790"/>
        <w:gridCol w:w="1286"/>
        <w:gridCol w:w="1317"/>
        <w:gridCol w:w="1256"/>
        <w:gridCol w:w="1613"/>
        <w:gridCol w:w="1270"/>
      </w:tblGrid>
      <w:tr>
        <w:trPr>
          <w:trHeight w:val="611" w:hRule="atLeast"/>
        </w:trPr>
        <w:tc>
          <w:tcPr>
            <w:tcW w:w="1443" w:type="dxa"/>
            <w:vAlign w:val="top"/>
          </w:tcPr>
          <w:p>
            <w:pPr>
              <w:ind w:left="325"/>
              <w:spacing w:before="20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出厂日期</w:t>
            </w:r>
          </w:p>
        </w:tc>
        <w:tc>
          <w:tcPr>
            <w:tcW w:w="1208" w:type="dxa"/>
            <w:vAlign w:val="top"/>
          </w:tcPr>
          <w:p>
            <w:pPr>
              <w:ind w:left="187"/>
              <w:spacing w:before="2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转移批次</w:t>
            </w:r>
          </w:p>
        </w:tc>
        <w:tc>
          <w:tcPr>
            <w:tcW w:w="2057" w:type="dxa"/>
            <w:vAlign w:val="top"/>
          </w:tcPr>
          <w:p>
            <w:pPr>
              <w:ind w:left="614"/>
              <w:spacing w:before="2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联单编号</w:t>
            </w:r>
          </w:p>
        </w:tc>
        <w:tc>
          <w:tcPr>
            <w:tcW w:w="1336" w:type="dxa"/>
            <w:vAlign w:val="top"/>
          </w:tcPr>
          <w:p>
            <w:pPr>
              <w:ind w:left="252"/>
              <w:spacing w:before="202" w:line="22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废物名称</w:t>
            </w:r>
          </w:p>
        </w:tc>
        <w:tc>
          <w:tcPr>
            <w:tcW w:w="1790" w:type="dxa"/>
            <w:vAlign w:val="top"/>
          </w:tcPr>
          <w:p>
            <w:pPr>
              <w:ind w:left="429"/>
              <w:spacing w:before="2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类别/代码</w:t>
            </w:r>
          </w:p>
        </w:tc>
        <w:tc>
          <w:tcPr>
            <w:tcW w:w="1286" w:type="dxa"/>
            <w:vAlign w:val="top"/>
          </w:tcPr>
          <w:p>
            <w:pPr>
              <w:ind w:right="11"/>
              <w:spacing w:before="202" w:line="229" w:lineRule="auto"/>
              <w:jc w:val="righ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8"/>
              </w:rPr>
              <w:t>转移量（吨）</w:t>
            </w:r>
          </w:p>
        </w:tc>
        <w:tc>
          <w:tcPr>
            <w:tcW w:w="1317" w:type="dxa"/>
            <w:vAlign w:val="top"/>
          </w:tcPr>
          <w:p>
            <w:pPr>
              <w:ind w:left="245"/>
              <w:spacing w:before="2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运输单位</w:t>
            </w:r>
          </w:p>
        </w:tc>
        <w:tc>
          <w:tcPr>
            <w:tcW w:w="1256" w:type="dxa"/>
            <w:vAlign w:val="top"/>
          </w:tcPr>
          <w:p>
            <w:pPr>
              <w:ind w:left="427"/>
              <w:spacing w:before="2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车号</w:t>
            </w:r>
          </w:p>
        </w:tc>
        <w:tc>
          <w:tcPr>
            <w:tcW w:w="1613" w:type="dxa"/>
            <w:vAlign w:val="top"/>
          </w:tcPr>
          <w:p>
            <w:pPr>
              <w:ind w:left="392"/>
              <w:spacing w:before="2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接收单位</w:t>
            </w:r>
          </w:p>
        </w:tc>
        <w:tc>
          <w:tcPr>
            <w:tcW w:w="1270" w:type="dxa"/>
            <w:vAlign w:val="top"/>
          </w:tcPr>
          <w:p>
            <w:pPr>
              <w:ind w:left="219"/>
              <w:spacing w:before="20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接收日期</w:t>
            </w:r>
          </w:p>
        </w:tc>
      </w:tr>
      <w:tr>
        <w:trPr>
          <w:trHeight w:val="606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7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7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6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7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7" w:hRule="atLeast"/>
        </w:trPr>
        <w:tc>
          <w:tcPr>
            <w:tcW w:w="14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1" w:hRule="atLeast"/>
        </w:trPr>
        <w:tc>
          <w:tcPr>
            <w:tcW w:w="1443" w:type="dxa"/>
            <w:vAlign w:val="top"/>
          </w:tcPr>
          <w:p>
            <w:pPr>
              <w:ind w:left="116"/>
              <w:spacing w:before="281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合计</w:t>
            </w:r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1287" w:right="11207" w:hanging="423"/>
        <w:spacing w:before="172" w:line="40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注：每种废物请填写合计量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首次申请不需填</w:t>
      </w:r>
    </w:p>
    <w:sectPr>
      <w:pgSz w:w="16840" w:h="11907"/>
      <w:pgMar w:top="1012" w:right="1413" w:bottom="0" w:left="84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MS PMincho">
    <w:panose1 w:val="02020600040205080304"/>
    <w:charset w:val="86"/>
    <w:family w:val="auto"/>
    <w:pitch w:val="variable"/>
    <w:sig w:usb0="E00002FF" w:usb1="6AC7FDFB" w:usb2="00000012" w:usb3="00000000" w:csb0="4002009F" w:csb1="DFD7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微软中国</dc:creator>
  <dcterms:created xsi:type="dcterms:W3CDTF">2025-04-10T10:40:18Z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2025-04-10T10:40:41</vt:filetime>
  </property>
</Properties>
</file>