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25AC2">
      <w:pPr>
        <w:jc w:val="left"/>
        <w:rPr>
          <w:rFonts w:ascii="宋体" w:hAnsi="宋体" w:cs="宋体"/>
          <w:sz w:val="44"/>
          <w:szCs w:val="44"/>
        </w:rPr>
      </w:pPr>
    </w:p>
    <w:p w14:paraId="2B1094E0">
      <w:pPr>
        <w:tabs>
          <w:tab w:val="left" w:pos="2450"/>
        </w:tabs>
        <w:spacing w:line="680" w:lineRule="exact"/>
        <w:rPr>
          <w:rFonts w:ascii="宋体" w:hAnsi="宋体" w:cs="宋体"/>
          <w:sz w:val="44"/>
          <w:szCs w:val="44"/>
        </w:rPr>
      </w:pPr>
    </w:p>
    <w:p w14:paraId="362C2B65">
      <w:pPr>
        <w:snapToGrid w:val="0"/>
        <w:spacing w:line="360" w:lineRule="auto"/>
        <w:jc w:val="center"/>
        <w:rPr>
          <w:rFonts w:ascii="宋体" w:hAnsi="宋体" w:cs="宋体"/>
          <w:b/>
          <w:spacing w:val="170"/>
          <w:kern w:val="0"/>
          <w:sz w:val="84"/>
          <w:szCs w:val="84"/>
        </w:rPr>
      </w:pPr>
    </w:p>
    <w:p w14:paraId="5789893F">
      <w:pPr>
        <w:snapToGrid w:val="0"/>
        <w:spacing w:line="360" w:lineRule="auto"/>
        <w:jc w:val="center"/>
        <w:rPr>
          <w:rFonts w:ascii="宋体" w:hAnsi="宋体" w:cs="宋体"/>
          <w:b/>
          <w:spacing w:val="170"/>
          <w:kern w:val="0"/>
          <w:sz w:val="84"/>
          <w:szCs w:val="84"/>
        </w:rPr>
      </w:pPr>
      <w:r>
        <w:rPr>
          <w:rFonts w:hint="eastAsia" w:ascii="宋体" w:hAnsi="宋体" w:cs="宋体"/>
          <w:b/>
          <w:spacing w:val="170"/>
          <w:kern w:val="0"/>
          <w:sz w:val="84"/>
          <w:szCs w:val="84"/>
        </w:rPr>
        <w:t>竞争性磋商</w:t>
      </w:r>
      <w:r>
        <w:rPr>
          <w:rFonts w:hint="eastAsia" w:ascii="宋体" w:hAnsi="宋体" w:cs="宋体"/>
          <w:b/>
          <w:spacing w:val="170"/>
          <w:sz w:val="84"/>
          <w:szCs w:val="84"/>
        </w:rPr>
        <w:t>文件</w:t>
      </w:r>
    </w:p>
    <w:p w14:paraId="526321A2">
      <w:pPr>
        <w:tabs>
          <w:tab w:val="left" w:pos="2450"/>
        </w:tabs>
        <w:spacing w:line="680" w:lineRule="exact"/>
        <w:rPr>
          <w:rFonts w:ascii="宋体" w:hAnsi="宋体" w:cs="宋体"/>
          <w:sz w:val="44"/>
          <w:szCs w:val="44"/>
        </w:rPr>
      </w:pPr>
      <w:r>
        <w:rPr>
          <w:rFonts w:hint="eastAsia" w:ascii="宋体" w:hAnsi="宋体" w:cs="宋体"/>
          <w:sz w:val="44"/>
          <w:szCs w:val="44"/>
        </w:rPr>
        <w:tab/>
      </w:r>
    </w:p>
    <w:p w14:paraId="400E2555">
      <w:pPr>
        <w:adjustRightInd w:val="0"/>
        <w:snapToGrid w:val="0"/>
        <w:spacing w:line="800" w:lineRule="exact"/>
        <w:rPr>
          <w:rFonts w:ascii="宋体" w:hAnsi="宋体" w:cs="宋体"/>
          <w:sz w:val="44"/>
          <w:szCs w:val="44"/>
        </w:rPr>
      </w:pPr>
    </w:p>
    <w:p w14:paraId="79BB13C7">
      <w:pPr>
        <w:adjustRightInd w:val="0"/>
        <w:snapToGrid w:val="0"/>
        <w:spacing w:line="800" w:lineRule="exact"/>
        <w:rPr>
          <w:rFonts w:ascii="宋体" w:hAnsi="宋体" w:cs="宋体"/>
          <w:bCs/>
          <w:sz w:val="28"/>
          <w:szCs w:val="32"/>
        </w:rPr>
      </w:pPr>
      <w:r>
        <w:rPr>
          <w:rFonts w:hint="eastAsia" w:ascii="宋体" w:hAnsi="宋体" w:cs="宋体"/>
          <w:bCs/>
          <w:sz w:val="28"/>
          <w:szCs w:val="32"/>
        </w:rPr>
        <w:t>采购项目编号：</w:t>
      </w:r>
      <w:r>
        <w:rPr>
          <w:rFonts w:ascii="宋体" w:hAnsi="宋体" w:cs="宋体"/>
          <w:bCs/>
          <w:sz w:val="28"/>
          <w:szCs w:val="32"/>
        </w:rPr>
        <w:t>CT-SC-2025099</w:t>
      </w:r>
    </w:p>
    <w:p w14:paraId="18F2BAB2">
      <w:pPr>
        <w:adjustRightInd w:val="0"/>
        <w:snapToGrid w:val="0"/>
        <w:spacing w:line="800" w:lineRule="exact"/>
        <w:rPr>
          <w:rFonts w:ascii="宋体" w:hAnsi="宋体" w:cs="宋体"/>
          <w:bCs/>
          <w:sz w:val="28"/>
          <w:szCs w:val="32"/>
        </w:rPr>
      </w:pPr>
      <w:r>
        <w:rPr>
          <w:rFonts w:hint="eastAsia" w:ascii="宋体" w:hAnsi="宋体" w:cs="宋体"/>
          <w:bCs/>
          <w:sz w:val="28"/>
          <w:szCs w:val="32"/>
        </w:rPr>
        <w:t>采购项目名称：武南殡仪馆平板火化炉大修及烟囱更换维修项目</w:t>
      </w:r>
    </w:p>
    <w:p w14:paraId="32F10CD1">
      <w:pPr>
        <w:adjustRightInd w:val="0"/>
        <w:snapToGrid w:val="0"/>
        <w:spacing w:line="800" w:lineRule="exact"/>
        <w:rPr>
          <w:rFonts w:ascii="宋体" w:hAnsi="宋体" w:cs="宋体"/>
          <w:bCs/>
          <w:spacing w:val="30"/>
          <w:sz w:val="28"/>
          <w:szCs w:val="32"/>
        </w:rPr>
      </w:pPr>
      <w:r>
        <w:rPr>
          <w:rFonts w:hint="eastAsia" w:ascii="宋体" w:hAnsi="宋体" w:cs="宋体"/>
          <w:bCs/>
          <w:spacing w:val="30"/>
          <w:sz w:val="28"/>
          <w:szCs w:val="32"/>
        </w:rPr>
        <w:t>采购人名</w:t>
      </w:r>
      <w:r>
        <w:rPr>
          <w:rFonts w:hint="eastAsia" w:ascii="宋体" w:hAnsi="宋体" w:cs="宋体"/>
          <w:bCs/>
          <w:sz w:val="28"/>
          <w:szCs w:val="32"/>
        </w:rPr>
        <w:t>称：</w:t>
      </w:r>
      <w:r>
        <w:rPr>
          <w:rFonts w:hint="eastAsia" w:ascii="宋体" w:hAnsi="宋体" w:cs="宋体"/>
          <w:bCs/>
          <w:spacing w:val="30"/>
          <w:sz w:val="28"/>
          <w:szCs w:val="32"/>
        </w:rPr>
        <w:t>常州市武进区武南殡仪馆</w:t>
      </w:r>
    </w:p>
    <w:p w14:paraId="648572B5">
      <w:pPr>
        <w:spacing w:line="680" w:lineRule="exact"/>
        <w:jc w:val="center"/>
        <w:rPr>
          <w:rFonts w:ascii="宋体" w:hAnsi="宋体" w:cs="宋体"/>
          <w:sz w:val="44"/>
          <w:szCs w:val="44"/>
        </w:rPr>
      </w:pPr>
    </w:p>
    <w:p w14:paraId="6E8E8037">
      <w:pPr>
        <w:spacing w:line="680" w:lineRule="exact"/>
        <w:jc w:val="center"/>
        <w:rPr>
          <w:rFonts w:ascii="宋体" w:hAnsi="宋体" w:cs="宋体"/>
          <w:sz w:val="44"/>
          <w:szCs w:val="44"/>
        </w:rPr>
      </w:pPr>
    </w:p>
    <w:p w14:paraId="6BD99E7C">
      <w:pPr>
        <w:spacing w:line="480" w:lineRule="exact"/>
        <w:ind w:firstLine="750" w:firstLineChars="250"/>
        <w:jc w:val="center"/>
        <w:rPr>
          <w:rFonts w:ascii="宋体" w:hAnsi="宋体" w:cs="宋体"/>
          <w:sz w:val="30"/>
          <w:szCs w:val="30"/>
        </w:rPr>
      </w:pPr>
    </w:p>
    <w:p w14:paraId="16A1F974">
      <w:pPr>
        <w:spacing w:line="480" w:lineRule="exact"/>
        <w:jc w:val="center"/>
        <w:rPr>
          <w:rFonts w:ascii="宋体" w:hAnsi="宋体" w:cs="宋体"/>
          <w:sz w:val="36"/>
          <w:szCs w:val="36"/>
        </w:rPr>
      </w:pPr>
    </w:p>
    <w:p w14:paraId="5EEB9B19">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14:paraId="0FAA049F">
      <w:pPr>
        <w:jc w:val="center"/>
        <w:rPr>
          <w:rFonts w:ascii="宋体" w:hAnsi="宋体" w:cs="宋体"/>
          <w:sz w:val="36"/>
          <w:szCs w:val="36"/>
        </w:rPr>
      </w:pPr>
    </w:p>
    <w:p w14:paraId="088008E1">
      <w:pPr>
        <w:jc w:val="center"/>
        <w:rPr>
          <w:rFonts w:ascii="宋体" w:hAnsi="宋体" w:cs="宋体"/>
          <w:b/>
          <w:sz w:val="30"/>
        </w:rPr>
      </w:pPr>
      <w:r>
        <w:rPr>
          <w:rFonts w:hint="eastAsia" w:ascii="宋体" w:hAnsi="宋体" w:cs="宋体"/>
          <w:w w:val="90"/>
          <w:sz w:val="44"/>
          <w:szCs w:val="44"/>
        </w:rPr>
        <w:t>二〇二五年三月</w:t>
      </w:r>
    </w:p>
    <w:p w14:paraId="32E14D4C">
      <w:pPr>
        <w:spacing w:before="100" w:after="240" w:line="500" w:lineRule="exact"/>
        <w:jc w:val="center"/>
        <w:rPr>
          <w:rFonts w:ascii="宋体" w:hAnsi="宋体" w:cs="宋体"/>
          <w:b/>
          <w:sz w:val="44"/>
          <w:szCs w:val="44"/>
        </w:rPr>
      </w:pPr>
    </w:p>
    <w:p w14:paraId="085F20DF">
      <w:pPr>
        <w:spacing w:before="100" w:after="240" w:line="500" w:lineRule="exact"/>
        <w:jc w:val="center"/>
        <w:rPr>
          <w:rFonts w:ascii="宋体" w:hAnsi="宋体" w:cs="宋体"/>
          <w:b/>
          <w:sz w:val="44"/>
          <w:szCs w:val="44"/>
        </w:rPr>
      </w:pPr>
    </w:p>
    <w:p w14:paraId="447CD0B2">
      <w:pPr>
        <w:spacing w:before="100" w:after="240" w:line="500" w:lineRule="exact"/>
        <w:jc w:val="center"/>
        <w:rPr>
          <w:rFonts w:ascii="宋体" w:hAnsi="宋体" w:cs="宋体"/>
          <w:b/>
          <w:sz w:val="44"/>
          <w:szCs w:val="44"/>
        </w:rPr>
      </w:pPr>
    </w:p>
    <w:sdt>
      <w:sdtPr>
        <w:rPr>
          <w:rFonts w:hint="eastAsia" w:ascii="宋体" w:hAnsi="宋体" w:eastAsia="宋体" w:cs="宋体"/>
          <w:b w:val="0"/>
          <w:bCs w:val="0"/>
          <w:color w:val="auto"/>
          <w:kern w:val="2"/>
          <w:sz w:val="21"/>
          <w:szCs w:val="20"/>
          <w:lang w:val="zh-CN"/>
        </w:rPr>
        <w:id w:val="21916659"/>
        <w:docPartObj>
          <w:docPartGallery w:val="Table of Contents"/>
          <w:docPartUnique/>
        </w:docPartObj>
      </w:sdtPr>
      <w:sdtEndPr>
        <w:rPr>
          <w:rFonts w:hint="eastAsia" w:ascii="宋体" w:hAnsi="宋体" w:eastAsia="宋体" w:cs="宋体"/>
          <w:b w:val="0"/>
          <w:bCs w:val="0"/>
          <w:color w:val="auto"/>
          <w:kern w:val="2"/>
          <w:sz w:val="21"/>
          <w:szCs w:val="20"/>
          <w:lang w:val="en-US"/>
        </w:rPr>
      </w:sdtEndPr>
      <w:sdtContent>
        <w:p w14:paraId="035F13A9">
          <w:pPr>
            <w:pStyle w:val="60"/>
            <w:jc w:val="center"/>
            <w:rPr>
              <w:rFonts w:ascii="宋体" w:hAnsi="宋体" w:eastAsia="宋体" w:cs="宋体"/>
              <w:color w:val="auto"/>
              <w:sz w:val="44"/>
              <w:szCs w:val="44"/>
              <w:lang w:val="zh-CN"/>
            </w:rPr>
          </w:pPr>
          <w:r>
            <w:rPr>
              <w:rFonts w:hint="eastAsia" w:ascii="宋体" w:hAnsi="宋体" w:eastAsia="宋体" w:cs="宋体"/>
              <w:color w:val="auto"/>
              <w:sz w:val="44"/>
              <w:szCs w:val="44"/>
              <w:lang w:val="zh-CN"/>
            </w:rPr>
            <w:t>目  录</w:t>
          </w:r>
        </w:p>
        <w:p w14:paraId="7181E972">
          <w:pPr>
            <w:rPr>
              <w:rFonts w:ascii="宋体" w:hAnsi="宋体" w:cs="宋体"/>
              <w:lang w:val="zh-CN"/>
            </w:rPr>
          </w:pPr>
        </w:p>
        <w:p w14:paraId="1FE5BD51">
          <w:pPr>
            <w:pStyle w:val="17"/>
            <w:rPr>
              <w:rFonts w:ascii="宋体" w:hAnsi="宋体" w:cs="宋体"/>
              <w:b/>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 TOC \o "1-3" \h \z \u </w:instrText>
          </w:r>
          <w:r>
            <w:rPr>
              <w:rFonts w:hint="eastAsia" w:ascii="宋体" w:hAnsi="宋体" w:cs="宋体"/>
              <w:b/>
              <w:sz w:val="32"/>
              <w:szCs w:val="32"/>
            </w:rPr>
            <w:fldChar w:fldCharType="separate"/>
          </w:r>
          <w:r>
            <w:fldChar w:fldCharType="begin"/>
          </w:r>
          <w:r>
            <w:instrText xml:space="preserve"> HYPERLINK \l "_Toc17537926" </w:instrText>
          </w:r>
          <w:r>
            <w:fldChar w:fldCharType="separate"/>
          </w:r>
          <w:r>
            <w:rPr>
              <w:rStyle w:val="25"/>
              <w:rFonts w:hint="eastAsia" w:ascii="宋体" w:hAnsi="宋体" w:cs="宋体"/>
              <w:b/>
              <w:sz w:val="32"/>
              <w:szCs w:val="32"/>
            </w:rPr>
            <w:t>竞争性磋商公告</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_Toc17537926 \h </w:instrText>
          </w:r>
          <w:r>
            <w:rPr>
              <w:rFonts w:hint="eastAsia" w:ascii="宋体" w:hAnsi="宋体" w:cs="宋体"/>
              <w:b/>
              <w:sz w:val="32"/>
              <w:szCs w:val="32"/>
            </w:rPr>
            <w:fldChar w:fldCharType="separate"/>
          </w:r>
          <w:r>
            <w:rPr>
              <w:rFonts w:ascii="宋体" w:hAnsi="宋体" w:cs="宋体"/>
              <w:b/>
              <w:sz w:val="32"/>
              <w:szCs w:val="32"/>
            </w:rPr>
            <w:t>3</w:t>
          </w:r>
          <w:r>
            <w:rPr>
              <w:rFonts w:hint="eastAsia" w:ascii="宋体" w:hAnsi="宋体" w:cs="宋体"/>
              <w:b/>
              <w:sz w:val="32"/>
              <w:szCs w:val="32"/>
            </w:rPr>
            <w:fldChar w:fldCharType="end"/>
          </w:r>
          <w:r>
            <w:rPr>
              <w:rFonts w:hint="eastAsia" w:ascii="宋体" w:hAnsi="宋体" w:cs="宋体"/>
              <w:b/>
              <w:sz w:val="32"/>
              <w:szCs w:val="32"/>
            </w:rPr>
            <w:fldChar w:fldCharType="end"/>
          </w:r>
        </w:p>
        <w:p w14:paraId="4B9C8C7D">
          <w:pPr>
            <w:pStyle w:val="17"/>
            <w:rPr>
              <w:rFonts w:ascii="宋体" w:hAnsi="宋体" w:cs="宋体"/>
              <w:b/>
              <w:sz w:val="32"/>
              <w:szCs w:val="32"/>
            </w:rPr>
          </w:pPr>
          <w:r>
            <w:fldChar w:fldCharType="begin"/>
          </w:r>
          <w:r>
            <w:instrText xml:space="preserve"> HYPERLINK \l "_Toc17537927" </w:instrText>
          </w:r>
          <w:r>
            <w:fldChar w:fldCharType="separate"/>
          </w:r>
          <w:r>
            <w:rPr>
              <w:rStyle w:val="25"/>
              <w:rFonts w:hint="eastAsia" w:ascii="宋体" w:hAnsi="宋体" w:cs="宋体"/>
              <w:b/>
              <w:sz w:val="32"/>
              <w:szCs w:val="32"/>
            </w:rPr>
            <w:t>第一章  总    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_Toc17537927 \h </w:instrText>
          </w:r>
          <w:r>
            <w:rPr>
              <w:rFonts w:hint="eastAsia" w:ascii="宋体" w:hAnsi="宋体" w:cs="宋体"/>
              <w:b/>
              <w:sz w:val="32"/>
              <w:szCs w:val="32"/>
            </w:rPr>
            <w:fldChar w:fldCharType="separate"/>
          </w:r>
          <w:r>
            <w:rPr>
              <w:rFonts w:ascii="宋体" w:hAnsi="宋体" w:cs="宋体"/>
              <w:b/>
              <w:sz w:val="32"/>
              <w:szCs w:val="32"/>
            </w:rPr>
            <w:t>8</w:t>
          </w:r>
          <w:r>
            <w:rPr>
              <w:rFonts w:hint="eastAsia" w:ascii="宋体" w:hAnsi="宋体" w:cs="宋体"/>
              <w:b/>
              <w:sz w:val="32"/>
              <w:szCs w:val="32"/>
            </w:rPr>
            <w:fldChar w:fldCharType="end"/>
          </w:r>
          <w:r>
            <w:rPr>
              <w:rFonts w:hint="eastAsia" w:ascii="宋体" w:hAnsi="宋体" w:cs="宋体"/>
              <w:b/>
              <w:sz w:val="32"/>
              <w:szCs w:val="32"/>
            </w:rPr>
            <w:fldChar w:fldCharType="end"/>
          </w:r>
        </w:p>
        <w:p w14:paraId="4FC67CDD">
          <w:pPr>
            <w:pStyle w:val="17"/>
            <w:rPr>
              <w:rFonts w:ascii="宋体" w:hAnsi="宋体" w:cs="宋体"/>
              <w:b/>
              <w:sz w:val="32"/>
              <w:szCs w:val="32"/>
            </w:rPr>
          </w:pPr>
          <w:r>
            <w:fldChar w:fldCharType="begin"/>
          </w:r>
          <w:r>
            <w:instrText xml:space="preserve"> HYPERLINK \l "_Toc17537928" </w:instrText>
          </w:r>
          <w:r>
            <w:fldChar w:fldCharType="separate"/>
          </w:r>
          <w:r>
            <w:rPr>
              <w:rStyle w:val="25"/>
              <w:rFonts w:hint="eastAsia" w:ascii="宋体" w:hAnsi="宋体" w:cs="宋体"/>
              <w:b/>
              <w:sz w:val="32"/>
              <w:szCs w:val="32"/>
            </w:rPr>
            <w:t>第二章  采购项目及技术要求</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_Toc17537928 \h </w:instrText>
          </w:r>
          <w:r>
            <w:rPr>
              <w:rFonts w:hint="eastAsia" w:ascii="宋体" w:hAnsi="宋体" w:cs="宋体"/>
              <w:b/>
              <w:sz w:val="32"/>
              <w:szCs w:val="32"/>
            </w:rPr>
            <w:fldChar w:fldCharType="separate"/>
          </w:r>
          <w:r>
            <w:rPr>
              <w:rFonts w:ascii="宋体" w:hAnsi="宋体" w:cs="宋体"/>
              <w:b/>
              <w:sz w:val="32"/>
              <w:szCs w:val="32"/>
            </w:rPr>
            <w:t>15</w:t>
          </w:r>
          <w:r>
            <w:rPr>
              <w:rFonts w:hint="eastAsia" w:ascii="宋体" w:hAnsi="宋体" w:cs="宋体"/>
              <w:b/>
              <w:sz w:val="32"/>
              <w:szCs w:val="32"/>
            </w:rPr>
            <w:fldChar w:fldCharType="end"/>
          </w:r>
          <w:r>
            <w:rPr>
              <w:rFonts w:hint="eastAsia" w:ascii="宋体" w:hAnsi="宋体" w:cs="宋体"/>
              <w:b/>
              <w:sz w:val="32"/>
              <w:szCs w:val="32"/>
            </w:rPr>
            <w:fldChar w:fldCharType="end"/>
          </w:r>
        </w:p>
        <w:p w14:paraId="0CB101E1">
          <w:pPr>
            <w:pStyle w:val="17"/>
            <w:rPr>
              <w:rFonts w:ascii="宋体" w:hAnsi="宋体" w:cs="宋体"/>
              <w:b/>
              <w:sz w:val="32"/>
              <w:szCs w:val="32"/>
            </w:rPr>
          </w:pPr>
          <w:r>
            <w:fldChar w:fldCharType="begin"/>
          </w:r>
          <w:r>
            <w:instrText xml:space="preserve"> HYPERLINK \l "_Toc17537929" </w:instrText>
          </w:r>
          <w:r>
            <w:fldChar w:fldCharType="separate"/>
          </w:r>
          <w:r>
            <w:rPr>
              <w:rStyle w:val="25"/>
              <w:rFonts w:hint="eastAsia" w:ascii="宋体" w:hAnsi="宋体" w:cs="宋体"/>
              <w:b/>
              <w:sz w:val="32"/>
              <w:szCs w:val="32"/>
            </w:rPr>
            <w:t>第三章  合同主要条款</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_Toc17537929 \h </w:instrText>
          </w:r>
          <w:r>
            <w:rPr>
              <w:rFonts w:hint="eastAsia" w:ascii="宋体" w:hAnsi="宋体" w:cs="宋体"/>
              <w:b/>
              <w:sz w:val="32"/>
              <w:szCs w:val="32"/>
            </w:rPr>
            <w:fldChar w:fldCharType="separate"/>
          </w:r>
          <w:r>
            <w:rPr>
              <w:rFonts w:ascii="宋体" w:hAnsi="宋体" w:cs="宋体"/>
              <w:b/>
              <w:sz w:val="32"/>
              <w:szCs w:val="32"/>
            </w:rPr>
            <w:t>17</w:t>
          </w:r>
          <w:r>
            <w:rPr>
              <w:rFonts w:hint="eastAsia" w:ascii="宋体" w:hAnsi="宋体" w:cs="宋体"/>
              <w:b/>
              <w:sz w:val="32"/>
              <w:szCs w:val="32"/>
            </w:rPr>
            <w:fldChar w:fldCharType="end"/>
          </w:r>
          <w:r>
            <w:rPr>
              <w:rFonts w:hint="eastAsia" w:ascii="宋体" w:hAnsi="宋体" w:cs="宋体"/>
              <w:b/>
              <w:sz w:val="32"/>
              <w:szCs w:val="32"/>
            </w:rPr>
            <w:fldChar w:fldCharType="end"/>
          </w:r>
        </w:p>
        <w:p w14:paraId="7DA1D52C">
          <w:pPr>
            <w:pStyle w:val="17"/>
            <w:rPr>
              <w:rFonts w:ascii="宋体" w:hAnsi="宋体" w:cs="宋体"/>
              <w:b/>
              <w:sz w:val="32"/>
              <w:szCs w:val="32"/>
            </w:rPr>
          </w:pPr>
          <w:r>
            <w:fldChar w:fldCharType="begin"/>
          </w:r>
          <w:r>
            <w:instrText xml:space="preserve"> HYPERLINK \l "_Toc17537930" </w:instrText>
          </w:r>
          <w:r>
            <w:fldChar w:fldCharType="separate"/>
          </w:r>
          <w:r>
            <w:rPr>
              <w:rStyle w:val="25"/>
              <w:rFonts w:hint="eastAsia" w:ascii="宋体" w:hAnsi="宋体" w:cs="宋体"/>
              <w:b/>
              <w:sz w:val="32"/>
              <w:szCs w:val="32"/>
            </w:rPr>
            <w:t>第四章  评审细则</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_Toc17537930 \h </w:instrText>
          </w:r>
          <w:r>
            <w:rPr>
              <w:rFonts w:hint="eastAsia" w:ascii="宋体" w:hAnsi="宋体" w:cs="宋体"/>
              <w:b/>
              <w:sz w:val="32"/>
              <w:szCs w:val="32"/>
            </w:rPr>
            <w:fldChar w:fldCharType="separate"/>
          </w:r>
          <w:r>
            <w:rPr>
              <w:rFonts w:ascii="宋体" w:hAnsi="宋体" w:cs="宋体"/>
              <w:b/>
              <w:sz w:val="32"/>
              <w:szCs w:val="32"/>
            </w:rPr>
            <w:t>20</w:t>
          </w:r>
          <w:r>
            <w:rPr>
              <w:rFonts w:hint="eastAsia" w:ascii="宋体" w:hAnsi="宋体" w:cs="宋体"/>
              <w:b/>
              <w:sz w:val="32"/>
              <w:szCs w:val="32"/>
            </w:rPr>
            <w:fldChar w:fldCharType="end"/>
          </w:r>
          <w:r>
            <w:rPr>
              <w:rFonts w:hint="eastAsia" w:ascii="宋体" w:hAnsi="宋体" w:cs="宋体"/>
              <w:b/>
              <w:sz w:val="32"/>
              <w:szCs w:val="32"/>
            </w:rPr>
            <w:fldChar w:fldCharType="end"/>
          </w:r>
        </w:p>
        <w:p w14:paraId="447C0147">
          <w:pPr>
            <w:pStyle w:val="17"/>
            <w:rPr>
              <w:rFonts w:ascii="宋体" w:hAnsi="宋体" w:cs="宋体"/>
              <w:b/>
              <w:sz w:val="32"/>
              <w:szCs w:val="32"/>
            </w:rPr>
          </w:pPr>
          <w:r>
            <w:fldChar w:fldCharType="begin"/>
          </w:r>
          <w:r>
            <w:instrText xml:space="preserve"> HYPERLINK \l "_Toc17537931" </w:instrText>
          </w:r>
          <w:r>
            <w:fldChar w:fldCharType="separate"/>
          </w:r>
          <w:r>
            <w:rPr>
              <w:rStyle w:val="25"/>
              <w:rFonts w:hint="eastAsia" w:ascii="宋体" w:hAnsi="宋体" w:cs="宋体"/>
              <w:b/>
              <w:sz w:val="32"/>
              <w:szCs w:val="32"/>
            </w:rPr>
            <w:t>第五章  磋商响应文件的组成</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_Toc17537931 \h </w:instrText>
          </w:r>
          <w:r>
            <w:rPr>
              <w:rFonts w:hint="eastAsia" w:ascii="宋体" w:hAnsi="宋体" w:cs="宋体"/>
              <w:b/>
              <w:sz w:val="32"/>
              <w:szCs w:val="32"/>
            </w:rPr>
            <w:fldChar w:fldCharType="separate"/>
          </w:r>
          <w:r>
            <w:rPr>
              <w:rFonts w:ascii="宋体" w:hAnsi="宋体" w:cs="宋体"/>
              <w:b/>
              <w:sz w:val="32"/>
              <w:szCs w:val="32"/>
            </w:rPr>
            <w:t>20</w:t>
          </w:r>
          <w:r>
            <w:rPr>
              <w:rFonts w:hint="eastAsia" w:ascii="宋体" w:hAnsi="宋体" w:cs="宋体"/>
              <w:b/>
              <w:sz w:val="32"/>
              <w:szCs w:val="32"/>
            </w:rPr>
            <w:fldChar w:fldCharType="end"/>
          </w:r>
          <w:r>
            <w:rPr>
              <w:rFonts w:hint="eastAsia" w:ascii="宋体" w:hAnsi="宋体" w:cs="宋体"/>
              <w:b/>
              <w:sz w:val="32"/>
              <w:szCs w:val="32"/>
            </w:rPr>
            <w:fldChar w:fldCharType="end"/>
          </w:r>
          <w:bookmarkStart w:id="7" w:name="_GoBack"/>
          <w:bookmarkEnd w:id="7"/>
        </w:p>
        <w:p w14:paraId="6449EA37">
          <w:pPr>
            <w:pStyle w:val="17"/>
            <w:rPr>
              <w:rFonts w:ascii="宋体" w:hAnsi="宋体" w:cs="宋体"/>
              <w:b/>
              <w:sz w:val="32"/>
              <w:szCs w:val="32"/>
            </w:rPr>
          </w:pPr>
          <w:r>
            <w:fldChar w:fldCharType="begin"/>
          </w:r>
          <w:r>
            <w:instrText xml:space="preserve"> HYPERLINK \l "_Toc17537932" </w:instrText>
          </w:r>
          <w:r>
            <w:fldChar w:fldCharType="separate"/>
          </w:r>
          <w:r>
            <w:rPr>
              <w:rStyle w:val="25"/>
              <w:rFonts w:hint="eastAsia" w:ascii="宋体" w:hAnsi="宋体" w:cs="宋体"/>
              <w:b/>
              <w:sz w:val="32"/>
              <w:szCs w:val="32"/>
            </w:rPr>
            <w:t>第六章  附    件</w:t>
          </w:r>
          <w:r>
            <w:rPr>
              <w:rFonts w:hint="eastAsia" w:ascii="宋体" w:hAnsi="宋体" w:cs="宋体"/>
              <w:b/>
              <w:sz w:val="32"/>
              <w:szCs w:val="32"/>
            </w:rPr>
            <w:tab/>
          </w:r>
          <w:r>
            <w:rPr>
              <w:rFonts w:hint="eastAsia" w:ascii="宋体" w:hAnsi="宋体" w:cs="宋体"/>
              <w:b/>
              <w:sz w:val="32"/>
              <w:szCs w:val="32"/>
            </w:rPr>
            <w:fldChar w:fldCharType="begin"/>
          </w:r>
          <w:r>
            <w:rPr>
              <w:rFonts w:hint="eastAsia" w:ascii="宋体" w:hAnsi="宋体" w:cs="宋体"/>
              <w:b/>
              <w:sz w:val="32"/>
              <w:szCs w:val="32"/>
            </w:rPr>
            <w:instrText xml:space="preserve"> PAGEREF _Toc17537932 \h </w:instrText>
          </w:r>
          <w:r>
            <w:rPr>
              <w:rFonts w:hint="eastAsia" w:ascii="宋体" w:hAnsi="宋体" w:cs="宋体"/>
              <w:b/>
              <w:sz w:val="32"/>
              <w:szCs w:val="32"/>
            </w:rPr>
            <w:fldChar w:fldCharType="separate"/>
          </w:r>
          <w:r>
            <w:rPr>
              <w:rFonts w:ascii="宋体" w:hAnsi="宋体" w:cs="宋体"/>
              <w:b/>
              <w:sz w:val="32"/>
              <w:szCs w:val="32"/>
            </w:rPr>
            <w:t>24</w:t>
          </w:r>
          <w:r>
            <w:rPr>
              <w:rFonts w:hint="eastAsia" w:ascii="宋体" w:hAnsi="宋体" w:cs="宋体"/>
              <w:b/>
              <w:sz w:val="32"/>
              <w:szCs w:val="32"/>
            </w:rPr>
            <w:fldChar w:fldCharType="end"/>
          </w:r>
          <w:r>
            <w:rPr>
              <w:rFonts w:hint="eastAsia" w:ascii="宋体" w:hAnsi="宋体" w:cs="宋体"/>
              <w:b/>
              <w:sz w:val="32"/>
              <w:szCs w:val="32"/>
            </w:rPr>
            <w:fldChar w:fldCharType="end"/>
          </w:r>
        </w:p>
        <w:p w14:paraId="02AB2FA1">
          <w:pPr>
            <w:rPr>
              <w:rFonts w:ascii="宋体" w:hAnsi="宋体" w:cs="宋体"/>
            </w:rPr>
          </w:pPr>
          <w:r>
            <w:rPr>
              <w:rFonts w:hint="eastAsia" w:ascii="宋体" w:hAnsi="宋体" w:cs="宋体"/>
              <w:b/>
              <w:sz w:val="32"/>
              <w:szCs w:val="32"/>
            </w:rPr>
            <w:fldChar w:fldCharType="end"/>
          </w:r>
        </w:p>
      </w:sdtContent>
    </w:sdt>
    <w:p w14:paraId="7C4ED953">
      <w:pPr>
        <w:spacing w:line="360" w:lineRule="auto"/>
        <w:jc w:val="center"/>
        <w:rPr>
          <w:rFonts w:ascii="宋体" w:hAnsi="宋体" w:cs="宋体"/>
          <w:b/>
          <w:bCs/>
          <w:sz w:val="24"/>
          <w:szCs w:val="24"/>
        </w:rPr>
      </w:pPr>
    </w:p>
    <w:p w14:paraId="77F43AF0">
      <w:pPr>
        <w:spacing w:line="360" w:lineRule="auto"/>
        <w:rPr>
          <w:rFonts w:ascii="宋体" w:hAnsi="宋体" w:cs="宋体"/>
          <w:b/>
          <w:bCs/>
          <w:sz w:val="24"/>
          <w:szCs w:val="24"/>
        </w:rPr>
      </w:pPr>
    </w:p>
    <w:p w14:paraId="6F860EC8">
      <w:pPr>
        <w:spacing w:line="360" w:lineRule="auto"/>
        <w:rPr>
          <w:rFonts w:ascii="宋体" w:hAnsi="宋体" w:cs="宋体"/>
          <w:b/>
          <w:bCs/>
          <w:sz w:val="24"/>
          <w:szCs w:val="24"/>
        </w:rPr>
      </w:pPr>
    </w:p>
    <w:p w14:paraId="04F209C4">
      <w:pPr>
        <w:spacing w:line="360" w:lineRule="auto"/>
        <w:rPr>
          <w:rFonts w:ascii="宋体" w:hAnsi="宋体" w:cs="宋体"/>
          <w:b/>
          <w:bCs/>
          <w:sz w:val="24"/>
          <w:szCs w:val="24"/>
        </w:rPr>
      </w:pPr>
    </w:p>
    <w:p w14:paraId="546D6876">
      <w:pPr>
        <w:spacing w:line="360" w:lineRule="auto"/>
        <w:rPr>
          <w:rFonts w:ascii="宋体" w:hAnsi="宋体" w:cs="宋体"/>
          <w:b/>
          <w:bCs/>
          <w:sz w:val="24"/>
          <w:szCs w:val="24"/>
        </w:rPr>
      </w:pPr>
    </w:p>
    <w:p w14:paraId="044D62EB">
      <w:pPr>
        <w:spacing w:line="360" w:lineRule="auto"/>
        <w:rPr>
          <w:rFonts w:ascii="宋体" w:hAnsi="宋体" w:cs="宋体"/>
          <w:b/>
          <w:bCs/>
          <w:sz w:val="24"/>
          <w:szCs w:val="24"/>
        </w:rPr>
      </w:pPr>
    </w:p>
    <w:p w14:paraId="27D88200">
      <w:pPr>
        <w:spacing w:line="360" w:lineRule="auto"/>
        <w:rPr>
          <w:rFonts w:ascii="宋体" w:hAnsi="宋体" w:cs="宋体"/>
          <w:b/>
          <w:bCs/>
          <w:sz w:val="24"/>
          <w:szCs w:val="24"/>
        </w:rPr>
      </w:pPr>
    </w:p>
    <w:p w14:paraId="38000F6B">
      <w:pPr>
        <w:spacing w:line="360" w:lineRule="auto"/>
        <w:rPr>
          <w:rFonts w:ascii="宋体" w:hAnsi="宋体" w:cs="宋体"/>
          <w:b/>
          <w:bCs/>
          <w:sz w:val="24"/>
          <w:szCs w:val="24"/>
        </w:rPr>
      </w:pPr>
    </w:p>
    <w:p w14:paraId="755C5868">
      <w:pPr>
        <w:spacing w:line="360" w:lineRule="auto"/>
        <w:rPr>
          <w:rFonts w:ascii="宋体" w:hAnsi="宋体" w:cs="宋体"/>
          <w:b/>
          <w:bCs/>
          <w:sz w:val="24"/>
          <w:szCs w:val="24"/>
        </w:rPr>
      </w:pPr>
    </w:p>
    <w:p w14:paraId="6B8BF153">
      <w:pPr>
        <w:widowControl/>
        <w:jc w:val="left"/>
        <w:rPr>
          <w:rFonts w:ascii="黑体" w:hAnsi="黑体" w:eastAsia="黑体" w:cs="宋体"/>
          <w:b/>
          <w:sz w:val="44"/>
          <w:szCs w:val="44"/>
        </w:rPr>
      </w:pPr>
      <w:bookmarkStart w:id="0" w:name="_Toc17537926"/>
      <w:r>
        <w:rPr>
          <w:rFonts w:hint="eastAsia" w:ascii="黑体" w:hAnsi="黑体" w:eastAsia="黑体" w:cs="宋体"/>
          <w:b/>
          <w:sz w:val="44"/>
          <w:szCs w:val="44"/>
        </w:rPr>
        <w:br w:type="page"/>
      </w:r>
    </w:p>
    <w:p w14:paraId="72B87421">
      <w:pPr>
        <w:adjustRightInd w:val="0"/>
        <w:snapToGrid w:val="0"/>
        <w:spacing w:line="600" w:lineRule="exact"/>
        <w:jc w:val="center"/>
        <w:rPr>
          <w:rFonts w:hAnsi="黑体" w:eastAsia="黑体" w:cs="宋体"/>
          <w:sz w:val="44"/>
          <w:szCs w:val="44"/>
        </w:rPr>
      </w:pPr>
      <w:r>
        <w:rPr>
          <w:rFonts w:hint="eastAsia" w:ascii="黑体" w:hAnsi="黑体" w:eastAsia="黑体" w:cs="宋体"/>
          <w:b/>
          <w:sz w:val="44"/>
          <w:szCs w:val="44"/>
        </w:rPr>
        <w:t>武南殡仪馆平板火化炉大修及烟囱更换维修项目竞争性磋商公告</w:t>
      </w:r>
      <w:bookmarkEnd w:id="0"/>
    </w:p>
    <w:p w14:paraId="294C1AFD">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67B41F45">
      <w:pPr>
        <w:pBdr>
          <w:top w:val="single" w:color="auto" w:sz="4" w:space="1"/>
          <w:left w:val="single" w:color="auto" w:sz="4" w:space="4"/>
          <w:bottom w:val="single" w:color="auto" w:sz="4" w:space="9"/>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武南殡仪馆平板火化炉大修及烟囱更换维修项目的潜在供应商应在常州市城投建设工程招标有限公司获取采购文件，并于</w:t>
      </w:r>
      <w:r>
        <w:rPr>
          <w:rFonts w:hint="eastAsia" w:ascii="仿宋" w:hAnsi="仿宋" w:eastAsia="仿宋" w:cs="宋体"/>
          <w:b/>
          <w:sz w:val="32"/>
          <w:szCs w:val="32"/>
        </w:rPr>
        <w:t>2025</w:t>
      </w:r>
      <w:r>
        <w:rPr>
          <w:rFonts w:hint="eastAsia" w:ascii="仿宋" w:hAnsi="仿宋" w:eastAsia="仿宋" w:cs="宋体"/>
          <w:b/>
          <w:bCs/>
          <w:sz w:val="32"/>
          <w:szCs w:val="32"/>
        </w:rPr>
        <w:t>年04月15日1</w:t>
      </w:r>
      <w:r>
        <w:rPr>
          <w:rFonts w:ascii="仿宋" w:hAnsi="仿宋" w:eastAsia="仿宋" w:cs="宋体"/>
          <w:b/>
          <w:bCs/>
          <w:sz w:val="32"/>
          <w:szCs w:val="32"/>
        </w:rPr>
        <w:t>5</w:t>
      </w:r>
      <w:r>
        <w:rPr>
          <w:rFonts w:hint="eastAsia" w:ascii="仿宋" w:hAnsi="仿宋" w:eastAsia="仿宋" w:cs="宋体"/>
          <w:b/>
          <w:bCs/>
          <w:sz w:val="32"/>
          <w:szCs w:val="32"/>
        </w:rPr>
        <w:t>点00分（北京时间）</w:t>
      </w:r>
      <w:r>
        <w:rPr>
          <w:rFonts w:hint="eastAsia" w:ascii="仿宋" w:hAnsi="仿宋" w:eastAsia="仿宋" w:cs="宋体"/>
          <w:sz w:val="32"/>
          <w:szCs w:val="32"/>
        </w:rPr>
        <w:t>前提交响应文件。</w:t>
      </w:r>
    </w:p>
    <w:p w14:paraId="04207F39">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6DBD696C">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1.项目编号：</w:t>
      </w:r>
      <w:r>
        <w:rPr>
          <w:rFonts w:ascii="仿宋" w:hAnsi="仿宋" w:eastAsia="仿宋" w:cs="宋体"/>
          <w:sz w:val="32"/>
          <w:szCs w:val="32"/>
        </w:rPr>
        <w:t>CT-SC-2025099</w:t>
      </w:r>
    </w:p>
    <w:p w14:paraId="16824B86">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2.项目名称：武南殡仪馆平板火化炉大修及烟囱更换维修项目</w:t>
      </w:r>
    </w:p>
    <w:p w14:paraId="1F980DC0">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27544FD3">
      <w:pPr>
        <w:snapToGrid w:val="0"/>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4.预算金额：人民币</w:t>
      </w:r>
      <w:r>
        <w:rPr>
          <w:rFonts w:ascii="仿宋" w:hAnsi="仿宋" w:eastAsia="仿宋" w:cs="宋体"/>
          <w:color w:val="000000" w:themeColor="text1"/>
          <w:sz w:val="32"/>
          <w:szCs w:val="32"/>
          <w14:textFill>
            <w14:solidFill>
              <w14:schemeClr w14:val="tx1"/>
            </w14:solidFill>
          </w14:textFill>
        </w:rPr>
        <w:t>32</w:t>
      </w:r>
      <w:r>
        <w:rPr>
          <w:rFonts w:hint="eastAsia" w:ascii="仿宋" w:hAnsi="仿宋" w:eastAsia="仿宋" w:cs="宋体"/>
          <w:color w:val="000000" w:themeColor="text1"/>
          <w:sz w:val="32"/>
          <w:szCs w:val="32"/>
          <w14:textFill>
            <w14:solidFill>
              <w14:schemeClr w14:val="tx1"/>
            </w14:solidFill>
          </w14:textFill>
        </w:rPr>
        <w:t>万元</w:t>
      </w:r>
    </w:p>
    <w:p w14:paraId="688719A8">
      <w:pPr>
        <w:snapToGrid w:val="0"/>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5.最高限价：人民币</w:t>
      </w:r>
      <w:r>
        <w:rPr>
          <w:rFonts w:ascii="仿宋" w:hAnsi="仿宋" w:eastAsia="仿宋" w:cs="宋体"/>
          <w:color w:val="000000" w:themeColor="text1"/>
          <w:sz w:val="32"/>
          <w:szCs w:val="32"/>
          <w14:textFill>
            <w14:solidFill>
              <w14:schemeClr w14:val="tx1"/>
            </w14:solidFill>
          </w14:textFill>
        </w:rPr>
        <w:t>32</w:t>
      </w:r>
      <w:r>
        <w:rPr>
          <w:rFonts w:hint="eastAsia" w:ascii="仿宋" w:hAnsi="仿宋" w:eastAsia="仿宋" w:cs="宋体"/>
          <w:color w:val="000000" w:themeColor="text1"/>
          <w:sz w:val="32"/>
          <w:szCs w:val="32"/>
          <w14:textFill>
            <w14:solidFill>
              <w14:schemeClr w14:val="tx1"/>
            </w14:solidFill>
          </w14:textFill>
        </w:rPr>
        <w:t>万元</w:t>
      </w:r>
    </w:p>
    <w:p w14:paraId="21F0313A">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6.采购需求：本项目为武南殡仪馆平板火化炉大修及烟囱更换维修项目，主要包含平板炉维修、更换不锈钢烟囱、烟闸以及炕面。</w:t>
      </w:r>
    </w:p>
    <w:p w14:paraId="169D46D4">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7.合同履行期限：合同签订后</w:t>
      </w:r>
      <w:r>
        <w:rPr>
          <w:rFonts w:ascii="仿宋" w:hAnsi="仿宋" w:eastAsia="仿宋" w:cs="宋体"/>
          <w:sz w:val="32"/>
          <w:szCs w:val="32"/>
        </w:rPr>
        <w:t>15</w:t>
      </w:r>
      <w:r>
        <w:rPr>
          <w:rFonts w:hint="eastAsia" w:ascii="仿宋" w:hAnsi="仿宋" w:eastAsia="仿宋" w:cs="宋体"/>
          <w:sz w:val="32"/>
          <w:szCs w:val="32"/>
        </w:rPr>
        <w:t>天内完成。</w:t>
      </w:r>
    </w:p>
    <w:p w14:paraId="2AB2F4CE">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8.本项目不接受联合体。</w:t>
      </w:r>
    </w:p>
    <w:p w14:paraId="2E6648BF">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 xml:space="preserve">二、申请人的资格要求 </w:t>
      </w:r>
    </w:p>
    <w:p w14:paraId="25018CEC">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w:t>
      </w:r>
      <w:r>
        <w:rPr>
          <w:rFonts w:hint="eastAsia" w:ascii="仿宋" w:hAnsi="仿宋" w:eastAsia="仿宋" w:cs="宋体"/>
          <w:sz w:val="32"/>
          <w:szCs w:val="32"/>
        </w:rPr>
        <w:t>在中华人民共和国境内注册，</w:t>
      </w:r>
      <w:r>
        <w:rPr>
          <w:rFonts w:hint="eastAsia" w:ascii="仿宋" w:hAnsi="仿宋" w:eastAsia="仿宋" w:cs="宋体"/>
          <w:color w:val="000000"/>
          <w:sz w:val="32"/>
          <w:szCs w:val="32"/>
        </w:rPr>
        <w:t xml:space="preserve">具有独立承担民事责任的能力； </w:t>
      </w:r>
    </w:p>
    <w:p w14:paraId="478802CA">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2.具有良好的商业信誉和健全的财务会计制度； </w:t>
      </w:r>
    </w:p>
    <w:p w14:paraId="47DFDD0B">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3.具有履行合同所必需的设备和专业技术能 力； </w:t>
      </w:r>
    </w:p>
    <w:p w14:paraId="722FCAC8">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4.有依法缴纳税收和社会保障资金的良好记录； </w:t>
      </w:r>
    </w:p>
    <w:p w14:paraId="2E83480E">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5.参加采购活动前三年内，在经营活动中没有重大违法记录； </w:t>
      </w:r>
    </w:p>
    <w:p w14:paraId="7D6FFC0D">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6.法律、行政法规规定的其他条件；</w:t>
      </w:r>
    </w:p>
    <w:p w14:paraId="4C257D0D">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7.单位负责人为同一人或者存在直接控股、管理关系的不同供应商，不得参加同一合同项下的采购活动；</w:t>
      </w:r>
    </w:p>
    <w:p w14:paraId="553B3F27">
      <w:pPr>
        <w:spacing w:line="60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8.未被“信用中国”网站（www.creditchina.gov.cn）列入失信被执行人、重大税收违法案件当事人名单、严重失信行为记录名单；</w:t>
      </w:r>
    </w:p>
    <w:p w14:paraId="5CF2966E">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sz w:val="32"/>
          <w:szCs w:val="32"/>
        </w:rPr>
        <w:t>三、获取采</w:t>
      </w:r>
      <w:r>
        <w:rPr>
          <w:rFonts w:hint="eastAsia" w:ascii="仿宋" w:hAnsi="仿宋" w:eastAsia="仿宋" w:cs="宋体"/>
          <w:b/>
          <w:color w:val="000000" w:themeColor="text1"/>
          <w:sz w:val="32"/>
          <w:szCs w:val="32"/>
          <w14:textFill>
            <w14:solidFill>
              <w14:schemeClr w14:val="tx1"/>
            </w14:solidFill>
          </w14:textFill>
        </w:rPr>
        <w:t>购文件</w:t>
      </w:r>
    </w:p>
    <w:p w14:paraId="6181DCF1">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ascii="仿宋" w:hAnsi="仿宋" w:eastAsia="仿宋" w:cs="宋体"/>
          <w:b/>
          <w:color w:val="000000" w:themeColor="text1"/>
          <w:sz w:val="32"/>
          <w:szCs w:val="32"/>
          <w14:textFill>
            <w14:solidFill>
              <w14:schemeClr w14:val="tx1"/>
            </w14:solidFill>
          </w14:textFill>
        </w:rPr>
        <w:t>1.时间：</w:t>
      </w:r>
      <w:r>
        <w:rPr>
          <w:rFonts w:hint="eastAsia" w:ascii="仿宋" w:hAnsi="仿宋" w:eastAsia="仿宋" w:cs="宋体"/>
          <w:b/>
          <w:color w:val="000000" w:themeColor="text1"/>
          <w:sz w:val="32"/>
          <w:szCs w:val="32"/>
          <w14:textFill>
            <w14:solidFill>
              <w14:schemeClr w14:val="tx1"/>
            </w14:solidFill>
          </w14:textFill>
        </w:rPr>
        <w:t>2025</w:t>
      </w:r>
      <w:r>
        <w:rPr>
          <w:rFonts w:ascii="仿宋" w:hAnsi="仿宋" w:eastAsia="仿宋" w:cs="宋体"/>
          <w:b/>
          <w:bCs/>
          <w:color w:val="000000" w:themeColor="text1"/>
          <w:kern w:val="0"/>
          <w:sz w:val="32"/>
          <w:szCs w:val="32"/>
          <w14:textFill>
            <w14:solidFill>
              <w14:schemeClr w14:val="tx1"/>
            </w14:solidFill>
          </w14:textFill>
        </w:rPr>
        <w:t>年</w:t>
      </w:r>
      <w:r>
        <w:rPr>
          <w:rFonts w:hint="eastAsia" w:ascii="仿宋" w:hAnsi="仿宋" w:eastAsia="仿宋" w:cs="宋体"/>
          <w:b/>
          <w:bCs/>
          <w:color w:val="000000" w:themeColor="text1"/>
          <w:kern w:val="0"/>
          <w:sz w:val="32"/>
          <w:szCs w:val="32"/>
          <w14:textFill>
            <w14:solidFill>
              <w14:schemeClr w14:val="tx1"/>
            </w14:solidFill>
          </w14:textFill>
        </w:rPr>
        <w:t>04</w:t>
      </w:r>
      <w:r>
        <w:rPr>
          <w:rFonts w:ascii="仿宋" w:hAnsi="仿宋" w:eastAsia="仿宋" w:cs="宋体"/>
          <w:b/>
          <w:bCs/>
          <w:color w:val="000000" w:themeColor="text1"/>
          <w:kern w:val="0"/>
          <w:sz w:val="32"/>
          <w:szCs w:val="32"/>
          <w14:textFill>
            <w14:solidFill>
              <w14:schemeClr w14:val="tx1"/>
            </w14:solidFill>
          </w14:textFill>
        </w:rPr>
        <w:t>月</w:t>
      </w:r>
      <w:r>
        <w:rPr>
          <w:rFonts w:hint="eastAsia" w:ascii="仿宋" w:hAnsi="仿宋" w:eastAsia="仿宋" w:cs="宋体"/>
          <w:b/>
          <w:bCs/>
          <w:color w:val="000000" w:themeColor="text1"/>
          <w:kern w:val="0"/>
          <w:sz w:val="32"/>
          <w:szCs w:val="32"/>
          <w14:textFill>
            <w14:solidFill>
              <w14:schemeClr w14:val="tx1"/>
            </w14:solidFill>
          </w14:textFill>
        </w:rPr>
        <w:t>01</w:t>
      </w:r>
      <w:r>
        <w:rPr>
          <w:rFonts w:ascii="仿宋" w:hAnsi="仿宋" w:eastAsia="仿宋" w:cs="宋体"/>
          <w:b/>
          <w:bCs/>
          <w:color w:val="000000" w:themeColor="text1"/>
          <w:kern w:val="0"/>
          <w:sz w:val="32"/>
          <w:szCs w:val="32"/>
          <w14:textFill>
            <w14:solidFill>
              <w14:schemeClr w14:val="tx1"/>
            </w14:solidFill>
          </w14:textFill>
        </w:rPr>
        <w:t>日至</w:t>
      </w:r>
      <w:r>
        <w:rPr>
          <w:rFonts w:hint="eastAsia" w:ascii="仿宋" w:hAnsi="仿宋" w:eastAsia="仿宋" w:cs="宋体"/>
          <w:b/>
          <w:bCs/>
          <w:color w:val="000000" w:themeColor="text1"/>
          <w:kern w:val="0"/>
          <w:sz w:val="32"/>
          <w:szCs w:val="32"/>
          <w14:textFill>
            <w14:solidFill>
              <w14:schemeClr w14:val="tx1"/>
            </w14:solidFill>
          </w14:textFill>
        </w:rPr>
        <w:t>04</w:t>
      </w:r>
      <w:r>
        <w:rPr>
          <w:rFonts w:ascii="仿宋" w:hAnsi="仿宋" w:eastAsia="仿宋" w:cs="宋体"/>
          <w:b/>
          <w:bCs/>
          <w:color w:val="000000" w:themeColor="text1"/>
          <w:kern w:val="0"/>
          <w:sz w:val="32"/>
          <w:szCs w:val="32"/>
          <w14:textFill>
            <w14:solidFill>
              <w14:schemeClr w14:val="tx1"/>
            </w14:solidFill>
          </w14:textFill>
        </w:rPr>
        <w:t>月</w:t>
      </w:r>
      <w:r>
        <w:rPr>
          <w:rFonts w:hint="eastAsia" w:ascii="仿宋" w:hAnsi="仿宋" w:eastAsia="仿宋" w:cs="宋体"/>
          <w:b/>
          <w:bCs/>
          <w:color w:val="000000" w:themeColor="text1"/>
          <w:kern w:val="0"/>
          <w:sz w:val="32"/>
          <w:szCs w:val="32"/>
          <w14:textFill>
            <w14:solidFill>
              <w14:schemeClr w14:val="tx1"/>
            </w14:solidFill>
          </w14:textFill>
        </w:rPr>
        <w:t>09</w:t>
      </w:r>
      <w:r>
        <w:rPr>
          <w:rFonts w:ascii="仿宋" w:hAnsi="仿宋" w:eastAsia="仿宋" w:cs="宋体"/>
          <w:b/>
          <w:bCs/>
          <w:color w:val="000000" w:themeColor="text1"/>
          <w:kern w:val="0"/>
          <w:sz w:val="32"/>
          <w:szCs w:val="32"/>
          <w14:textFill>
            <w14:solidFill>
              <w14:schemeClr w14:val="tx1"/>
            </w14:solidFill>
          </w14:textFill>
        </w:rPr>
        <w:t>日，</w:t>
      </w:r>
      <w:r>
        <w:rPr>
          <w:rFonts w:hint="eastAsia" w:ascii="仿宋" w:hAnsi="仿宋" w:eastAsia="仿宋" w:cs="宋体"/>
          <w:b/>
          <w:color w:val="000000" w:themeColor="text1"/>
          <w:sz w:val="32"/>
          <w:szCs w:val="32"/>
          <w14:textFill>
            <w14:solidFill>
              <w14:schemeClr w14:val="tx1"/>
            </w14:solidFill>
          </w14:textFill>
        </w:rPr>
        <w:t>每天上午</w:t>
      </w:r>
      <w:r>
        <w:rPr>
          <w:rFonts w:ascii="仿宋" w:hAnsi="仿宋" w:eastAsia="仿宋" w:cs="宋体"/>
          <w:b/>
          <w:color w:val="000000" w:themeColor="text1"/>
          <w:sz w:val="32"/>
          <w:szCs w:val="32"/>
          <w14:textFill>
            <w14:solidFill>
              <w14:schemeClr w14:val="tx1"/>
            </w14:solidFill>
          </w14:textFill>
        </w:rPr>
        <w:t>8:30至11:30，下午1:</w:t>
      </w:r>
      <w:r>
        <w:rPr>
          <w:rFonts w:hint="eastAsia" w:ascii="仿宋" w:hAnsi="仿宋" w:eastAsia="仿宋" w:cs="宋体"/>
          <w:b/>
          <w:color w:val="000000" w:themeColor="text1"/>
          <w:sz w:val="32"/>
          <w:szCs w:val="32"/>
          <w14:textFill>
            <w14:solidFill>
              <w14:schemeClr w14:val="tx1"/>
            </w14:solidFill>
          </w14:textFill>
        </w:rPr>
        <w:t>0</w:t>
      </w:r>
      <w:r>
        <w:rPr>
          <w:rFonts w:ascii="仿宋" w:hAnsi="仿宋" w:eastAsia="仿宋" w:cs="宋体"/>
          <w:b/>
          <w:color w:val="000000" w:themeColor="text1"/>
          <w:sz w:val="32"/>
          <w:szCs w:val="32"/>
          <w14:textFill>
            <w14:solidFill>
              <w14:schemeClr w14:val="tx1"/>
            </w14:solidFill>
          </w14:textFill>
        </w:rPr>
        <w:t>0至5:</w:t>
      </w:r>
      <w:r>
        <w:rPr>
          <w:rFonts w:hint="eastAsia" w:ascii="仿宋" w:hAnsi="仿宋" w:eastAsia="仿宋" w:cs="宋体"/>
          <w:b/>
          <w:color w:val="000000" w:themeColor="text1"/>
          <w:sz w:val="32"/>
          <w:szCs w:val="32"/>
          <w14:textFill>
            <w14:solidFill>
              <w14:schemeClr w14:val="tx1"/>
            </w14:solidFill>
          </w14:textFill>
        </w:rPr>
        <w:t>0</w:t>
      </w:r>
      <w:r>
        <w:rPr>
          <w:rFonts w:ascii="仿宋" w:hAnsi="仿宋" w:eastAsia="仿宋" w:cs="宋体"/>
          <w:b/>
          <w:color w:val="000000" w:themeColor="text1"/>
          <w:sz w:val="32"/>
          <w:szCs w:val="32"/>
          <w14:textFill>
            <w14:solidFill>
              <w14:schemeClr w14:val="tx1"/>
            </w14:solidFill>
          </w14:textFill>
        </w:rPr>
        <w:t>0（北京时间，法定节假日除外）</w:t>
      </w:r>
    </w:p>
    <w:p w14:paraId="4E05E15E">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2.地点：</w:t>
      </w:r>
      <w:r>
        <w:rPr>
          <w:rFonts w:hint="eastAsia" w:ascii="仿宋" w:hAnsi="仿宋" w:eastAsia="仿宋" w:cs="宋体"/>
          <w:color w:val="000000" w:themeColor="text1"/>
          <w:kern w:val="0"/>
          <w:sz w:val="32"/>
          <w:szCs w:val="32"/>
          <w14:textFill>
            <w14:solidFill>
              <w14:schemeClr w14:val="tx1"/>
            </w14:solidFill>
          </w14:textFill>
        </w:rPr>
        <w:t>常州市城投建设工程招标有限公司（常州市新北区通江中路396号中创大厦4楼）</w:t>
      </w:r>
      <w:r>
        <w:rPr>
          <w:rFonts w:hint="eastAsia" w:ascii="仿宋" w:hAnsi="仿宋" w:eastAsia="仿宋" w:cs="宋体"/>
          <w:color w:val="000000" w:themeColor="text1"/>
          <w:sz w:val="32"/>
          <w:szCs w:val="32"/>
          <w14:textFill>
            <w14:solidFill>
              <w14:schemeClr w14:val="tx1"/>
            </w14:solidFill>
          </w14:textFill>
        </w:rPr>
        <w:t xml:space="preserve"> </w:t>
      </w:r>
    </w:p>
    <w:p w14:paraId="52A3A87E">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3.方式：</w:t>
      </w:r>
    </w:p>
    <w:p w14:paraId="6B83BF57">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①线上领购</w:t>
      </w:r>
    </w:p>
    <w:p w14:paraId="38505714">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供应商应在常州市城投建设工程招标有限公司（</w:t>
      </w:r>
      <w:r>
        <w:rPr>
          <w:rFonts w:ascii="仿宋" w:hAnsi="仿宋" w:eastAsia="仿宋" w:cs="宋体"/>
          <w:color w:val="000000" w:themeColor="text1"/>
          <w:sz w:val="32"/>
          <w:szCs w:val="32"/>
          <w14:textFill>
            <w14:solidFill>
              <w14:schemeClr w14:val="tx1"/>
            </w14:solidFill>
          </w14:textFill>
        </w:rPr>
        <w:t>www.czctzb.com）网站免费注册，在获取磋商文件时间内缴纳磋商文件费用，上传领购申请表（</w:t>
      </w:r>
      <w:r>
        <w:rPr>
          <w:rFonts w:hint="eastAsia" w:ascii="仿宋" w:hAnsi="仿宋" w:eastAsia="仿宋" w:cs="宋体"/>
          <w:color w:val="000000" w:themeColor="text1"/>
          <w:sz w:val="32"/>
          <w:szCs w:val="32"/>
          <w14:textFill>
            <w14:solidFill>
              <w14:schemeClr w14:val="tx1"/>
            </w14:solidFill>
          </w14:textFill>
        </w:rPr>
        <w:t>下载</w:t>
      </w:r>
      <w:r>
        <w:rPr>
          <w:rFonts w:ascii="仿宋" w:hAnsi="仿宋" w:eastAsia="仿宋" w:cs="宋体"/>
          <w:color w:val="000000" w:themeColor="text1"/>
          <w:sz w:val="32"/>
          <w:szCs w:val="32"/>
          <w14:textFill>
            <w14:solidFill>
              <w14:schemeClr w14:val="tx1"/>
            </w14:solidFill>
          </w14:textFill>
        </w:rPr>
        <w:t>链接</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http://www.czctzb.com/sub_down12.html</w:t>
      </w:r>
      <w:r>
        <w:rPr>
          <w:rFonts w:hint="eastAsia" w:ascii="仿宋" w:hAnsi="仿宋" w:eastAsia="仿宋" w:cs="宋体"/>
          <w:color w:val="000000" w:themeColor="text1"/>
          <w:sz w:val="32"/>
          <w:szCs w:val="32"/>
          <w14:textFill>
            <w14:solidFill>
              <w14:schemeClr w14:val="tx1"/>
            </w14:solidFill>
          </w14:textFill>
        </w:rPr>
        <w:t>）、电汇或网银凭证，经工作人员审核后下载本项目磋商文件。</w:t>
      </w:r>
    </w:p>
    <w:p w14:paraId="7D297872">
      <w:pPr>
        <w:shd w:val="clear" w:color="auto" w:fill="FFFFFF"/>
        <w:adjustRightInd w:val="0"/>
        <w:snapToGrid w:val="0"/>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收款单位：常州市城投建设工程招标有限公司</w:t>
      </w:r>
    </w:p>
    <w:p w14:paraId="3AFEB9FB">
      <w:pPr>
        <w:shd w:val="clear" w:color="auto" w:fill="FFFFFF"/>
        <w:adjustRightInd w:val="0"/>
        <w:snapToGrid w:val="0"/>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开户银行：中国建设银行常州大成苑支行</w:t>
      </w:r>
    </w:p>
    <w:p w14:paraId="5931A2BB">
      <w:pPr>
        <w:shd w:val="clear" w:color="auto" w:fill="FFFFFF"/>
        <w:adjustRightInd w:val="0"/>
        <w:snapToGrid w:val="0"/>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银行账号：32001624236052500905</w:t>
      </w:r>
    </w:p>
    <w:p w14:paraId="603CC3E3">
      <w:pPr>
        <w:shd w:val="clear" w:color="auto" w:fill="FFFFFF"/>
        <w:adjustRightInd w:val="0"/>
        <w:snapToGrid w:val="0"/>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提醒：</w:t>
      </w:r>
      <w:r>
        <w:rPr>
          <w:rFonts w:ascii="仿宋" w:hAnsi="仿宋" w:eastAsia="仿宋" w:cs="宋体"/>
          <w:b/>
          <w:color w:val="000000" w:themeColor="text1"/>
          <w:sz w:val="32"/>
          <w:szCs w:val="32"/>
          <w14:textFill>
            <w14:solidFill>
              <w14:schemeClr w14:val="tx1"/>
            </w14:solidFill>
          </w14:textFill>
        </w:rPr>
        <w:t>1.电汇或网银备注摘要中注明本项目采购编号，个人汇款注明单位简称；2.供应商应在上述获取磋商文件时间内完成注册及领购磋商文件事宜，否则系统关闭，无法再领购。</w:t>
      </w:r>
    </w:p>
    <w:p w14:paraId="1633C125">
      <w:pPr>
        <w:shd w:val="clear" w:color="auto" w:fill="FFFFFF"/>
        <w:adjustRightInd w:val="0"/>
        <w:snapToGrid w:val="0"/>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②现场领购</w:t>
      </w:r>
    </w:p>
    <w:p w14:paraId="5A856E93">
      <w:pPr>
        <w:shd w:val="clear" w:color="auto" w:fill="FFFFFF"/>
        <w:adjustRightInd w:val="0"/>
        <w:snapToGrid w:val="0"/>
        <w:spacing w:line="60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供应商应</w:t>
      </w:r>
      <w:r>
        <w:rPr>
          <w:rFonts w:hint="eastAsia" w:ascii="仿宋" w:hAnsi="仿宋" w:eastAsia="仿宋" w:cs="宋体"/>
          <w:color w:val="000000" w:themeColor="text1"/>
          <w:kern w:val="0"/>
          <w:sz w:val="32"/>
          <w:szCs w:val="32"/>
          <w14:textFill>
            <w14:solidFill>
              <w14:schemeClr w14:val="tx1"/>
            </w14:solidFill>
          </w14:textFill>
        </w:rPr>
        <w:t>提供</w:t>
      </w:r>
      <w:r>
        <w:rPr>
          <w:rFonts w:hint="eastAsia" w:ascii="仿宋" w:hAnsi="仿宋" w:eastAsia="仿宋" w:cs="宋体"/>
          <w:color w:val="000000" w:themeColor="text1"/>
          <w:sz w:val="32"/>
          <w:szCs w:val="32"/>
          <w14:textFill>
            <w14:solidFill>
              <w14:schemeClr w14:val="tx1"/>
            </w14:solidFill>
          </w14:textFill>
        </w:rPr>
        <w:t>领购申请表（下载</w:t>
      </w:r>
      <w:r>
        <w:rPr>
          <w:rFonts w:ascii="仿宋" w:hAnsi="仿宋" w:eastAsia="仿宋" w:cs="宋体"/>
          <w:color w:val="000000" w:themeColor="text1"/>
          <w:sz w:val="32"/>
          <w:szCs w:val="32"/>
          <w14:textFill>
            <w14:solidFill>
              <w14:schemeClr w14:val="tx1"/>
            </w14:solidFill>
          </w14:textFill>
        </w:rPr>
        <w:t>链接</w:t>
      </w:r>
      <w:r>
        <w:rPr>
          <w:rFonts w:hint="eastAsia" w:ascii="仿宋" w:hAnsi="仿宋" w:eastAsia="仿宋" w:cs="宋体"/>
          <w:color w:val="000000" w:themeColor="text1"/>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http://www.czctzb.com/sub_down12.html</w:t>
      </w:r>
      <w:r>
        <w:rPr>
          <w:rFonts w:hint="eastAsia" w:ascii="仿宋" w:hAnsi="仿宋" w:eastAsia="仿宋" w:cs="宋体"/>
          <w:color w:val="000000" w:themeColor="text1"/>
          <w:sz w:val="32"/>
          <w:szCs w:val="32"/>
          <w14:textFill>
            <w14:solidFill>
              <w14:schemeClr w14:val="tx1"/>
            </w14:solidFill>
          </w14:textFill>
        </w:rPr>
        <w:t>），在</w:t>
      </w:r>
      <w:r>
        <w:rPr>
          <w:rFonts w:hint="eastAsia" w:ascii="仿宋" w:hAnsi="仿宋" w:eastAsia="仿宋" w:cs="宋体"/>
          <w:color w:val="000000" w:themeColor="text1"/>
          <w:kern w:val="0"/>
          <w:sz w:val="32"/>
          <w:szCs w:val="32"/>
          <w14:textFill>
            <w14:solidFill>
              <w14:schemeClr w14:val="tx1"/>
            </w14:solidFill>
          </w14:textFill>
        </w:rPr>
        <w:t>常州市城投建设工程招标有限公司（常州市新北区通江中路396号中创大厦4楼）综合办领购磋商文件。</w:t>
      </w:r>
    </w:p>
    <w:p w14:paraId="4BEFD7D7">
      <w:pPr>
        <w:shd w:val="clear" w:color="auto" w:fill="FFFFFF"/>
        <w:adjustRightInd w:val="0"/>
        <w:snapToGrid w:val="0"/>
        <w:spacing w:line="60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③咨询电话：0519-81580101   0519-81580192-6002  </w:t>
      </w:r>
    </w:p>
    <w:p w14:paraId="4B383629">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4.售价：</w:t>
      </w:r>
      <w:r>
        <w:rPr>
          <w:rFonts w:hint="eastAsia" w:ascii="仿宋" w:hAnsi="仿宋" w:eastAsia="仿宋" w:cs="宋体"/>
          <w:b/>
          <w:color w:val="000000" w:themeColor="text1"/>
          <w:kern w:val="0"/>
          <w:sz w:val="32"/>
          <w:szCs w:val="32"/>
          <w14:textFill>
            <w14:solidFill>
              <w14:schemeClr w14:val="tx1"/>
            </w14:solidFill>
          </w14:textFill>
        </w:rPr>
        <w:t>人民币伍佰元整</w:t>
      </w:r>
    </w:p>
    <w:p w14:paraId="4682A1AE">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sz w:val="32"/>
          <w:szCs w:val="32"/>
        </w:rPr>
        <w:t>四、响应文</w:t>
      </w:r>
      <w:r>
        <w:rPr>
          <w:rFonts w:hint="eastAsia" w:ascii="仿宋" w:hAnsi="仿宋" w:eastAsia="仿宋" w:cs="宋体"/>
          <w:b/>
          <w:color w:val="000000" w:themeColor="text1"/>
          <w:sz w:val="32"/>
          <w:szCs w:val="32"/>
          <w14:textFill>
            <w14:solidFill>
              <w14:schemeClr w14:val="tx1"/>
            </w14:solidFill>
          </w14:textFill>
        </w:rPr>
        <w:t>件提交</w:t>
      </w:r>
    </w:p>
    <w:p w14:paraId="1C816170">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截止时间：</w:t>
      </w:r>
      <w:r>
        <w:rPr>
          <w:rFonts w:hint="eastAsia" w:ascii="仿宋" w:hAnsi="仿宋" w:eastAsia="仿宋" w:cs="宋体"/>
          <w:b/>
          <w:sz w:val="32"/>
          <w:szCs w:val="32"/>
        </w:rPr>
        <w:t>2025</w:t>
      </w:r>
      <w:r>
        <w:rPr>
          <w:rFonts w:hint="eastAsia" w:ascii="仿宋" w:hAnsi="仿宋" w:eastAsia="仿宋" w:cs="宋体"/>
          <w:b/>
          <w:bCs/>
          <w:sz w:val="32"/>
          <w:szCs w:val="32"/>
        </w:rPr>
        <w:t>年04月15日1</w:t>
      </w:r>
      <w:r>
        <w:rPr>
          <w:rFonts w:ascii="仿宋" w:hAnsi="仿宋" w:eastAsia="仿宋" w:cs="宋体"/>
          <w:b/>
          <w:bCs/>
          <w:sz w:val="32"/>
          <w:szCs w:val="32"/>
        </w:rPr>
        <w:t>5</w:t>
      </w:r>
      <w:r>
        <w:rPr>
          <w:rFonts w:hint="eastAsia" w:ascii="仿宋" w:hAnsi="仿宋" w:eastAsia="仿宋" w:cs="宋体"/>
          <w:b/>
          <w:bCs/>
          <w:sz w:val="32"/>
          <w:szCs w:val="32"/>
        </w:rPr>
        <w:t>点00分</w:t>
      </w:r>
      <w:r>
        <w:rPr>
          <w:rFonts w:hint="eastAsia" w:ascii="仿宋" w:hAnsi="仿宋" w:eastAsia="仿宋" w:cs="宋体"/>
          <w:color w:val="000000" w:themeColor="text1"/>
          <w:sz w:val="32"/>
          <w:szCs w:val="32"/>
          <w14:textFill>
            <w14:solidFill>
              <w14:schemeClr w14:val="tx1"/>
            </w14:solidFill>
          </w14:textFill>
        </w:rPr>
        <w:t>（北京时间）</w:t>
      </w:r>
    </w:p>
    <w:p w14:paraId="2A83B545">
      <w:pPr>
        <w:spacing w:line="60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地点：常州市城投建设工程招标有限公司（常州市武进区科教城天润科技大厦D座406室）</w:t>
      </w:r>
    </w:p>
    <w:p w14:paraId="19CDD8A8">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五、开启</w:t>
      </w:r>
    </w:p>
    <w:p w14:paraId="08FD6E8A">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时间：</w:t>
      </w:r>
      <w:r>
        <w:rPr>
          <w:rFonts w:hint="eastAsia" w:ascii="仿宋" w:hAnsi="仿宋" w:eastAsia="仿宋" w:cs="宋体"/>
          <w:b/>
          <w:sz w:val="32"/>
          <w:szCs w:val="32"/>
        </w:rPr>
        <w:t>2025</w:t>
      </w:r>
      <w:r>
        <w:rPr>
          <w:rFonts w:hint="eastAsia" w:ascii="仿宋" w:hAnsi="仿宋" w:eastAsia="仿宋" w:cs="宋体"/>
          <w:b/>
          <w:bCs/>
          <w:sz w:val="32"/>
          <w:szCs w:val="32"/>
        </w:rPr>
        <w:t>年04月15日1</w:t>
      </w:r>
      <w:r>
        <w:rPr>
          <w:rFonts w:ascii="仿宋" w:hAnsi="仿宋" w:eastAsia="仿宋" w:cs="宋体"/>
          <w:b/>
          <w:bCs/>
          <w:sz w:val="32"/>
          <w:szCs w:val="32"/>
        </w:rPr>
        <w:t>5</w:t>
      </w:r>
      <w:r>
        <w:rPr>
          <w:rFonts w:hint="eastAsia" w:ascii="仿宋" w:hAnsi="仿宋" w:eastAsia="仿宋" w:cs="宋体"/>
          <w:b/>
          <w:bCs/>
          <w:sz w:val="32"/>
          <w:szCs w:val="32"/>
        </w:rPr>
        <w:t>点00分</w:t>
      </w:r>
      <w:r>
        <w:rPr>
          <w:rFonts w:hint="eastAsia" w:ascii="仿宋" w:hAnsi="仿宋" w:eastAsia="仿宋" w:cs="宋体"/>
          <w:color w:val="000000" w:themeColor="text1"/>
          <w:sz w:val="32"/>
          <w:szCs w:val="32"/>
          <w14:textFill>
            <w14:solidFill>
              <w14:schemeClr w14:val="tx1"/>
            </w14:solidFill>
          </w14:textFill>
        </w:rPr>
        <w:t>（北京时间）</w:t>
      </w:r>
    </w:p>
    <w:p w14:paraId="7D865EE0">
      <w:pPr>
        <w:spacing w:line="60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地点：常州市城投建设工程招标有限公司（常州市武进区科教城天润科技大厦D座406室）</w:t>
      </w:r>
    </w:p>
    <w:p w14:paraId="26F2A0CD">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450FA1D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03C0153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7AF99DBD">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sz w:val="32"/>
          <w:szCs w:val="32"/>
        </w:rPr>
        <w:t>1.现场踏</w:t>
      </w:r>
      <w:r>
        <w:rPr>
          <w:rFonts w:hint="eastAsia" w:ascii="仿宋" w:hAnsi="仿宋" w:eastAsia="仿宋" w:cs="宋体"/>
          <w:b/>
          <w:color w:val="000000" w:themeColor="text1"/>
          <w:sz w:val="32"/>
          <w:szCs w:val="32"/>
          <w14:textFill>
            <w14:solidFill>
              <w14:schemeClr w14:val="tx1"/>
            </w14:solidFill>
          </w14:textFill>
        </w:rPr>
        <w:t>勘及标前答疑</w:t>
      </w:r>
    </w:p>
    <w:p w14:paraId="55254A8E">
      <w:pPr>
        <w:spacing w:line="60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（1）供应商自行踏勘现场。</w:t>
      </w:r>
    </w:p>
    <w:p w14:paraId="12A9FCD6">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标前答疑</w:t>
      </w:r>
    </w:p>
    <w:p w14:paraId="1E5549A7">
      <w:pPr>
        <w:spacing w:line="60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供应商对竞争性磋商文件如有疑问，请将疑问于2025</w:t>
      </w:r>
      <w:r>
        <w:rPr>
          <w:rFonts w:hint="eastAsia" w:ascii="仿宋" w:hAnsi="仿宋" w:eastAsia="仿宋" w:cs="宋体"/>
          <w:b/>
          <w:bCs/>
          <w:color w:val="000000" w:themeColor="text1"/>
          <w:kern w:val="0"/>
          <w:sz w:val="32"/>
          <w:szCs w:val="32"/>
          <w14:textFill>
            <w14:solidFill>
              <w14:schemeClr w14:val="tx1"/>
            </w14:solidFill>
          </w14:textFill>
        </w:rPr>
        <w:t>年04月10日</w:t>
      </w:r>
      <w:r>
        <w:rPr>
          <w:rFonts w:ascii="仿宋" w:hAnsi="仿宋" w:eastAsia="仿宋" w:cs="宋体"/>
          <w:b/>
          <w:bCs/>
          <w:color w:val="000000" w:themeColor="text1"/>
          <w:kern w:val="0"/>
          <w:sz w:val="32"/>
          <w:szCs w:val="32"/>
          <w14:textFill>
            <w14:solidFill>
              <w14:schemeClr w14:val="tx1"/>
            </w14:solidFill>
          </w14:textFill>
        </w:rPr>
        <w:t>11</w:t>
      </w:r>
      <w:r>
        <w:rPr>
          <w:rFonts w:hint="eastAsia" w:ascii="仿宋" w:hAnsi="仿宋" w:eastAsia="仿宋" w:cs="宋体"/>
          <w:b/>
          <w:color w:val="000000" w:themeColor="text1"/>
          <w:sz w:val="32"/>
          <w:szCs w:val="32"/>
          <w14:textFill>
            <w14:solidFill>
              <w14:schemeClr w14:val="tx1"/>
            </w14:solidFill>
          </w14:textFill>
        </w:rPr>
        <w:t>点</w:t>
      </w:r>
      <w:r>
        <w:rPr>
          <w:rFonts w:ascii="仿宋" w:hAnsi="仿宋" w:eastAsia="仿宋" w:cs="宋体"/>
          <w:b/>
          <w:color w:val="000000" w:themeColor="text1"/>
          <w:sz w:val="32"/>
          <w:szCs w:val="32"/>
          <w14:textFill>
            <w14:solidFill>
              <w14:schemeClr w14:val="tx1"/>
            </w14:solidFill>
          </w14:textFill>
        </w:rPr>
        <w:t>00分</w:t>
      </w:r>
      <w:r>
        <w:rPr>
          <w:rFonts w:hint="eastAsia" w:ascii="仿宋" w:hAnsi="仿宋" w:eastAsia="仿宋" w:cs="宋体"/>
          <w:b/>
          <w:color w:val="000000" w:themeColor="text1"/>
          <w:sz w:val="32"/>
          <w:szCs w:val="32"/>
          <w14:textFill>
            <w14:solidFill>
              <w14:schemeClr w14:val="tx1"/>
            </w14:solidFill>
          </w14:textFill>
        </w:rPr>
        <w:t>（北京时间）</w:t>
      </w:r>
      <w:r>
        <w:rPr>
          <w:rFonts w:hint="eastAsia" w:ascii="仿宋" w:hAnsi="仿宋" w:eastAsia="仿宋" w:cs="宋体"/>
          <w:color w:val="000000" w:themeColor="text1"/>
          <w:sz w:val="32"/>
          <w:szCs w:val="32"/>
          <w14:textFill>
            <w14:solidFill>
              <w14:schemeClr w14:val="tx1"/>
            </w14:solidFill>
          </w14:textFill>
        </w:rPr>
        <w:t>前以书面形式提交或传真至常州市城投建设工程招标有限公司。传真：0519-81580105；邮箱：czctzb@163.com</w:t>
      </w:r>
    </w:p>
    <w:p w14:paraId="48F75014">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2.磋商保证金</w:t>
      </w:r>
    </w:p>
    <w:p w14:paraId="52C7E2E3">
      <w:pPr>
        <w:spacing w:line="600" w:lineRule="exact"/>
        <w:ind w:firstLine="640"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sz w:val="32"/>
          <w:szCs w:val="32"/>
        </w:rPr>
        <w:t>（1）磋商保证</w:t>
      </w:r>
      <w:r>
        <w:rPr>
          <w:rFonts w:hint="eastAsia" w:ascii="仿宋" w:hAnsi="仿宋" w:eastAsia="仿宋" w:cs="宋体"/>
          <w:color w:val="000000" w:themeColor="text1"/>
          <w:sz w:val="32"/>
          <w:szCs w:val="32"/>
          <w14:textFill>
            <w14:solidFill>
              <w14:schemeClr w14:val="tx1"/>
            </w14:solidFill>
          </w14:textFill>
        </w:rPr>
        <w:t>金数额：</w:t>
      </w:r>
      <w:r>
        <w:rPr>
          <w:rFonts w:hint="eastAsia" w:ascii="仿宋" w:hAnsi="仿宋" w:eastAsia="仿宋" w:cs="宋体"/>
          <w:b/>
          <w:color w:val="000000" w:themeColor="text1"/>
          <w:sz w:val="32"/>
          <w:szCs w:val="32"/>
          <w14:textFill>
            <w14:solidFill>
              <w14:schemeClr w14:val="tx1"/>
            </w14:solidFill>
          </w14:textFill>
        </w:rPr>
        <w:t>人民币伍仟元整</w:t>
      </w:r>
    </w:p>
    <w:p w14:paraId="5957ED37">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（2）磋商保证金专用账户</w:t>
      </w:r>
    </w:p>
    <w:p w14:paraId="1D342D27">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收款单位：常州市城投建设工程招标有限公司</w:t>
      </w:r>
    </w:p>
    <w:p w14:paraId="75B4E04B">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开户银行：中国民生银行新北支行</w:t>
      </w:r>
    </w:p>
    <w:p w14:paraId="370DA71D">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银行账号：</w:t>
      </w:r>
      <w:r>
        <w:rPr>
          <w:rFonts w:ascii="仿宋" w:hAnsi="仿宋" w:eastAsia="仿宋" w:cs="宋体"/>
          <w:b/>
          <w:color w:val="000000" w:themeColor="text1"/>
          <w:sz w:val="32"/>
          <w:szCs w:val="32"/>
          <w14:textFill>
            <w14:solidFill>
              <w14:schemeClr w14:val="tx1"/>
            </w14:solidFill>
          </w14:textFill>
        </w:rPr>
        <w:t>9902001813525332</w:t>
      </w:r>
    </w:p>
    <w:p w14:paraId="21D0E5C5">
      <w:pPr>
        <w:spacing w:line="600" w:lineRule="exact"/>
        <w:ind w:firstLine="640"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（3）磋商保证金</w:t>
      </w:r>
      <w:r>
        <w:rPr>
          <w:rFonts w:hint="eastAsia" w:ascii="仿宋" w:hAnsi="仿宋" w:eastAsia="仿宋" w:cs="宋体"/>
          <w:b/>
          <w:color w:val="000000" w:themeColor="text1"/>
          <w:sz w:val="32"/>
          <w:szCs w:val="32"/>
          <w14:textFill>
            <w14:solidFill>
              <w14:schemeClr w14:val="tx1"/>
            </w14:solidFill>
          </w14:textFill>
        </w:rPr>
        <w:t>到账截止时间</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b/>
          <w:bCs/>
          <w:color w:val="000000" w:themeColor="text1"/>
          <w:sz w:val="32"/>
          <w:szCs w:val="32"/>
          <w14:textFill>
            <w14:solidFill>
              <w14:schemeClr w14:val="tx1"/>
            </w14:solidFill>
          </w14:textFill>
        </w:rPr>
        <w:t>2025年04月14日</w:t>
      </w:r>
    </w:p>
    <w:p w14:paraId="660B6F0F">
      <w:pPr>
        <w:spacing w:line="600" w:lineRule="exact"/>
        <w:ind w:firstLine="640" w:firstLineChars="200"/>
        <w:rPr>
          <w:rFonts w:ascii="仿宋" w:hAnsi="仿宋" w:eastAsia="仿宋" w:cs="宋体"/>
          <w:b/>
          <w:bCs/>
          <w:sz w:val="32"/>
          <w:szCs w:val="32"/>
        </w:rPr>
      </w:pPr>
      <w:r>
        <w:rPr>
          <w:rFonts w:hint="eastAsia" w:ascii="仿宋" w:hAnsi="仿宋" w:eastAsia="仿宋" w:cs="宋体"/>
          <w:sz w:val="32"/>
          <w:szCs w:val="32"/>
        </w:rPr>
        <w:t>（4）磋商保证金交纳方式：银行电汇或转账</w:t>
      </w:r>
      <w:r>
        <w:rPr>
          <w:rFonts w:hint="eastAsia" w:ascii="仿宋" w:hAnsi="仿宋" w:eastAsia="仿宋" w:cs="宋体"/>
          <w:b/>
          <w:bCs/>
          <w:sz w:val="32"/>
          <w:szCs w:val="32"/>
        </w:rPr>
        <w:t>（备注项目编号）</w:t>
      </w:r>
    </w:p>
    <w:p w14:paraId="5FB09100">
      <w:pPr>
        <w:spacing w:line="60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sz w:val="32"/>
          <w:szCs w:val="32"/>
        </w:rPr>
        <w:t>（5）供应商必须自行将磋商保证金</w:t>
      </w:r>
      <w:r>
        <w:rPr>
          <w:rFonts w:hint="eastAsia" w:ascii="仿宋" w:hAnsi="仿宋" w:eastAsia="仿宋" w:cs="宋体"/>
          <w:b/>
          <w:color w:val="000000" w:themeColor="text1"/>
          <w:sz w:val="32"/>
          <w:szCs w:val="32"/>
          <w14:textFill>
            <w14:solidFill>
              <w14:schemeClr w14:val="tx1"/>
            </w14:solidFill>
          </w14:textFill>
        </w:rPr>
        <w:t>从公司账户按规定方式和时间缴至常州市城投建设工程招标有限公司磋商保证金专用账户并到账，拒绝以其它方式缴纳，禁止第三方代缴保证金，否则将被视为无效响应，其磋商响应文件将被拒绝。</w:t>
      </w:r>
    </w:p>
    <w:p w14:paraId="13B7A530">
      <w:pPr>
        <w:spacing w:line="600" w:lineRule="exact"/>
        <w:ind w:firstLine="643" w:firstLineChars="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3.竞争性磋商文件售后一概不退。供应商提交的磋商响应文件概不退还。一经领购，供应商不得更改单位名称。</w:t>
      </w:r>
    </w:p>
    <w:p w14:paraId="0748E367">
      <w:pPr>
        <w:spacing w:line="600" w:lineRule="exact"/>
        <w:ind w:firstLine="643" w:firstLineChars="200"/>
        <w:rPr>
          <w:rFonts w:ascii="仿宋" w:hAnsi="仿宋" w:eastAsia="仿宋" w:cs="宋体"/>
          <w:b/>
          <w:sz w:val="32"/>
          <w:szCs w:val="32"/>
        </w:rPr>
      </w:pPr>
      <w:r>
        <w:rPr>
          <w:rFonts w:hint="eastAsia" w:ascii="仿宋" w:hAnsi="仿宋" w:eastAsia="仿宋" w:cs="宋体"/>
          <w:b/>
          <w:color w:val="000000" w:themeColor="text1"/>
          <w:sz w:val="32"/>
          <w:szCs w:val="32"/>
          <w14:textFill>
            <w14:solidFill>
              <w14:schemeClr w14:val="tx1"/>
            </w14:solidFill>
          </w14:textFill>
        </w:rPr>
        <w:t>八、凡对本次采购提出询问，请按以下</w:t>
      </w:r>
      <w:r>
        <w:rPr>
          <w:rFonts w:hint="eastAsia" w:ascii="仿宋" w:hAnsi="仿宋" w:eastAsia="仿宋" w:cs="宋体"/>
          <w:b/>
          <w:sz w:val="32"/>
          <w:szCs w:val="32"/>
        </w:rPr>
        <w:t>方式联系。</w:t>
      </w:r>
    </w:p>
    <w:p w14:paraId="1248AC6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1.采购人信息</w:t>
      </w:r>
    </w:p>
    <w:p w14:paraId="090AB7EC">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称：常州市武进区武南殡仪馆</w:t>
      </w:r>
    </w:p>
    <w:p w14:paraId="7B3E9DA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    址：常州市武进区前黄镇</w:t>
      </w:r>
    </w:p>
    <w:p w14:paraId="2C33872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联系方式：孙先生</w:t>
      </w:r>
    </w:p>
    <w:p w14:paraId="4FD4E1D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34EA07C5">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1138EFA7">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504EA06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736C54E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1E00FDD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项目联系人：王逸菲</w:t>
      </w:r>
    </w:p>
    <w:p w14:paraId="2716699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电　　  话：0519-81580152  81580191  81580192（转分机号6034）　</w:t>
      </w:r>
    </w:p>
    <w:p w14:paraId="21DD627B">
      <w:pPr>
        <w:jc w:val="center"/>
        <w:rPr>
          <w:rFonts w:ascii="宋体" w:hAnsi="宋体" w:cs="宋体"/>
          <w:b/>
          <w:sz w:val="44"/>
          <w:szCs w:val="44"/>
        </w:rPr>
      </w:pPr>
      <w:r>
        <w:rPr>
          <w:rFonts w:hint="eastAsia" w:ascii="宋体" w:hAnsi="宋体" w:cs="宋体"/>
          <w:b/>
          <w:sz w:val="44"/>
          <w:szCs w:val="44"/>
        </w:rPr>
        <w:br w:type="page"/>
      </w:r>
    </w:p>
    <w:p w14:paraId="4517CAFF">
      <w:pPr>
        <w:pStyle w:val="2"/>
        <w:rPr>
          <w:rFonts w:ascii="宋体" w:hAnsi="宋体" w:cs="宋体"/>
        </w:rPr>
      </w:pPr>
      <w:bookmarkStart w:id="1" w:name="_Toc17537927"/>
      <w:r>
        <w:rPr>
          <w:rFonts w:hint="eastAsia" w:ascii="宋体" w:hAnsi="宋体" w:cs="宋体"/>
        </w:rPr>
        <w:t>第一章    总     则</w:t>
      </w:r>
      <w:bookmarkEnd w:id="1"/>
    </w:p>
    <w:p w14:paraId="3CD368F6">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1.采购方式</w:t>
      </w:r>
    </w:p>
    <w:p w14:paraId="156E746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本项目采用竞争性磋商方式，本磋商文件仅适用于磋商公告中所述项目。</w:t>
      </w:r>
    </w:p>
    <w:p w14:paraId="4974F88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2.合格的供应商</w:t>
      </w:r>
    </w:p>
    <w:p w14:paraId="276FFE3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 满足公告中供应商的资格要求的规定。</w:t>
      </w:r>
    </w:p>
    <w:p w14:paraId="0E79027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 满足本文件实质性条款的规定。</w:t>
      </w:r>
    </w:p>
    <w:p w14:paraId="535F56D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3.磋商费用</w:t>
      </w:r>
    </w:p>
    <w:p w14:paraId="0B93028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参加磋商供应商应自行承担所有与参加磋商有关的费用。无论最终成交结果如何，采购代理机构在任何情况下均无义务和责任承担这些费用。</w:t>
      </w:r>
    </w:p>
    <w:p w14:paraId="21D56E2F">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4.磋商文件的组成</w:t>
      </w:r>
    </w:p>
    <w:p w14:paraId="13F0B2D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本文件及依法对本文件所作的更正内容均为磋商文件的组成部分。</w:t>
      </w:r>
    </w:p>
    <w:p w14:paraId="140939D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供应商应仔细检查磋商文件是否齐全，如有缺漏，立即与代理机构联系解决。</w:t>
      </w:r>
    </w:p>
    <w:p w14:paraId="40FDE519">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认真阅读磋商文件中所有的事项、格式、条款和规范等要求。按磋商文件要求和规定编制磋商响应文件，并保证所提供的全部资料的真实性，以使其磋商响应文件对磋商文件作出实质性响应，否则其风险由供应商自行承担。</w:t>
      </w:r>
    </w:p>
    <w:p w14:paraId="674AB5B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供应商一旦参加本项目采购活动，即被认为接受了本磋商文件的规定和约束。</w:t>
      </w:r>
    </w:p>
    <w:p w14:paraId="38291753">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5.磋商文件的补充、澄清、更正</w:t>
      </w:r>
    </w:p>
    <w:p w14:paraId="1B70A4B2">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5.1 代理机构向供应商提供的有关资料和数据，是代理机构现有的能使供应商利用的资料。代理机构对供应商由此而作出的推论、理解和结论概不负责。供应商由于对竞争性磋商文件的任何推论和误解以及采购人对有关问题的口头解释所造成的后果，均由供应商自负。</w:t>
      </w:r>
    </w:p>
    <w:p w14:paraId="4B6AF676">
      <w:pPr>
        <w:spacing w:line="360" w:lineRule="exact"/>
        <w:ind w:firstLine="420" w:firstLineChars="200"/>
        <w:rPr>
          <w:rFonts w:cs="宋体" w:asciiTheme="minorEastAsia" w:hAnsiTheme="minorEastAsia" w:eastAsiaTheme="minorEastAsia"/>
          <w:b/>
          <w:bCs/>
          <w:color w:val="000000"/>
          <w:szCs w:val="21"/>
        </w:rPr>
      </w:pPr>
      <w:r>
        <w:rPr>
          <w:rFonts w:hint="eastAsia" w:cs="宋体" w:asciiTheme="minorEastAsia" w:hAnsiTheme="minorEastAsia" w:eastAsiaTheme="minorEastAsia"/>
          <w:bCs/>
          <w:color w:val="000000"/>
          <w:szCs w:val="21"/>
        </w:rPr>
        <w:t>5.2 供应商提出的与磋商有关的任何问题须在收到竞争性磋商文件后，按规定时间以书面形式提交至采购代理机构，未以书面形式提出或逾期提出的异议将不被接受。</w:t>
      </w:r>
      <w:r>
        <w:rPr>
          <w:rFonts w:hint="eastAsia" w:cs="宋体" w:asciiTheme="minorEastAsia" w:hAnsiTheme="minorEastAsia" w:eastAsiaTheme="minorEastAsia"/>
          <w:szCs w:val="21"/>
        </w:rPr>
        <w:t>如无疑问，视作供应商完全响应竞争性磋商文件的条款和要求。</w:t>
      </w:r>
    </w:p>
    <w:p w14:paraId="617DF6BD">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5.3 采购人及代理机构有权对已发出的竞争性磋商文件进行必要的澄清或更正。</w:t>
      </w:r>
    </w:p>
    <w:p w14:paraId="386FA3C0">
      <w:pPr>
        <w:spacing w:line="360" w:lineRule="exact"/>
        <w:ind w:firstLine="420" w:firstLineChars="200"/>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5.4 采购人可视具体情况，延长磋商响应文件提交截止时间和磋商时间。</w:t>
      </w:r>
    </w:p>
    <w:p w14:paraId="2DE9D697">
      <w:pPr>
        <w:spacing w:line="360" w:lineRule="exact"/>
        <w:ind w:firstLine="422" w:firstLineChars="200"/>
        <w:rPr>
          <w:rFonts w:cs="宋体" w:asciiTheme="minorEastAsia" w:hAnsiTheme="minorEastAsia" w:eastAsiaTheme="minorEastAsia"/>
          <w:b/>
          <w:bCs/>
          <w:szCs w:val="21"/>
        </w:rPr>
      </w:pPr>
      <w:r>
        <w:rPr>
          <w:rFonts w:hint="eastAsia" w:cs="宋体" w:asciiTheme="minorEastAsia" w:hAnsiTheme="minorEastAsia" w:eastAsiaTheme="minorEastAsia"/>
          <w:b/>
          <w:bCs/>
          <w:szCs w:val="21"/>
        </w:rPr>
        <w:t>5.5 所有有关</w:t>
      </w:r>
      <w:r>
        <w:rPr>
          <w:rFonts w:hint="eastAsia" w:cs="宋体" w:asciiTheme="minorEastAsia" w:hAnsiTheme="minorEastAsia" w:eastAsiaTheme="minorEastAsia"/>
          <w:b/>
          <w:szCs w:val="21"/>
        </w:rPr>
        <w:t>竞争性磋商文件的补充、澄清、更正将在</w:t>
      </w:r>
      <w:r>
        <w:rPr>
          <w:rFonts w:hint="eastAsia" w:asciiTheme="minorEastAsia" w:hAnsiTheme="minorEastAsia" w:eastAsiaTheme="minorEastAsia"/>
          <w:b/>
          <w:szCs w:val="21"/>
        </w:rPr>
        <w:t>原公告</w:t>
      </w:r>
      <w:r>
        <w:rPr>
          <w:rFonts w:asciiTheme="minorEastAsia" w:hAnsiTheme="minorEastAsia" w:eastAsiaTheme="minorEastAsia"/>
          <w:b/>
          <w:szCs w:val="21"/>
        </w:rPr>
        <w:t>媒体上</w:t>
      </w:r>
      <w:r>
        <w:rPr>
          <w:rFonts w:hint="eastAsia" w:asciiTheme="minorEastAsia" w:hAnsiTheme="minorEastAsia" w:eastAsiaTheme="minorEastAsia"/>
          <w:b/>
          <w:szCs w:val="21"/>
        </w:rPr>
        <w:t>予以公告</w:t>
      </w:r>
      <w:r>
        <w:rPr>
          <w:rFonts w:hint="eastAsia" w:cs="宋体" w:asciiTheme="minorEastAsia" w:hAnsiTheme="minorEastAsia" w:eastAsiaTheme="minorEastAsia"/>
          <w:b/>
          <w:szCs w:val="21"/>
        </w:rPr>
        <w:t>。上述内容将作为竞争性磋商文件的组成部分，并对供应商具有约束力，由供应商自行关注并获取。</w:t>
      </w:r>
    </w:p>
    <w:p w14:paraId="7EDA3086">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6.供应商的义务</w:t>
      </w:r>
    </w:p>
    <w:p w14:paraId="1384846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6.1 供应商应当认真阅读竞争性磋商文件，完全明了采购项目的内容。</w:t>
      </w:r>
    </w:p>
    <w:p w14:paraId="5DD9649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6.2 供应商应当按照竞争性磋商文件的要求编制磋商响应文件。磋商响应文件应对竞争性磋商文件提出的实质性要求和条件作出完全响应。</w:t>
      </w:r>
    </w:p>
    <w:p w14:paraId="77F620D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6.3 供应商应在磋商响应文件提交截止时间前，将密封的磋商响应文件送达磋商地点。</w:t>
      </w:r>
    </w:p>
    <w:p w14:paraId="3856ECB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6.4 供应商不得相互串通磋商报价，不得排挤其他供应商的公平竞争，损害采购人或者其他供应商合法权益。供应商不得与采购人串通，损害国家利益，公众利益或者他人的合法权益。</w:t>
      </w:r>
    </w:p>
    <w:p w14:paraId="79C2FD44">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7.磋商报价</w:t>
      </w:r>
    </w:p>
    <w:p w14:paraId="487B1808">
      <w:pPr>
        <w:tabs>
          <w:tab w:val="left" w:pos="284"/>
        </w:tabs>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color w:val="000000"/>
          <w:szCs w:val="21"/>
        </w:rPr>
        <w:t>7.1 本项目磋商总价应包括为完成该项服务项目所涉及到的一切相关费用，成交后采购人不再支付其他任何费用。</w:t>
      </w:r>
    </w:p>
    <w:p w14:paraId="3555CE56">
      <w:pPr>
        <w:tabs>
          <w:tab w:val="left" w:pos="284"/>
        </w:tabs>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 磋商报价方式</w:t>
      </w:r>
    </w:p>
    <w:p w14:paraId="37D99481">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7.2.1 供应商应按照竞争性磋商文件中提供的格式完整填写报价一览表。报价一览表中的报价应与磋商分项报价表的总价完全一致，如有不一致的，以报价一览表的报价为准。</w:t>
      </w:r>
    </w:p>
    <w:p w14:paraId="3122FBD8">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szCs w:val="21"/>
        </w:rPr>
        <w:t>供应商填报磋商分项报价表时，每一单项均应计算并填写单价和总价，该表由法定代表人或代理人签署。供应商未填单价或合</w:t>
      </w:r>
      <w:r>
        <w:rPr>
          <w:rFonts w:hint="eastAsia" w:cs="宋体" w:asciiTheme="minorEastAsia" w:hAnsiTheme="minorEastAsia" w:eastAsiaTheme="minorEastAsia"/>
          <w:color w:val="000000" w:themeColor="text1"/>
          <w:szCs w:val="21"/>
          <w14:textFill>
            <w14:solidFill>
              <w14:schemeClr w14:val="tx1"/>
            </w14:solidFill>
          </w14:textFill>
        </w:rPr>
        <w:t>价的项目，在实施后，采购人将不予支付，并视为该项费用已包括在其它有价款的单价或合价内。一项磋商内容只允许一个报价，不接受任何有选择性的磋商报价。</w:t>
      </w:r>
    </w:p>
    <w:p w14:paraId="26246549">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7.2.2 报价货币为人民币，评审时以人民币为准。</w:t>
      </w:r>
    </w:p>
    <w:p w14:paraId="5D4E76DD">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7.2.3 磋商报价高于最高限价的作为无效响应处理。</w:t>
      </w:r>
    </w:p>
    <w:p w14:paraId="2632D1DB">
      <w:pPr>
        <w:spacing w:line="360" w:lineRule="exact"/>
        <w:ind w:firstLine="420"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7.2.4 磋商报价次数：</w:t>
      </w:r>
      <w:r>
        <w:rPr>
          <w:rFonts w:hint="eastAsia" w:cs="宋体" w:asciiTheme="minorEastAsia" w:hAnsiTheme="minorEastAsia" w:eastAsiaTheme="minorEastAsia"/>
          <w:b/>
          <w:color w:val="000000" w:themeColor="text1"/>
          <w:szCs w:val="21"/>
          <w14:textFill>
            <w14:solidFill>
              <w14:schemeClr w14:val="tx1"/>
            </w14:solidFill>
          </w14:textFill>
        </w:rPr>
        <w:t>本项目采用至少二次报价，</w:t>
      </w:r>
      <w:r>
        <w:rPr>
          <w:rFonts w:hint="eastAsia" w:cs="宋体" w:asciiTheme="minorEastAsia" w:hAnsiTheme="minorEastAsia" w:eastAsiaTheme="minorEastAsia"/>
          <w:color w:val="000000" w:themeColor="text1"/>
          <w:szCs w:val="21"/>
          <w14:textFill>
            <w14:solidFill>
              <w14:schemeClr w14:val="tx1"/>
            </w14:solidFill>
          </w14:textFill>
        </w:rPr>
        <w:t>磋商响应文件报价一览表的报价作为首次报价，在磋商结束后，磋商小组应当要求所有实质性响应的供应商在规定时间内提交最后报价，最后报价作为评审依据。</w:t>
      </w:r>
      <w:r>
        <w:rPr>
          <w:rFonts w:hint="eastAsia" w:cs="宋体" w:asciiTheme="minorEastAsia" w:hAnsiTheme="minorEastAsia" w:eastAsiaTheme="minorEastAsia"/>
          <w:b/>
          <w:color w:val="000000" w:themeColor="text1"/>
          <w:szCs w:val="21"/>
          <w14:textFill>
            <w14:solidFill>
              <w14:schemeClr w14:val="tx1"/>
            </w14:solidFill>
          </w14:textFill>
        </w:rPr>
        <w:t>除实质性变动采购需求中的技术、服务要求以及合同草案条款外，供应商的最终报价不得高于磋商响应文件的首次报价，否则视为无效响应。</w:t>
      </w:r>
    </w:p>
    <w:p w14:paraId="06A982AC">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8.磋商响应文件的组成</w:t>
      </w:r>
    </w:p>
    <w:p w14:paraId="3006B83B">
      <w:pPr>
        <w:spacing w:line="360" w:lineRule="exact"/>
        <w:ind w:firstLine="420" w:firstLineChars="200"/>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详见第五章《磋商响应文件的组成》。</w:t>
      </w:r>
    </w:p>
    <w:p w14:paraId="0CD68EAC">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9.磋商保证金</w:t>
      </w:r>
    </w:p>
    <w:p w14:paraId="1E2C0ACB">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9.1 磋商保证金是磋商响应文件的一个组成部分，供应商须按规定从供应商账户缴纳。磋商时，未按要求缴纳保证金的视为无效响应。</w:t>
      </w:r>
    </w:p>
    <w:p w14:paraId="1AA6CAF7">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9.2 未成交供应商的保证金将在成交通知书发出后五个工作日内退还。</w:t>
      </w:r>
    </w:p>
    <w:p w14:paraId="0BC52892">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9.3 成交供应商的磋商保证金将在其合同签约完毕（合同须由代理机构备案）后五个工作日内退还。</w:t>
      </w:r>
    </w:p>
    <w:p w14:paraId="25B21D6A">
      <w:pPr>
        <w:spacing w:line="360" w:lineRule="exact"/>
        <w:ind w:firstLine="420"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9.4 供应商出现下列情况之一的，取消其成交资格，</w:t>
      </w:r>
      <w:r>
        <w:rPr>
          <w:rFonts w:hint="eastAsia" w:cs="宋体" w:asciiTheme="minorEastAsia" w:hAnsiTheme="minorEastAsia" w:eastAsiaTheme="minorEastAsia"/>
          <w:b/>
          <w:color w:val="000000" w:themeColor="text1"/>
          <w:szCs w:val="21"/>
          <w14:textFill>
            <w14:solidFill>
              <w14:schemeClr w14:val="tx1"/>
            </w14:solidFill>
          </w14:textFill>
        </w:rPr>
        <w:t>并没收其磋商保证金：</w:t>
      </w:r>
    </w:p>
    <w:p w14:paraId="3D1F4413">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9.4.1 供应商在磋商有效期内撤回其磋商响应文件（磋商过程中，经采购人确认，实质性变动采购需求中的技术、服务要求以及合同草案条款，供应商退出磋商的除外）；</w:t>
      </w:r>
    </w:p>
    <w:p w14:paraId="73835B33">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9.4.2 成交供应商未能在磋商文件规定的期限提交履约保证金；</w:t>
      </w:r>
    </w:p>
    <w:p w14:paraId="114EAC9D">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9.4.3 成交供应商无正当理由拒绝签订合同或者由于供应商的原因导致成交无效的；</w:t>
      </w:r>
    </w:p>
    <w:p w14:paraId="1240CAE5">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9.4.4 供应商提供的有关资料、资格证明文件被确认是不真实的或供应商之间被证实有串通（统一哄抬价格）、欺诈行为；</w:t>
      </w:r>
    </w:p>
    <w:p w14:paraId="5AB46E15">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9.4.5 供应商被证明有妨碍其他人公平竞争、损害代理机构或者其他供应商合法权益的；</w:t>
      </w:r>
    </w:p>
    <w:p w14:paraId="56F012FD">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9.4.6 法律法规认定的其他情形。</w:t>
      </w:r>
    </w:p>
    <w:p w14:paraId="53155B4F">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10.磋商响应文件的制作</w:t>
      </w:r>
    </w:p>
    <w:p w14:paraId="755CD903">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10.l 供应商应提交</w:t>
      </w:r>
      <w:r>
        <w:rPr>
          <w:rFonts w:hint="eastAsia" w:cs="宋体" w:asciiTheme="minorEastAsia" w:hAnsiTheme="minorEastAsia" w:eastAsiaTheme="minorEastAsia"/>
          <w:b/>
          <w:color w:val="000000" w:themeColor="text1"/>
          <w:szCs w:val="21"/>
          <w:u w:val="single"/>
          <w14:textFill>
            <w14:solidFill>
              <w14:schemeClr w14:val="tx1"/>
            </w14:solidFill>
          </w14:textFill>
        </w:rPr>
        <w:t>装订的磋商响应文件</w:t>
      </w:r>
      <w:r>
        <w:rPr>
          <w:rFonts w:hint="eastAsia" w:cs="宋体" w:asciiTheme="minorEastAsia" w:hAnsiTheme="minorEastAsia" w:eastAsiaTheme="minorEastAsia"/>
          <w:b/>
          <w:bCs/>
          <w:color w:val="000000" w:themeColor="text1"/>
          <w:szCs w:val="21"/>
          <w:u w:val="single"/>
          <w14:textFill>
            <w14:solidFill>
              <w14:schemeClr w14:val="tx1"/>
            </w14:solidFill>
          </w14:textFill>
        </w:rPr>
        <w:t>壹份“正本”、贰份“副本”、壹份“电子文档”（载体</w:t>
      </w:r>
      <w:r>
        <w:rPr>
          <w:rFonts w:cs="宋体" w:asciiTheme="minorEastAsia" w:hAnsiTheme="minorEastAsia" w:eastAsiaTheme="minorEastAsia"/>
          <w:b/>
          <w:bCs/>
          <w:color w:val="000000" w:themeColor="text1"/>
          <w:szCs w:val="21"/>
          <w:u w:val="single"/>
          <w14:textFill>
            <w14:solidFill>
              <w14:schemeClr w14:val="tx1"/>
            </w14:solidFill>
          </w14:textFill>
        </w:rPr>
        <w:t>采用</w:t>
      </w:r>
      <w:r>
        <w:rPr>
          <w:rFonts w:hint="eastAsia" w:cs="宋体" w:asciiTheme="minorEastAsia" w:hAnsiTheme="minorEastAsia" w:eastAsiaTheme="minorEastAsia"/>
          <w:b/>
          <w:bCs/>
          <w:color w:val="000000" w:themeColor="text1"/>
          <w:szCs w:val="21"/>
          <w:u w:val="single"/>
          <w14:textFill>
            <w14:solidFill>
              <w14:schemeClr w14:val="tx1"/>
            </w14:solidFill>
          </w14:textFill>
        </w:rPr>
        <w:t>“电子光盘”或“U盘”，内容包含全套正本磋商响应文件）</w:t>
      </w:r>
      <w:r>
        <w:rPr>
          <w:rFonts w:hint="eastAsia" w:cs="宋体" w:asciiTheme="minorEastAsia" w:hAnsiTheme="minorEastAsia" w:eastAsiaTheme="minorEastAsia"/>
          <w:b/>
          <w:color w:val="000000" w:themeColor="text1"/>
          <w:szCs w:val="21"/>
          <w:u w:val="single"/>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纸质版磋商响应文件正本和副本如有不一致之处，以纸质版正本为准。</w:t>
      </w:r>
    </w:p>
    <w:p w14:paraId="05FE36D6">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10.2 磋商响应文件正本、副本必须全部是打印件。供应商应按照要求签字、盖章。</w:t>
      </w:r>
    </w:p>
    <w:p w14:paraId="048A7534">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10.3 磋商响应文件应无涂改和行间插字，供应商造成的必须修改的错误，修改处应由磋商响应文件法定代表人或授权委托人签字或盖章并加盖供应商公章，否则修改无效。</w:t>
      </w:r>
    </w:p>
    <w:p w14:paraId="4EBF0DFA">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color w:val="000000" w:themeColor="text1"/>
          <w:szCs w:val="21"/>
          <w14:textFill>
            <w14:solidFill>
              <w14:schemeClr w14:val="tx1"/>
            </w14:solidFill>
          </w14:textFill>
        </w:rPr>
        <w:t xml:space="preserve">10.4 </w:t>
      </w:r>
      <w:r>
        <w:rPr>
          <w:rFonts w:hint="eastAsia" w:cs="宋体" w:asciiTheme="minorEastAsia" w:hAnsiTheme="minorEastAsia" w:eastAsiaTheme="minorEastAsia"/>
          <w:b/>
          <w:color w:val="000000" w:themeColor="text1"/>
          <w:szCs w:val="21"/>
          <w14:textFill>
            <w14:solidFill>
              <w14:schemeClr w14:val="tx1"/>
            </w14:solidFill>
          </w14:textFill>
        </w:rPr>
        <w:t>本文件所表述（指定）的公章是</w:t>
      </w:r>
      <w:r>
        <w:rPr>
          <w:rFonts w:hint="eastAsia" w:cs="宋体" w:asciiTheme="minorEastAsia" w:hAnsiTheme="minorEastAsia" w:eastAsiaTheme="minorEastAsia"/>
          <w:b/>
          <w:szCs w:val="21"/>
        </w:rPr>
        <w:t>指法定名称章，不包括合同专用章、业务专用章等印章；盖章是指加盖鲜章。</w:t>
      </w:r>
    </w:p>
    <w:p w14:paraId="1288119B">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11.磋商响应文件的有效期</w:t>
      </w:r>
    </w:p>
    <w:p w14:paraId="09181C5D">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磋商响应文件有效期为规定的开标之日后</w:t>
      </w:r>
      <w:r>
        <w:rPr>
          <w:rFonts w:hint="eastAsia" w:cs="宋体" w:asciiTheme="minorEastAsia" w:hAnsiTheme="minorEastAsia" w:eastAsiaTheme="minorEastAsia"/>
          <w:b/>
          <w:szCs w:val="21"/>
          <w:u w:val="single"/>
        </w:rPr>
        <w:t>六十（60）天</w:t>
      </w:r>
      <w:r>
        <w:rPr>
          <w:rFonts w:hint="eastAsia" w:cs="宋体" w:asciiTheme="minorEastAsia" w:hAnsiTheme="minorEastAsia" w:eastAsiaTheme="minorEastAsia"/>
          <w:szCs w:val="21"/>
        </w:rPr>
        <w:t>。磋商有效期比规定短的将被视为无效响应而予以拒绝。</w:t>
      </w:r>
    </w:p>
    <w:p w14:paraId="7D04BFF9">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12.磋商响应文件的密封</w:t>
      </w:r>
    </w:p>
    <w:p w14:paraId="3A45A96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磋商响应文件</w:t>
      </w:r>
      <w:r>
        <w:rPr>
          <w:rFonts w:hint="eastAsia" w:cs="宋体" w:asciiTheme="minorEastAsia" w:hAnsiTheme="minorEastAsia" w:eastAsiaTheme="minorEastAsia"/>
          <w:b/>
          <w:szCs w:val="21"/>
        </w:rPr>
        <w:t>正本、副本、电子文档均应当密封，</w:t>
      </w:r>
      <w:r>
        <w:rPr>
          <w:rFonts w:hint="eastAsia" w:cs="宋体" w:asciiTheme="minorEastAsia" w:hAnsiTheme="minorEastAsia" w:eastAsiaTheme="minorEastAsia"/>
          <w:szCs w:val="21"/>
        </w:rPr>
        <w:t>所有封袋上都应当</w:t>
      </w:r>
      <w:r>
        <w:rPr>
          <w:rFonts w:hint="eastAsia" w:cs="宋体" w:asciiTheme="minorEastAsia" w:hAnsiTheme="minorEastAsia" w:eastAsiaTheme="minorEastAsia"/>
          <w:b/>
          <w:szCs w:val="21"/>
        </w:rPr>
        <w:t>加盖供应商公章</w:t>
      </w:r>
      <w:r>
        <w:rPr>
          <w:rFonts w:hint="eastAsia" w:cs="宋体" w:asciiTheme="minorEastAsia" w:hAnsiTheme="minorEastAsia" w:eastAsiaTheme="minorEastAsia"/>
          <w:szCs w:val="21"/>
        </w:rPr>
        <w:t>。</w:t>
      </w:r>
    </w:p>
    <w:p w14:paraId="1D805DF0">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13.磋商响应文件提交截止时间及地点</w:t>
      </w:r>
    </w:p>
    <w:p w14:paraId="60A07649">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供应商应在规定的截止日期和时间之前将磋商响应文件提交至公告中注明的地点，凡逾期送达的磋商响应文件将不予接收。</w:t>
      </w:r>
    </w:p>
    <w:p w14:paraId="06E6ADE8">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14.磋商响应文件的修改和撤回</w:t>
      </w:r>
    </w:p>
    <w:p w14:paraId="5AAA598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在提交响应文件截止时间前，可以对所提交的响应文件进行补充、修改或撤回，并书面通知代理机构。补充、修改的内容作为响应文件的组成部分。补充、修改的内容与响应文件不一致的，以补充、修改的内容为准。</w:t>
      </w:r>
    </w:p>
    <w:p w14:paraId="54394504">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szCs w:val="21"/>
        </w:rPr>
        <w:t>供应商的补充、修改或撤回文件应按规定进行</w:t>
      </w:r>
      <w:r>
        <w:rPr>
          <w:rFonts w:hint="eastAsia" w:cs="宋体" w:asciiTheme="minorEastAsia" w:hAnsiTheme="minorEastAsia" w:eastAsiaTheme="minorEastAsia"/>
          <w:color w:val="000000" w:themeColor="text1"/>
          <w:szCs w:val="21"/>
          <w14:textFill>
            <w14:solidFill>
              <w14:schemeClr w14:val="tx1"/>
            </w14:solidFill>
          </w14:textFill>
        </w:rPr>
        <w:t>编制、密封、标记和发送，并应在封套上加注“补充”、“修改”或“撤回”字样。上述补充或修改若涉及磋商报价，必须注明“最后唯一报价”字样，否则将视为有选择的报价。修改文件必须在磋商响应文件提交截止时间前送达磋商地点。</w:t>
      </w:r>
    </w:p>
    <w:p w14:paraId="34199467">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在磋商响应文件提交截止时间至竞争性磋商文件中规定的磋商有效期满之间的这段时间内，供应商不得撤销其磋商响应，否则其磋商保证金将不予退还。（磋商过程中，经采购人确认，实质性变动采购需求中的技术、服务要求以及合同草案条款，供应商退出磋商的除外）</w:t>
      </w:r>
    </w:p>
    <w:p w14:paraId="545F071D">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15.磋商仪式</w:t>
      </w:r>
    </w:p>
    <w:p w14:paraId="5CA0B940">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15.1 代理机构按磋商公告中规定的时间、地点组织磋商开始仪式。</w:t>
      </w:r>
    </w:p>
    <w:p w14:paraId="1CEFC4AA">
      <w:pPr>
        <w:spacing w:line="360" w:lineRule="exact"/>
        <w:ind w:firstLine="420"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15.2 供应商参加磋商仪式的</w:t>
      </w:r>
      <w:r>
        <w:rPr>
          <w:rFonts w:hint="eastAsia" w:cs="宋体" w:asciiTheme="minorEastAsia" w:hAnsiTheme="minorEastAsia" w:eastAsiaTheme="minorEastAsia"/>
          <w:b/>
          <w:color w:val="000000" w:themeColor="text1"/>
          <w:szCs w:val="21"/>
          <w14:textFill>
            <w14:solidFill>
              <w14:schemeClr w14:val="tx1"/>
            </w14:solidFill>
          </w14:textFill>
        </w:rPr>
        <w:t>应由法定代表人或委托代理人准时参加，并签名报到以证明其出席，否则视为无效响应。</w:t>
      </w:r>
    </w:p>
    <w:p w14:paraId="35585D43">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16.磋商小组</w:t>
      </w:r>
    </w:p>
    <w:p w14:paraId="19FEB353">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shd w:val="clear" w:color="auto" w:fill="FFFFFF"/>
          <w14:textFill>
            <w14:solidFill>
              <w14:schemeClr w14:val="tx1"/>
            </w14:solidFill>
          </w14:textFill>
        </w:rPr>
        <w:t>评审由磋商小组负责，磋商小组成员按照客观、公正、审慎的原则，根据磋商文件规定的评审程序、评审方法和评审标准进行独立评审。</w:t>
      </w:r>
    </w:p>
    <w:p w14:paraId="5B3244C7">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17.评审内容的保密</w:t>
      </w:r>
    </w:p>
    <w:p w14:paraId="32856707">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 磋商开始后，直到宣布授予成交供应商合同为止，凡属于审查、澄清、评价和比较磋商响应文件的所有资料，有关授予合同的信息都不应向供应商或与评审无关的其他人泄露。</w:t>
      </w:r>
    </w:p>
    <w:p w14:paraId="42CE3E20">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 xml:space="preserve"> 在评审过程中，供应商不得以任何行为影响评审过程，否则其磋商响应文件将被作为无效磋商响应文件。</w:t>
      </w:r>
    </w:p>
    <w:p w14:paraId="7D322F82">
      <w:pPr>
        <w:spacing w:line="36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代理机构和磋商小组不向未成交的供应商解释未成交原因，也不公布评审过程中的相关细节。</w:t>
      </w:r>
    </w:p>
    <w:p w14:paraId="09557EEC">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18.对磋商响应文件的审查</w:t>
      </w:r>
    </w:p>
    <w:p w14:paraId="2FF2DE68">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磋商响应文件初审分为资格审查和符合性审查。</w:t>
      </w:r>
    </w:p>
    <w:p w14:paraId="134AF7E0">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 资格审查：依据法律法规和竞争性磋商文件的规定，对磋商响应文件中的资格证明文件进行审查。</w:t>
      </w:r>
    </w:p>
    <w:p w14:paraId="3E1419C7">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18.2 符合性审查：依据竞争性磋商文件的规定，由磋商小组从磋商响应文件的有效性、完整性和竞争性磋商响应程度进行审查，以确定是否对竞争性磋商文件的实质性要求作出响应。</w:t>
      </w:r>
    </w:p>
    <w:p w14:paraId="242DB31F">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在正式磋商之前，磋商小组将首先审查每份磋商响应文件是否实质性响应了竞争性磋商文件的要求。实质性响应的磋商响应文件应该是与竞争性磋商文件要求的条款、条件和规格相符，没有重大负偏离或保留。</w:t>
      </w:r>
    </w:p>
    <w:p w14:paraId="083D7F36">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谓重大偏离或保留是指与竞争性磋商文件规定的实质性要求存在负偏离，或者在实质上与竞争性磋商文件不一致，而且限制了合同中采购人和见证方的权利或供应商的义务，纠正这些偏离或保留将会对其他实质性响应要求的供应商的竞争地位产生不公正的影响。重大偏离的认定需经过磋商小组三分二及以上成员的认定。磋商小组决定磋商响应文件的响应性只根据磋商响应文件本身的内容，而不寻求外部的证据。竞争性磋商如果磋商响应文件实质上未响应竞争性磋商文件的要求，磋商小组将予以拒绝，供应商不得通过修改或撤销不合要求的偏离或保留而使其磋商响应文件成为实质性响应。</w:t>
      </w:r>
    </w:p>
    <w:p w14:paraId="3A45F104">
      <w:pPr>
        <w:pStyle w:val="5"/>
        <w:overflowPunct w:val="0"/>
        <w:spacing w:line="360" w:lineRule="exact"/>
        <w:ind w:firstLine="422" w:firstLineChars="200"/>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18.3 磋商响应文件出现下列情况之一的，将作为无效磋商响应文件处理</w:t>
      </w:r>
      <w:r>
        <w:rPr>
          <w:rFonts w:hint="eastAsia" w:cs="宋体" w:asciiTheme="minorEastAsia" w:hAnsiTheme="minorEastAsia" w:eastAsiaTheme="minorEastAsia"/>
          <w:sz w:val="21"/>
          <w:szCs w:val="21"/>
        </w:rPr>
        <w:t xml:space="preserve">： </w:t>
      </w:r>
    </w:p>
    <w:p w14:paraId="283BFB59">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szCs w:val="21"/>
        </w:rPr>
        <w:t>18.3.1 供应商未通过领购</w:t>
      </w:r>
      <w:r>
        <w:rPr>
          <w:rFonts w:hint="eastAsia" w:cs="宋体" w:asciiTheme="minorEastAsia" w:hAnsiTheme="minorEastAsia" w:eastAsiaTheme="minorEastAsia"/>
          <w:color w:val="000000" w:themeColor="text1"/>
          <w:szCs w:val="21"/>
          <w14:textFill>
            <w14:solidFill>
              <w14:schemeClr w14:val="tx1"/>
            </w14:solidFill>
          </w14:textFill>
        </w:rPr>
        <w:t>申请的或者在名称上和法人地位上与领购时发生实质性改变的；</w:t>
      </w:r>
    </w:p>
    <w:p w14:paraId="20265775">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18.3.2 未按竞争性磋商文件要求缴纳磋商保证金的（免交磋商保证金的除外）；</w:t>
      </w:r>
    </w:p>
    <w:p w14:paraId="79F5D9F9">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18.3.3 磋商响应文件提交时未按规定密封、盖章的，电子文档未按要求提供的；</w:t>
      </w:r>
    </w:p>
    <w:p w14:paraId="67B827AE">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18.3.4供应商被“信用中国”网站（www.creditchina.gov.cn）列入失信被执行人、重大税收违法案件当事人名单、严重失信行为记录名单的；；</w:t>
      </w:r>
    </w:p>
    <w:p w14:paraId="1ED732BA">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18.3.5 法定代表人或委托代理人未准时参加磋商的，未按磋商文件要求提供法定代表人资格证明书或授权委托书的、无供应商公章的、无法定代表人或委托代理人签字或盖章的、非原件的；</w:t>
      </w:r>
    </w:p>
    <w:p w14:paraId="40C1CE5B">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18.3.6 供应商不符合磋商文件中规定资格要求的，或者资格要求证明材料提供不齐全的；</w:t>
      </w:r>
    </w:p>
    <w:p w14:paraId="66164928">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18.3.7 磋商响应文件未按竞争性磋商文件规定的格式、内容和要求编制，磋商响应文件字迹潦草、模糊、难以辨认；</w:t>
      </w:r>
    </w:p>
    <w:p w14:paraId="0001640B">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18.3.8 磋商响应文件材料所述情况和所附相关资料不实的；</w:t>
      </w:r>
    </w:p>
    <w:p w14:paraId="5067ABAC">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18.3.9 供应商以他人的名义参加磋商、相互串通、以行贿手段谋取成交或者以其他弄虚作假方式参与磋商的；</w:t>
      </w:r>
    </w:p>
    <w:p w14:paraId="3431CFBC">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18.3.10 供应商在一份磋商响应文件中，对同一采购项目报有两个或多个报价，且未书面确定以哪个报价为准的；</w:t>
      </w:r>
    </w:p>
    <w:p w14:paraId="75FB365C">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18.3.11 供应商的磋商报价超出采购预算或者最高限价的；</w:t>
      </w:r>
    </w:p>
    <w:p w14:paraId="41616A2C">
      <w:pPr>
        <w:spacing w:line="360" w:lineRule="exact"/>
        <w:ind w:firstLine="422"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18.3.12 除实质性变动采购需求中的技术、服务要求以及合同草案条款外，供应商的最终报价高于磋商响应文件的首次报价的；</w:t>
      </w:r>
    </w:p>
    <w:p w14:paraId="5132F279">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18.3.13 未按要求提供带“*”项材料或者带“*”项内容未盖公章的；</w:t>
      </w:r>
    </w:p>
    <w:p w14:paraId="2A8CF9A7">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18.3.14 磋商小组认为供应商的报价明显低于其他通过符合性审查供应商的报价，有可能不能诚信履约的，应当要求其在评审现场合理的时间内提供书面说明，必要时提交相关证明材料；供应商不能证明其报价合理性的，磋商小组应当将其作为无效响应处理；</w:t>
      </w:r>
    </w:p>
    <w:p w14:paraId="7D525282">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18.3.15 磋商响应文件含有采购人不能接受的附加条件的；</w:t>
      </w:r>
    </w:p>
    <w:p w14:paraId="5A343312">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18.3.16 竞争性磋商文件明确规定无效的其他情形，或者其他被磋商小组认定无效的情况；</w:t>
      </w:r>
    </w:p>
    <w:p w14:paraId="1F981E78">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18.3.17 不符合法律、法规和竞争性磋商文件规定的其他实质性要求的。</w:t>
      </w:r>
    </w:p>
    <w:p w14:paraId="29D5AEC6">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18.4 有下列情形之一的，视为供应商相互串通，无效响应：</w:t>
      </w:r>
    </w:p>
    <w:p w14:paraId="059E98DB">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18.4.1 不同供应商的磋商响应文件由同一单位或者个人编制；</w:t>
      </w:r>
    </w:p>
    <w:p w14:paraId="305AC281">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18.4.2 不同供应商委托同一单位或者个人办理磋商事宜；</w:t>
      </w:r>
    </w:p>
    <w:p w14:paraId="24E4AA81">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000000" w:themeColor="text1"/>
          <w:szCs w:val="21"/>
          <w14:textFill>
            <w14:solidFill>
              <w14:schemeClr w14:val="tx1"/>
            </w14:solidFill>
          </w14:textFill>
        </w:rPr>
        <w:t>18.4.3 不同供应商的磋商响应文</w:t>
      </w:r>
      <w:r>
        <w:rPr>
          <w:rFonts w:hint="eastAsia" w:cs="宋体" w:asciiTheme="minorEastAsia" w:hAnsiTheme="minorEastAsia" w:eastAsiaTheme="minorEastAsia"/>
          <w:szCs w:val="21"/>
        </w:rPr>
        <w:t>件载明的项目管理成员或者联系人员为同一人；</w:t>
      </w:r>
    </w:p>
    <w:p w14:paraId="736DCFF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18.4.4 不同供应商的磋商响应文件异常一致或者磋商报价呈规律性差异；</w:t>
      </w:r>
    </w:p>
    <w:p w14:paraId="56CFD394">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18.4.5 不同供应商的磋商响应文件相互混装；</w:t>
      </w:r>
    </w:p>
    <w:p w14:paraId="7DF4AC0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18.4.6 不同供应商的磋商保证金从同一单位或者个人的账户转出。</w:t>
      </w:r>
    </w:p>
    <w:p w14:paraId="2E798661">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19.磋商响应文件的澄清</w:t>
      </w:r>
    </w:p>
    <w:p w14:paraId="0725034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19.1 为了有助于磋商响应文件的审查、评价和比较，磋商小组可以书面方式要求供应商对磋商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31FC15B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19.2 磋商小组可要求供应商就澄清的问题作出答复，该答复经供应商代表的签字认可，将作为磋商响应文件内容的一部分。</w:t>
      </w:r>
    </w:p>
    <w:p w14:paraId="2EDA9DB2">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 xml:space="preserve">19.3 </w:t>
      </w:r>
      <w:r>
        <w:rPr>
          <w:rFonts w:hint="eastAsia" w:cs="宋体" w:asciiTheme="minorEastAsia" w:hAnsiTheme="minorEastAsia" w:eastAsiaTheme="minorEastAsia"/>
          <w:szCs w:val="21"/>
        </w:rPr>
        <w:t>供应商在进行澄清、说明、答辩或补正时，不得改变磋商的价格（校核时发现的算术错误除外）、超出磋商文件的范围及改变磋商响应文件的实质性内容。</w:t>
      </w:r>
    </w:p>
    <w:p w14:paraId="13E08BA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 磋商响应文件报价出现前后不一致的，除竞争性磋商文件另有规定外，按照下列规定修正：</w:t>
      </w:r>
    </w:p>
    <w:p w14:paraId="285B802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19.4.1 磋商响应文件中报价一览表内容与磋商响应文件中相应内容不一致的，以报价一览表为准；</w:t>
      </w:r>
    </w:p>
    <w:p w14:paraId="594F5DB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19.4.2 磋商响应文件的大写金额与小写金额不一致的，以大写金额为准；</w:t>
      </w:r>
    </w:p>
    <w:p w14:paraId="54CBD6C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19.4.3 单价金额小数点或者百分比有明显错位的，以报价一览表的总价为准，并修改单价；</w:t>
      </w:r>
    </w:p>
    <w:p w14:paraId="2AFB7632">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19.4.4 总价金额与按单价汇总金额不一致的，以单价金额计算结果为准。</w:t>
      </w:r>
    </w:p>
    <w:p w14:paraId="0BF23735">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同时出现两种以上不一致的，按照前款规定的顺序修正。修正后的报价按照本竞争性磋商文件规定经供应商确认后产生约束力，供应商不确认的，其磋商无效，其磋商保证金不予退还。</w:t>
      </w:r>
      <w:r>
        <w:rPr>
          <w:rFonts w:hint="eastAsia" w:cs="宋体" w:asciiTheme="minorEastAsia" w:hAnsiTheme="minorEastAsia" w:eastAsiaTheme="minorEastAsia"/>
          <w:b/>
          <w:szCs w:val="21"/>
        </w:rPr>
        <w:t>存在缺项漏项或者数量不符合竞争性磋商文件要求的作为无效磋商响应文件处理</w:t>
      </w:r>
      <w:r>
        <w:rPr>
          <w:rFonts w:hint="eastAsia" w:cs="宋体" w:asciiTheme="minorEastAsia" w:hAnsiTheme="minorEastAsia" w:eastAsiaTheme="minorEastAsia"/>
          <w:szCs w:val="21"/>
        </w:rPr>
        <w:t>；对不同文字文本磋商响应文件的解释发生异议的，以中文文本为准。</w:t>
      </w:r>
    </w:p>
    <w:p w14:paraId="663C93F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19.5 供应商拒不按照磋商小组要求作出澄清、说明或者补正的，作为无效响应处理。</w:t>
      </w:r>
    </w:p>
    <w:p w14:paraId="3D054EE9">
      <w:pPr>
        <w:spacing w:line="360" w:lineRule="exact"/>
        <w:ind w:firstLine="420" w:firstLineChars="200"/>
        <w:rPr>
          <w:rFonts w:cs="宋体" w:asciiTheme="minorEastAsia" w:hAnsiTheme="minorEastAsia" w:eastAsiaTheme="minorEastAsia"/>
          <w:strike/>
          <w:color w:val="000000" w:themeColor="text1"/>
          <w:szCs w:val="21"/>
          <w14:textFill>
            <w14:solidFill>
              <w14:schemeClr w14:val="tx1"/>
            </w14:solidFill>
          </w14:textFill>
        </w:rPr>
      </w:pPr>
      <w:r>
        <w:rPr>
          <w:rFonts w:hint="eastAsia" w:cs="宋体" w:asciiTheme="minorEastAsia" w:hAnsiTheme="minorEastAsia" w:eastAsiaTheme="minorEastAsia"/>
          <w:szCs w:val="21"/>
        </w:rPr>
        <w:t>19.6 磋商小组对</w:t>
      </w:r>
      <w:r>
        <w:rPr>
          <w:rFonts w:hint="eastAsia" w:cs="宋体" w:asciiTheme="minorEastAsia" w:hAnsiTheme="minorEastAsia" w:eastAsiaTheme="minorEastAsia"/>
          <w:color w:val="000000" w:themeColor="text1"/>
          <w:szCs w:val="21"/>
          <w14:textFill>
            <w14:solidFill>
              <w14:schemeClr w14:val="tx1"/>
            </w14:solidFill>
          </w14:textFill>
        </w:rPr>
        <w:t>磋商响应文件的判定，只依据磋商响应文件内容本身，不依靠磋商响应文件后的任何外来证明。</w:t>
      </w:r>
    </w:p>
    <w:p w14:paraId="0FB114DE">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20.磋商变动实质性内容</w:t>
      </w:r>
    </w:p>
    <w:p w14:paraId="177A426C">
      <w:pPr>
        <w:snapToGrid w:val="0"/>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按照磋商文件的变动情况和磋商小组的要求重新提交响应文件，并由其法定代表人或授权代表签字或者加盖公章。由授权代表签字的，应当附法定代表人授权书。</w:t>
      </w:r>
    </w:p>
    <w:p w14:paraId="4852DE6F">
      <w:pPr>
        <w:snapToGrid w:val="0"/>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已提交响应文件的供应商，在提交最后报价前，可以根据磋商情况退出磋商，代理机构退还该供应商磋商保证金。</w:t>
      </w:r>
    </w:p>
    <w:p w14:paraId="2E2C20D1">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21. 出现下列情形之一的，终止竞争性磋商采购活动</w:t>
      </w:r>
    </w:p>
    <w:p w14:paraId="6DF3B941">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21.1 因情况变化，不再符合规定的竞争性磋商采购方式适用情形的；</w:t>
      </w:r>
    </w:p>
    <w:p w14:paraId="3A16EFD2">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21.2 出现影响采购公正的违法、违规行为的；</w:t>
      </w:r>
    </w:p>
    <w:p w14:paraId="1CFB12D9">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000000" w:themeColor="text1"/>
          <w:szCs w:val="21"/>
          <w14:textFill>
            <w14:solidFill>
              <w14:schemeClr w14:val="tx1"/>
            </w14:solidFill>
          </w14:textFill>
        </w:rPr>
        <w:t>21.3 供应商的最终报价均超过了采购</w:t>
      </w:r>
      <w:r>
        <w:rPr>
          <w:rFonts w:hint="eastAsia" w:cs="宋体" w:asciiTheme="minorEastAsia" w:hAnsiTheme="minorEastAsia" w:eastAsiaTheme="minorEastAsia"/>
          <w:szCs w:val="21"/>
        </w:rPr>
        <w:t>预算，采购人不能支付的；</w:t>
      </w:r>
    </w:p>
    <w:p w14:paraId="670ED437">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21.4 因重大变故，采购任务取消的。</w:t>
      </w:r>
    </w:p>
    <w:p w14:paraId="3EF02376">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22.评审方法</w:t>
      </w:r>
    </w:p>
    <w:p w14:paraId="1D8D4BC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22.1</w:t>
      </w:r>
      <w:r>
        <w:rPr>
          <w:rFonts w:hint="eastAsia" w:cs="宋体" w:asciiTheme="minorEastAsia" w:hAnsiTheme="minorEastAsia" w:eastAsiaTheme="minorEastAsia"/>
          <w:b/>
          <w:szCs w:val="21"/>
        </w:rPr>
        <w:t>本项目采用综合评分法，</w:t>
      </w:r>
      <w:r>
        <w:rPr>
          <w:rFonts w:hint="eastAsia" w:cs="宋体" w:asciiTheme="minorEastAsia" w:hAnsiTheme="minorEastAsia" w:eastAsiaTheme="minorEastAsia"/>
          <w:szCs w:val="21"/>
        </w:rPr>
        <w:t>磋商响应文件满足竞争性磋商文件全部实质性要求且按照评审因素的量化指标（即评审细则）得分最高的供应商为成交供应商。</w:t>
      </w:r>
    </w:p>
    <w:p w14:paraId="50A09F9B">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 xml:space="preserve">22.2 </w:t>
      </w:r>
      <w:r>
        <w:rPr>
          <w:rFonts w:hint="eastAsia" w:cs="宋体" w:asciiTheme="minorEastAsia" w:hAnsiTheme="minorEastAsia" w:eastAsiaTheme="minorEastAsia"/>
          <w:b/>
          <w:szCs w:val="21"/>
          <w:u w:val="single"/>
        </w:rPr>
        <w:t>采购人授权磋商小组直接确定成交供应商。</w:t>
      </w:r>
    </w:p>
    <w:p w14:paraId="3D17CB62">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23.</w:t>
      </w:r>
      <w:r>
        <w:rPr>
          <w:rFonts w:hint="eastAsia" w:asciiTheme="minorEastAsia" w:hAnsiTheme="minorEastAsia" w:eastAsiaTheme="minorEastAsia"/>
          <w:bCs/>
          <w:sz w:val="21"/>
          <w:szCs w:val="21"/>
        </w:rPr>
        <w:t>成交结果</w:t>
      </w:r>
      <w:r>
        <w:rPr>
          <w:rFonts w:hint="eastAsia" w:cs="宋体" w:asciiTheme="minorEastAsia" w:hAnsiTheme="minorEastAsia" w:eastAsiaTheme="minorEastAsia"/>
          <w:sz w:val="21"/>
          <w:szCs w:val="21"/>
        </w:rPr>
        <w:t>及公示</w:t>
      </w:r>
    </w:p>
    <w:p w14:paraId="54E252C8">
      <w:pPr>
        <w:pStyle w:val="5"/>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代理机构将成交结果在原公告媒体上予以公告。公告期限为公告发布之日起1个工作日。</w:t>
      </w:r>
    </w:p>
    <w:p w14:paraId="098E96E1">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24.成交通知书</w:t>
      </w:r>
    </w:p>
    <w:p w14:paraId="3E3EEF82">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24.1 成交结果确定后，代理机构将向成交供应商发出成交通知书。</w:t>
      </w:r>
    </w:p>
    <w:p w14:paraId="0F7729CB">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24.2 成交通知书对采购人和成交供应商具有法律约束力。成交通知书发出后，采购人改变成交结果或者成交供应商放弃成交资格，均应当承担相应的法律责任，且不影响成交服务费的支付。</w:t>
      </w:r>
    </w:p>
    <w:p w14:paraId="698B02DF">
      <w:pPr>
        <w:pStyle w:val="5"/>
        <w:overflowPunct w:val="0"/>
        <w:spacing w:line="360" w:lineRule="exact"/>
        <w:ind w:firstLineChars="200"/>
        <w:rPr>
          <w:rFonts w:cs="宋体" w:asciiTheme="minorEastAsia" w:hAnsiTheme="minorEastAsia" w:eastAsiaTheme="minorEastAsia"/>
          <w:b/>
          <w:sz w:val="21"/>
          <w:szCs w:val="21"/>
        </w:rPr>
      </w:pPr>
      <w:r>
        <w:rPr>
          <w:rFonts w:hint="eastAsia" w:cs="宋体" w:asciiTheme="minorEastAsia" w:hAnsiTheme="minorEastAsia" w:eastAsiaTheme="minorEastAsia"/>
          <w:sz w:val="21"/>
          <w:szCs w:val="21"/>
        </w:rPr>
        <w:t>24.3 代理机构及采购人对未成交供应商不承担解释未成交原因的义务。</w:t>
      </w:r>
    </w:p>
    <w:p w14:paraId="14FA12B6">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25.代理机构服务费</w:t>
      </w:r>
    </w:p>
    <w:p w14:paraId="58AC8098">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25.1 代理服务收费标准</w:t>
      </w:r>
    </w:p>
    <w:tbl>
      <w:tblPr>
        <w:tblStyle w:val="21"/>
        <w:tblW w:w="5437"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2410"/>
      </w:tblGrid>
      <w:tr w14:paraId="634C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027" w:type="dxa"/>
          </w:tcPr>
          <w:p w14:paraId="6CCE3510">
            <w:pPr>
              <w:spacing w:line="440" w:lineRule="exact"/>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-5080</wp:posOffset>
                      </wp:positionV>
                      <wp:extent cx="1506855" cy="1675130"/>
                      <wp:effectExtent l="3810" t="3175" r="13335" b="17145"/>
                      <wp:wrapNone/>
                      <wp:docPr id="8" name="Line 47"/>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Line 47" o:spid="_x0000_s1026" o:spt="20" style="position:absolute;left:0pt;flip:x y;margin-left:27pt;margin-top:-0.4pt;height:131.9pt;width:118.65pt;z-index:251666432;mso-width-relative:page;mso-height-relative:page;" filled="f" stroked="t" coordsize="21600,21600" o:gfxdata="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xps4PUAAAACAEAAA8A&#10;AAAAAAAAAQAgAAAAIgAAAGRycy9kb3ducmV2LnhtbFBLAQIUABQAAAAIAIdO4kBI5DlT4gEAAMgD&#10;AAAOAAAAAAAAAAEAIAAAACMBAABkcnMvZTJvRG9jLnhtbFBLBQYAAAAABgAGAFkBAAB3BQAAAAA=&#10;">
                      <v:fill on="f" focussize="0,0"/>
                      <v:stroke color="#000000" joinstyle="round"/>
                      <v:imagedata o:title=""/>
                      <o:lock v:ext="edit" aspectratio="f"/>
                    </v:line>
                  </w:pict>
                </mc:Fallback>
              </mc:AlternateContent>
            </w:r>
            <w:r>
              <w:rPr>
                <w:rFonts w:cs="宋体" w:asciiTheme="minorEastAsia" w:hAnsiTheme="minorEastAsia" w:eastAsiaTheme="minorEastAsia"/>
                <w:bCs/>
                <w:szCs w:val="21"/>
              </w:rPr>
              <mc:AlternateContent>
                <mc:Choice Requires="wps">
                  <w:drawing>
                    <wp:anchor distT="0" distB="0" distL="114300" distR="114300" simplePos="0" relativeHeight="251664384" behindDoc="0" locked="0" layoutInCell="1" allowOverlap="1">
                      <wp:simplePos x="0" y="0"/>
                      <wp:positionH relativeFrom="column">
                        <wp:posOffset>-113030</wp:posOffset>
                      </wp:positionH>
                      <wp:positionV relativeFrom="paragraph">
                        <wp:posOffset>-5080</wp:posOffset>
                      </wp:positionV>
                      <wp:extent cx="635" cy="0"/>
                      <wp:effectExtent l="0" t="4445" r="0" b="5080"/>
                      <wp:wrapNone/>
                      <wp:docPr id="4" name="Line 4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Line 45" o:spid="_x0000_s1026" o:spt="20" style="position:absolute;left:0pt;margin-left:-8.9pt;margin-top:-0.4pt;height:0pt;width:0.05pt;z-index:251664384;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bTGvjSAAAABwEAAA8AAAAAAAAAAQAgAAAAIgAAAGRycy9kb3du&#10;cmV2LnhtbFBLAQIUABQAAAAIAIdO4kCx3tWHzAEAAKoDAAAOAAAAAAAAAAEAIAAAACEBAABkcnMv&#10;ZTJvRG9jLnhtbFBLBQYAAAAABgAGAFkBAABfBQAAAAA=&#10;">
                      <v:fill on="f" focussize="0,0"/>
                      <v:stroke color="#000000" joinstyle="round"/>
                      <v:imagedata o:title=""/>
                      <o:lock v:ext="edit" aspectratio="f"/>
                    </v:line>
                  </w:pict>
                </mc:Fallback>
              </mc:AlternateContent>
            </w:r>
            <w:r>
              <w:rPr>
                <w:rFonts w:hint="eastAsia" w:cs="宋体" w:asciiTheme="minorEastAsia" w:hAnsiTheme="minorEastAsia" w:eastAsiaTheme="minorEastAsia"/>
                <w:bCs/>
                <w:szCs w:val="21"/>
              </w:rPr>
              <w:t>服</w:t>
            </w:r>
          </w:p>
          <w:p w14:paraId="3DD68B97">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费　　　   务</w:t>
            </w:r>
          </w:p>
          <w:p w14:paraId="6AB60588">
            <w:pPr>
              <w:spacing w:line="440" w:lineRule="exact"/>
              <w:ind w:firstLine="420" w:firstLineChars="200"/>
              <w:rPr>
                <w:rFonts w:cs="宋体" w:asciiTheme="minorEastAsia" w:hAnsiTheme="minorEastAsia" w:eastAsiaTheme="minorEastAsia"/>
                <w:bCs/>
                <w:szCs w:val="21"/>
              </w:rPr>
            </w:pPr>
            <w:r>
              <w:rPr>
                <w:rFonts w:cs="宋体" w:asciiTheme="minorEastAsia" w:hAnsiTheme="minorEastAsia" w:eastAsiaTheme="minorEastAsia"/>
                <w:bCs/>
                <w:szCs w:val="21"/>
              </w:rPr>
              <mc:AlternateContent>
                <mc:Choice Requires="wps">
                  <w:drawing>
                    <wp:anchor distT="0" distB="0" distL="114300" distR="114300" simplePos="0" relativeHeight="251665408" behindDoc="0" locked="0" layoutInCell="1" allowOverlap="1">
                      <wp:simplePos x="0" y="0"/>
                      <wp:positionH relativeFrom="column">
                        <wp:posOffset>-83185</wp:posOffset>
                      </wp:positionH>
                      <wp:positionV relativeFrom="paragraph">
                        <wp:posOffset>90805</wp:posOffset>
                      </wp:positionV>
                      <wp:extent cx="1932940" cy="1020445"/>
                      <wp:effectExtent l="2540" t="4445" r="7620" b="3810"/>
                      <wp:wrapNone/>
                      <wp:docPr id="5" name="Line 46"/>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Line 46" o:spid="_x0000_s1026" o:spt="20" style="position:absolute;left:0pt;flip:x y;margin-left:-6.55pt;margin-top:7.15pt;height:80.35pt;width:152.2pt;z-index:251665408;mso-width-relative:page;mso-height-relative:page;" filled="f" stroked="t" coordsize="21600,21600" o:gfxdata="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dmGCNUAAAAKAQAADwAA&#10;AAAAAAABACAAAAAiAAAAZHJzL2Rvd25yZXYueG1sUEsBAhQAFAAAAAgAh07iQH3W7/ngAQAAyAMA&#10;AA4AAAAAAAAAAQAgAAAAJAEAAGRycy9lMm9Eb2MueG1sUEsFBgAAAAAGAAYAWQEAAHYFAAAAAA==&#10;">
                      <v:fill on="f" focussize="0,0"/>
                      <v:stroke color="#000000" joinstyle="round"/>
                      <v:imagedata o:title=""/>
                      <o:lock v:ext="edit" aspectratio="f"/>
                    </v:line>
                  </w:pict>
                </mc:Fallback>
              </mc:AlternateContent>
            </w:r>
            <w:r>
              <w:rPr>
                <w:rFonts w:hint="eastAsia" w:cs="宋体" w:asciiTheme="minorEastAsia" w:hAnsiTheme="minorEastAsia" w:eastAsiaTheme="minorEastAsia"/>
                <w:bCs/>
                <w:szCs w:val="21"/>
              </w:rPr>
              <w:t>　   类</w:t>
            </w:r>
          </w:p>
          <w:p w14:paraId="63FF1EE7">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率　       型</w:t>
            </w:r>
          </w:p>
          <w:p w14:paraId="4D515E5B">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　　　　</w:t>
            </w:r>
          </w:p>
          <w:p w14:paraId="459DAC1D">
            <w:pPr>
              <w:spacing w:line="440" w:lineRule="exact"/>
              <w:ind w:firstLine="420" w:firstLineChars="200"/>
              <w:rPr>
                <w:rFonts w:cs="宋体" w:asciiTheme="minorEastAsia" w:hAnsiTheme="minorEastAsia" w:eastAsiaTheme="minorEastAsia"/>
                <w:bCs/>
                <w:szCs w:val="21"/>
              </w:rPr>
            </w:pPr>
            <w:r>
              <w:rPr>
                <w:rFonts w:hint="eastAsia" w:cs="宋体" w:asciiTheme="minorEastAsia" w:hAnsiTheme="minorEastAsia" w:eastAsiaTheme="minorEastAsia"/>
                <w:bCs/>
                <w:szCs w:val="21"/>
              </w:rPr>
              <w:t>成交金额（万元）</w:t>
            </w:r>
          </w:p>
        </w:tc>
        <w:tc>
          <w:tcPr>
            <w:tcW w:w="2410" w:type="dxa"/>
            <w:vAlign w:val="center"/>
          </w:tcPr>
          <w:p w14:paraId="4CE0B352">
            <w:pPr>
              <w:spacing w:line="440" w:lineRule="exact"/>
              <w:ind w:firstLine="420" w:firstLineChars="20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服务类</w:t>
            </w:r>
          </w:p>
        </w:tc>
      </w:tr>
      <w:tr w14:paraId="7B62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7AC1A308">
            <w:pPr>
              <w:spacing w:line="28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100（含，下同）以下</w:t>
            </w:r>
          </w:p>
        </w:tc>
        <w:tc>
          <w:tcPr>
            <w:tcW w:w="2410" w:type="dxa"/>
          </w:tcPr>
          <w:p w14:paraId="719850DB">
            <w:pPr>
              <w:spacing w:line="28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w:t>
            </w:r>
          </w:p>
        </w:tc>
      </w:tr>
      <w:tr w14:paraId="5D1A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190EE386">
            <w:pPr>
              <w:spacing w:line="28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100-500</w:t>
            </w:r>
          </w:p>
        </w:tc>
        <w:tc>
          <w:tcPr>
            <w:tcW w:w="2410" w:type="dxa"/>
          </w:tcPr>
          <w:p w14:paraId="6B3B4D8A">
            <w:pPr>
              <w:spacing w:line="28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0.8%</w:t>
            </w:r>
          </w:p>
        </w:tc>
      </w:tr>
      <w:tr w14:paraId="104A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vAlign w:val="center"/>
          </w:tcPr>
          <w:p w14:paraId="60A11670">
            <w:pPr>
              <w:spacing w:line="28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500—1000</w:t>
            </w:r>
          </w:p>
        </w:tc>
        <w:tc>
          <w:tcPr>
            <w:tcW w:w="2410" w:type="dxa"/>
            <w:vAlign w:val="center"/>
          </w:tcPr>
          <w:p w14:paraId="1EE69E0E">
            <w:pPr>
              <w:spacing w:line="28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0.45%</w:t>
            </w:r>
          </w:p>
        </w:tc>
      </w:tr>
      <w:tr w14:paraId="46D7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tcPr>
          <w:p w14:paraId="0E119B7B">
            <w:pPr>
              <w:spacing w:line="44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w:t>
            </w:r>
          </w:p>
        </w:tc>
        <w:tc>
          <w:tcPr>
            <w:tcW w:w="2410" w:type="dxa"/>
          </w:tcPr>
          <w:p w14:paraId="54867F8B">
            <w:pPr>
              <w:spacing w:line="440" w:lineRule="exact"/>
              <w:ind w:firstLine="420" w:firstLineChars="20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w:t>
            </w:r>
          </w:p>
        </w:tc>
      </w:tr>
      <w:tr w14:paraId="43DF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7" w:type="dxa"/>
            <w:vAlign w:val="center"/>
          </w:tcPr>
          <w:p w14:paraId="64551612">
            <w:pPr>
              <w:spacing w:line="360" w:lineRule="exact"/>
              <w:ind w:firstLine="420" w:firstLineChars="200"/>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按上述计算方法不足3000 元</w:t>
            </w:r>
          </w:p>
        </w:tc>
        <w:tc>
          <w:tcPr>
            <w:tcW w:w="2410" w:type="dxa"/>
            <w:vAlign w:val="center"/>
          </w:tcPr>
          <w:p w14:paraId="2F3CA055">
            <w:pPr>
              <w:spacing w:line="360" w:lineRule="exact"/>
              <w:ind w:firstLine="420" w:firstLineChars="200"/>
              <w:jc w:val="center"/>
              <w:rPr>
                <w:rFonts w:cs="宋体" w:asciiTheme="minorEastAsia" w:hAnsiTheme="minorEastAsia" w:eastAsiaTheme="minorEastAsia"/>
                <w:bCs/>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3000 元</w:t>
            </w:r>
          </w:p>
        </w:tc>
      </w:tr>
    </w:tbl>
    <w:p w14:paraId="787D01FF">
      <w:pPr>
        <w:spacing w:line="360" w:lineRule="exact"/>
        <w:ind w:firstLine="420" w:firstLineChars="200"/>
        <w:jc w:val="lef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25.2 成交服务收费按差额定率累进法计算。 </w:t>
      </w:r>
    </w:p>
    <w:p w14:paraId="6EC282E7">
      <w:pPr>
        <w:spacing w:line="360" w:lineRule="exact"/>
        <w:ind w:firstLine="422" w:firstLineChars="200"/>
        <w:jc w:val="left"/>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25.3</w:t>
      </w:r>
      <w:r>
        <w:rPr>
          <w:rFonts w:hint="eastAsia" w:cs="宋体" w:asciiTheme="minorEastAsia" w:hAnsiTheme="minorEastAsia" w:eastAsiaTheme="minorEastAsia"/>
          <w:color w:val="000000" w:themeColor="text1"/>
          <w:szCs w:val="21"/>
          <w14:textFill>
            <w14:solidFill>
              <w14:schemeClr w14:val="tx1"/>
            </w14:solidFill>
          </w14:textFill>
        </w:rPr>
        <w:t xml:space="preserve"> </w:t>
      </w:r>
      <w:r>
        <w:rPr>
          <w:rFonts w:hint="eastAsia" w:cs="宋体" w:asciiTheme="minorEastAsia" w:hAnsiTheme="minorEastAsia" w:eastAsiaTheme="minorEastAsia"/>
          <w:b/>
          <w:color w:val="000000" w:themeColor="text1"/>
          <w:szCs w:val="21"/>
          <w14:textFill>
            <w14:solidFill>
              <w14:schemeClr w14:val="tx1"/>
            </w14:solidFill>
          </w14:textFill>
        </w:rPr>
        <w:t>成交供应商应在领取成交通知书时将成交服务费付至</w:t>
      </w:r>
      <w:r>
        <w:rPr>
          <w:rFonts w:hint="eastAsia" w:cs="宋体" w:asciiTheme="minorEastAsia" w:hAnsiTheme="minorEastAsia" w:eastAsiaTheme="minorEastAsia"/>
          <w:b/>
          <w:bCs/>
          <w:color w:val="000000" w:themeColor="text1"/>
          <w:szCs w:val="21"/>
          <w14:textFill>
            <w14:solidFill>
              <w14:schemeClr w14:val="tx1"/>
            </w14:solidFill>
          </w14:textFill>
        </w:rPr>
        <w:t>常州市城投建设工程招标有限公司服务费账户</w:t>
      </w:r>
      <w:r>
        <w:rPr>
          <w:rFonts w:hint="eastAsia" w:cs="宋体" w:asciiTheme="minorEastAsia" w:hAnsiTheme="minorEastAsia" w:eastAsiaTheme="minorEastAsia"/>
          <w:b/>
          <w:color w:val="000000" w:themeColor="text1"/>
          <w:szCs w:val="21"/>
          <w14:textFill>
            <w14:solidFill>
              <w14:schemeClr w14:val="tx1"/>
            </w14:solidFill>
          </w14:textFill>
        </w:rPr>
        <w:t>。</w:t>
      </w:r>
    </w:p>
    <w:p w14:paraId="3724CE15">
      <w:pPr>
        <w:spacing w:line="36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收款单位：常州市城投建设工程招标有限公司</w:t>
      </w:r>
    </w:p>
    <w:p w14:paraId="1A02C057">
      <w:pPr>
        <w:spacing w:line="36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开户银行：中国建设银行常州大成苑支行</w:t>
      </w:r>
    </w:p>
    <w:p w14:paraId="769992BC">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银行账号：32001624236052500905</w:t>
      </w:r>
    </w:p>
    <w:p w14:paraId="7C9F1AEC">
      <w:pPr>
        <w:pStyle w:val="2"/>
        <w:ind w:firstLine="422" w:firstLineChars="200"/>
        <w:jc w:val="lef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26.合同的签订</w:t>
      </w:r>
    </w:p>
    <w:p w14:paraId="7ED8CDD6">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26.1 成交供应商应在成交通知书发出之日起三十日内与采购人签订合同，否则磋商保证金将不予退还，由此给采购人造成损失的，成交供应商还应承担赔偿责任。</w:t>
      </w:r>
    </w:p>
    <w:p w14:paraId="5E5D7F8E">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26.2磋商文件、成交供应商的磋商响应文件及磋商过程中有关澄清、承诺文件均应作为合同附件。</w:t>
      </w:r>
    </w:p>
    <w:p w14:paraId="43F34B52">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26.3 签订合同后，成交供应商不得将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679D4F5F">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color w:val="000000" w:themeColor="text1"/>
          <w:szCs w:val="21"/>
          <w14:textFill>
            <w14:solidFill>
              <w14:schemeClr w14:val="tx1"/>
            </w14:solidFill>
          </w14:textFill>
        </w:rPr>
        <w:t>26.4 成交供应商因不可抗力导致无法按期签订合同的，应当在不可抗力发生之日起5日内提出，并提供书面证据，采购人及成交供应商互不承担任何责任及损失。如成交供应商无正当理由未按期签订合同的，视为</w:t>
      </w:r>
      <w:r>
        <w:rPr>
          <w:rFonts w:hint="eastAsia" w:cs="宋体" w:asciiTheme="minorEastAsia" w:hAnsiTheme="minorEastAsia" w:eastAsiaTheme="minorEastAsia"/>
          <w:szCs w:val="21"/>
        </w:rPr>
        <w:t>自动放弃成交资格，采购人有权追究其违约责任，同时采购人</w:t>
      </w:r>
      <w:r>
        <w:rPr>
          <w:rFonts w:hint="eastAsia" w:cs="宋体" w:asciiTheme="minorEastAsia" w:hAnsiTheme="minorEastAsia" w:eastAsiaTheme="minorEastAsia"/>
          <w:color w:val="333333"/>
          <w:szCs w:val="21"/>
          <w:shd w:val="clear" w:color="auto" w:fill="FFFFFF"/>
        </w:rPr>
        <w:t>可以按照评审报告推荐的成交候选人名单排序，确定下一候选人为成交供应商，也可</w:t>
      </w:r>
      <w:r>
        <w:rPr>
          <w:rFonts w:hint="eastAsia" w:cs="宋体" w:asciiTheme="minorEastAsia" w:hAnsiTheme="minorEastAsia" w:eastAsiaTheme="minorEastAsia"/>
          <w:szCs w:val="21"/>
          <w:shd w:val="clear" w:color="auto" w:fill="FFFFFF"/>
        </w:rPr>
        <w:t>以重新开展采购活动。</w:t>
      </w:r>
    </w:p>
    <w:p w14:paraId="18FACD6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26.5合同履行中，采购人需追加与合同标的相同的货物或服务的，在不改变合同其他条款的前提下，可以与成交供应商协商签订补充合同，但所有补充合同的采购金额不超过原合同金额10%。</w:t>
      </w:r>
    </w:p>
    <w:p w14:paraId="68A68C62">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27. 诚实信用</w:t>
      </w:r>
    </w:p>
    <w:p w14:paraId="58646CA2">
      <w:pPr>
        <w:snapToGrid w:val="0"/>
        <w:spacing w:line="360" w:lineRule="exact"/>
        <w:ind w:firstLine="420" w:firstLineChars="200"/>
        <w:rPr>
          <w:rFonts w:ascii="宋体" w:hAnsi="宋体" w:cs="宋体"/>
          <w:szCs w:val="21"/>
        </w:rPr>
      </w:pPr>
      <w:r>
        <w:rPr>
          <w:rFonts w:hint="eastAsia" w:ascii="宋体" w:hAnsi="宋体" w:cs="宋体"/>
          <w:szCs w:val="21"/>
        </w:rPr>
        <w:t>若有充分证据证明，成交供应商出现下列情况之一的，一经查实，将被取消成交资格：</w:t>
      </w:r>
    </w:p>
    <w:p w14:paraId="1FA8654F">
      <w:pPr>
        <w:snapToGrid w:val="0"/>
        <w:spacing w:line="360" w:lineRule="exact"/>
        <w:ind w:firstLine="420" w:firstLineChars="200"/>
        <w:rPr>
          <w:rFonts w:ascii="宋体" w:hAnsi="宋体" w:cs="宋体"/>
          <w:szCs w:val="21"/>
        </w:rPr>
      </w:pPr>
      <w:r>
        <w:rPr>
          <w:rFonts w:hint="eastAsia" w:ascii="宋体" w:hAnsi="宋体" w:cs="宋体"/>
          <w:szCs w:val="21"/>
        </w:rPr>
        <w:t>27.1 提供虚假材料谋取成交的；</w:t>
      </w:r>
    </w:p>
    <w:p w14:paraId="1A43551A">
      <w:pPr>
        <w:snapToGrid w:val="0"/>
        <w:spacing w:line="360" w:lineRule="exact"/>
        <w:ind w:firstLine="420" w:firstLineChars="200"/>
        <w:rPr>
          <w:rFonts w:ascii="宋体" w:hAnsi="宋体" w:cs="宋体"/>
          <w:szCs w:val="21"/>
        </w:rPr>
      </w:pPr>
      <w:r>
        <w:rPr>
          <w:rFonts w:hint="eastAsia" w:ascii="宋体" w:hAnsi="宋体" w:cs="宋体"/>
          <w:szCs w:val="21"/>
        </w:rPr>
        <w:t>27.2 向采购人、代理机构行贿或者提供其他不正当利益的。</w:t>
      </w:r>
    </w:p>
    <w:p w14:paraId="24249246">
      <w:pPr>
        <w:snapToGrid w:val="0"/>
        <w:spacing w:line="360" w:lineRule="exact"/>
        <w:ind w:firstLine="420" w:firstLineChars="200"/>
        <w:rPr>
          <w:rFonts w:ascii="宋体" w:hAnsi="宋体" w:cs="宋体"/>
          <w:szCs w:val="21"/>
        </w:rPr>
      </w:pPr>
      <w:r>
        <w:rPr>
          <w:rFonts w:hint="eastAsia" w:ascii="宋体" w:hAnsi="宋体" w:cs="宋体"/>
          <w:szCs w:val="21"/>
        </w:rPr>
        <w:t>27.3 恶意竞争，磋商总报价明显低于其自身合理成本且又无法提供证明的。</w:t>
      </w:r>
    </w:p>
    <w:p w14:paraId="2A0C5A61">
      <w:pPr>
        <w:snapToGrid w:val="0"/>
        <w:spacing w:line="360" w:lineRule="exact"/>
        <w:ind w:firstLine="420" w:firstLineChars="200"/>
        <w:rPr>
          <w:rFonts w:ascii="宋体" w:hAnsi="宋体" w:cs="宋体"/>
          <w:szCs w:val="21"/>
        </w:rPr>
      </w:pPr>
      <w:r>
        <w:rPr>
          <w:rFonts w:hint="eastAsia" w:ascii="宋体" w:hAnsi="宋体" w:cs="宋体"/>
          <w:szCs w:val="21"/>
        </w:rPr>
        <w:t>27.4 属于本文件规定的无效条件，但在评审过程中又未被磋商小组发现的。</w:t>
      </w:r>
    </w:p>
    <w:p w14:paraId="36F3F1A3">
      <w:pPr>
        <w:snapToGrid w:val="0"/>
        <w:spacing w:line="360" w:lineRule="exact"/>
        <w:ind w:firstLine="420" w:firstLineChars="200"/>
        <w:rPr>
          <w:rFonts w:ascii="宋体" w:hAnsi="宋体" w:cs="宋体"/>
          <w:szCs w:val="21"/>
        </w:rPr>
      </w:pPr>
      <w:r>
        <w:rPr>
          <w:rFonts w:hint="eastAsia" w:ascii="宋体" w:hAnsi="宋体" w:cs="宋体"/>
          <w:szCs w:val="21"/>
        </w:rPr>
        <w:t>27.5 与采购人或者其他供应商恶意串通的。</w:t>
      </w:r>
    </w:p>
    <w:p w14:paraId="4789CF1C">
      <w:pPr>
        <w:snapToGrid w:val="0"/>
        <w:spacing w:line="360" w:lineRule="exact"/>
        <w:ind w:firstLine="420" w:firstLineChars="200"/>
        <w:rPr>
          <w:rFonts w:ascii="宋体" w:hAnsi="宋体" w:cs="宋体"/>
          <w:szCs w:val="21"/>
        </w:rPr>
      </w:pPr>
      <w:r>
        <w:rPr>
          <w:rFonts w:hint="eastAsia" w:ascii="宋体" w:hAnsi="宋体" w:cs="宋体"/>
          <w:szCs w:val="21"/>
        </w:rPr>
        <w:t>27.6 采取不正当手段诋毁、排挤其他供应商的。</w:t>
      </w:r>
    </w:p>
    <w:p w14:paraId="0CDB374C">
      <w:pPr>
        <w:pStyle w:val="5"/>
        <w:overflowPunct w:val="0"/>
        <w:spacing w:line="360" w:lineRule="exact"/>
        <w:ind w:firstLineChars="200"/>
        <w:rPr>
          <w:rFonts w:hAnsi="宋体" w:cs="宋体"/>
          <w:sz w:val="21"/>
          <w:szCs w:val="21"/>
        </w:rPr>
      </w:pPr>
      <w:r>
        <w:rPr>
          <w:rFonts w:hint="eastAsia" w:hAnsi="宋体" w:cs="宋体"/>
          <w:sz w:val="21"/>
          <w:szCs w:val="21"/>
        </w:rPr>
        <w:t>27.7 不符合法律、法规的规定的。</w:t>
      </w:r>
    </w:p>
    <w:p w14:paraId="50E51515">
      <w:pPr>
        <w:spacing w:line="360" w:lineRule="exact"/>
        <w:ind w:firstLine="420" w:firstLineChars="200"/>
        <w:rPr>
          <w:rFonts w:ascii="宋体" w:hAnsi="宋体" w:cs="宋体"/>
          <w:szCs w:val="21"/>
        </w:rPr>
      </w:pPr>
    </w:p>
    <w:p w14:paraId="7F66A27D">
      <w:pPr>
        <w:spacing w:line="360" w:lineRule="exact"/>
        <w:ind w:firstLine="420" w:firstLineChars="200"/>
        <w:rPr>
          <w:rFonts w:ascii="宋体" w:hAnsi="宋体" w:cs="宋体"/>
          <w:szCs w:val="21"/>
        </w:rPr>
      </w:pPr>
    </w:p>
    <w:p w14:paraId="1F7489C7">
      <w:pPr>
        <w:spacing w:line="360" w:lineRule="exact"/>
        <w:ind w:firstLine="420" w:firstLineChars="200"/>
        <w:rPr>
          <w:rFonts w:ascii="宋体" w:hAnsi="宋体" w:cs="宋体"/>
          <w:szCs w:val="21"/>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720" w:num="1"/>
          <w:docGrid w:type="lines" w:linePitch="312" w:charSpace="0"/>
        </w:sectPr>
      </w:pPr>
    </w:p>
    <w:p w14:paraId="54D64E37">
      <w:pPr>
        <w:pStyle w:val="2"/>
        <w:rPr>
          <w:rFonts w:ascii="宋体" w:hAnsi="宋体" w:cs="宋体"/>
        </w:rPr>
      </w:pPr>
      <w:bookmarkStart w:id="2" w:name="_Toc17537928"/>
      <w:r>
        <w:rPr>
          <w:rFonts w:hint="eastAsia" w:ascii="宋体" w:hAnsi="宋体" w:cs="宋体"/>
        </w:rPr>
        <w:t>第二章  采购项目及技术要求</w:t>
      </w:r>
      <w:bookmarkEnd w:id="2"/>
    </w:p>
    <w:p w14:paraId="3C83734A">
      <w:pPr>
        <w:snapToGrid w:val="0"/>
        <w:spacing w:line="360" w:lineRule="exact"/>
        <w:ind w:firstLine="422" w:firstLineChars="200"/>
        <w:rPr>
          <w:rFonts w:ascii="宋体" w:hAnsi="宋体" w:cs="宋体"/>
          <w:b/>
          <w:szCs w:val="21"/>
        </w:rPr>
      </w:pPr>
      <w:r>
        <w:rPr>
          <w:rFonts w:hint="eastAsia" w:ascii="宋体" w:hAnsi="宋体" w:cs="宋体"/>
          <w:b/>
          <w:bCs/>
          <w:szCs w:val="21"/>
        </w:rPr>
        <w:t>一、维修清单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327"/>
        <w:gridCol w:w="1715"/>
        <w:gridCol w:w="1715"/>
        <w:gridCol w:w="1665"/>
      </w:tblGrid>
      <w:tr w14:paraId="5CE8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9EAB986">
            <w:pPr>
              <w:spacing w:line="360" w:lineRule="exact"/>
              <w:jc w:val="center"/>
              <w:rPr>
                <w:rFonts w:ascii="宋体" w:hAnsi="宋体" w:cs="宋体"/>
                <w:szCs w:val="21"/>
              </w:rPr>
            </w:pPr>
            <w:r>
              <w:rPr>
                <w:rFonts w:hint="eastAsia" w:ascii="宋体" w:hAnsi="宋体" w:cs="宋体"/>
                <w:szCs w:val="21"/>
              </w:rPr>
              <w:t>序号</w:t>
            </w:r>
          </w:p>
        </w:tc>
        <w:tc>
          <w:tcPr>
            <w:tcW w:w="2327" w:type="dxa"/>
            <w:vAlign w:val="center"/>
          </w:tcPr>
          <w:p w14:paraId="5CDC02C6">
            <w:pPr>
              <w:spacing w:line="360" w:lineRule="exact"/>
              <w:jc w:val="center"/>
              <w:rPr>
                <w:rFonts w:ascii="宋体" w:hAnsi="宋体" w:cs="宋体"/>
                <w:szCs w:val="21"/>
              </w:rPr>
            </w:pPr>
            <w:r>
              <w:rPr>
                <w:rFonts w:hint="eastAsia" w:ascii="宋体" w:hAnsi="宋体" w:cs="宋体"/>
                <w:szCs w:val="21"/>
              </w:rPr>
              <w:t>名称</w:t>
            </w:r>
          </w:p>
        </w:tc>
        <w:tc>
          <w:tcPr>
            <w:tcW w:w="1715" w:type="dxa"/>
            <w:vAlign w:val="center"/>
          </w:tcPr>
          <w:p w14:paraId="7F634F80">
            <w:pPr>
              <w:spacing w:line="360" w:lineRule="exact"/>
              <w:jc w:val="center"/>
              <w:rPr>
                <w:rFonts w:ascii="宋体" w:hAnsi="宋体" w:cs="宋体"/>
                <w:szCs w:val="21"/>
              </w:rPr>
            </w:pPr>
            <w:r>
              <w:rPr>
                <w:rFonts w:hint="eastAsia" w:ascii="宋体" w:hAnsi="宋体" w:cs="宋体"/>
                <w:szCs w:val="21"/>
              </w:rPr>
              <w:t>单位</w:t>
            </w:r>
          </w:p>
        </w:tc>
        <w:tc>
          <w:tcPr>
            <w:tcW w:w="1715" w:type="dxa"/>
            <w:vAlign w:val="center"/>
          </w:tcPr>
          <w:p w14:paraId="1FEDDF15">
            <w:pPr>
              <w:spacing w:line="360" w:lineRule="exact"/>
              <w:jc w:val="center"/>
              <w:rPr>
                <w:rFonts w:ascii="宋体" w:hAnsi="宋体" w:cs="宋体"/>
                <w:szCs w:val="21"/>
              </w:rPr>
            </w:pPr>
            <w:r>
              <w:rPr>
                <w:rFonts w:hint="eastAsia" w:ascii="宋体" w:hAnsi="宋体" w:cs="宋体"/>
                <w:szCs w:val="21"/>
              </w:rPr>
              <w:t>数量</w:t>
            </w:r>
          </w:p>
        </w:tc>
        <w:tc>
          <w:tcPr>
            <w:tcW w:w="1665" w:type="dxa"/>
          </w:tcPr>
          <w:p w14:paraId="0393EC98">
            <w:pPr>
              <w:spacing w:line="360" w:lineRule="exact"/>
              <w:jc w:val="center"/>
              <w:rPr>
                <w:rFonts w:ascii="宋体" w:hAnsi="宋体" w:cs="宋体"/>
                <w:szCs w:val="21"/>
              </w:rPr>
            </w:pPr>
            <w:r>
              <w:rPr>
                <w:rFonts w:hint="eastAsia" w:ascii="宋体" w:hAnsi="宋体" w:cs="宋体"/>
                <w:szCs w:val="21"/>
              </w:rPr>
              <w:t>备注</w:t>
            </w:r>
          </w:p>
        </w:tc>
      </w:tr>
      <w:tr w14:paraId="163C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2144D05">
            <w:pPr>
              <w:spacing w:line="360" w:lineRule="exact"/>
              <w:jc w:val="center"/>
              <w:rPr>
                <w:rFonts w:ascii="宋体" w:hAnsi="宋体" w:cs="宋体"/>
                <w:szCs w:val="21"/>
              </w:rPr>
            </w:pPr>
            <w:r>
              <w:rPr>
                <w:rFonts w:hint="eastAsia" w:ascii="宋体" w:hAnsi="宋体" w:cs="宋体"/>
                <w:szCs w:val="21"/>
              </w:rPr>
              <w:t>1</w:t>
            </w:r>
          </w:p>
        </w:tc>
        <w:tc>
          <w:tcPr>
            <w:tcW w:w="2327" w:type="dxa"/>
            <w:vAlign w:val="center"/>
          </w:tcPr>
          <w:p w14:paraId="6FDB8CBC">
            <w:pPr>
              <w:spacing w:line="360" w:lineRule="exact"/>
              <w:jc w:val="center"/>
              <w:rPr>
                <w:rFonts w:ascii="宋体" w:hAnsi="宋体" w:cs="宋体"/>
                <w:szCs w:val="21"/>
              </w:rPr>
            </w:pPr>
            <w:r>
              <w:rPr>
                <w:rFonts w:hint="eastAsia" w:ascii="宋体" w:hAnsi="宋体" w:cs="宋体"/>
                <w:szCs w:val="21"/>
              </w:rPr>
              <w:t>平板炉大修</w:t>
            </w:r>
          </w:p>
        </w:tc>
        <w:tc>
          <w:tcPr>
            <w:tcW w:w="1715" w:type="dxa"/>
            <w:vAlign w:val="center"/>
          </w:tcPr>
          <w:p w14:paraId="54B2F2EB">
            <w:pPr>
              <w:spacing w:line="360" w:lineRule="exact"/>
              <w:jc w:val="center"/>
              <w:rPr>
                <w:rFonts w:ascii="宋体" w:hAnsi="宋体" w:cs="宋体"/>
                <w:szCs w:val="21"/>
              </w:rPr>
            </w:pPr>
            <w:r>
              <w:rPr>
                <w:rFonts w:hint="eastAsia" w:ascii="宋体" w:hAnsi="宋体" w:cs="宋体"/>
                <w:szCs w:val="21"/>
              </w:rPr>
              <w:t>台</w:t>
            </w:r>
          </w:p>
        </w:tc>
        <w:tc>
          <w:tcPr>
            <w:tcW w:w="1715" w:type="dxa"/>
            <w:vAlign w:val="center"/>
          </w:tcPr>
          <w:p w14:paraId="701E0D7D">
            <w:pPr>
              <w:spacing w:line="360" w:lineRule="exact"/>
              <w:jc w:val="center"/>
              <w:rPr>
                <w:rFonts w:ascii="宋体" w:hAnsi="宋体" w:cs="宋体"/>
                <w:szCs w:val="21"/>
              </w:rPr>
            </w:pPr>
            <w:r>
              <w:rPr>
                <w:rFonts w:hint="eastAsia" w:ascii="宋体" w:hAnsi="宋体" w:cs="宋体"/>
                <w:szCs w:val="21"/>
              </w:rPr>
              <w:t>2</w:t>
            </w:r>
          </w:p>
        </w:tc>
        <w:tc>
          <w:tcPr>
            <w:tcW w:w="1665" w:type="dxa"/>
          </w:tcPr>
          <w:p w14:paraId="4BF878BC">
            <w:pPr>
              <w:spacing w:line="360" w:lineRule="exact"/>
              <w:jc w:val="center"/>
              <w:rPr>
                <w:rFonts w:ascii="宋体" w:hAnsi="宋体" w:cs="宋体"/>
                <w:szCs w:val="21"/>
              </w:rPr>
            </w:pPr>
          </w:p>
        </w:tc>
      </w:tr>
      <w:tr w14:paraId="4B55D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2D4984DF">
            <w:pPr>
              <w:spacing w:line="360" w:lineRule="exact"/>
              <w:jc w:val="center"/>
              <w:rPr>
                <w:rFonts w:ascii="宋体" w:hAnsi="宋体" w:cs="宋体"/>
                <w:szCs w:val="21"/>
              </w:rPr>
            </w:pPr>
            <w:r>
              <w:rPr>
                <w:rFonts w:hint="eastAsia" w:ascii="宋体" w:hAnsi="宋体" w:cs="宋体"/>
                <w:szCs w:val="21"/>
              </w:rPr>
              <w:t>2</w:t>
            </w:r>
          </w:p>
        </w:tc>
        <w:tc>
          <w:tcPr>
            <w:tcW w:w="2327" w:type="dxa"/>
            <w:vAlign w:val="center"/>
          </w:tcPr>
          <w:p w14:paraId="787B3999">
            <w:pPr>
              <w:spacing w:line="360" w:lineRule="exact"/>
              <w:jc w:val="center"/>
              <w:rPr>
                <w:rFonts w:ascii="宋体" w:hAnsi="宋体" w:cs="宋体"/>
                <w:szCs w:val="21"/>
              </w:rPr>
            </w:pPr>
            <w:r>
              <w:rPr>
                <w:rFonts w:hint="eastAsia" w:ascii="宋体" w:hAnsi="宋体" w:cs="宋体"/>
                <w:szCs w:val="21"/>
              </w:rPr>
              <w:t>不锈钢烟囱更换</w:t>
            </w:r>
          </w:p>
        </w:tc>
        <w:tc>
          <w:tcPr>
            <w:tcW w:w="1715" w:type="dxa"/>
            <w:vAlign w:val="center"/>
          </w:tcPr>
          <w:p w14:paraId="2A5D9393">
            <w:pPr>
              <w:spacing w:line="360" w:lineRule="exact"/>
              <w:jc w:val="center"/>
              <w:rPr>
                <w:rFonts w:ascii="宋体" w:hAnsi="宋体" w:cs="宋体"/>
                <w:szCs w:val="21"/>
              </w:rPr>
            </w:pPr>
            <w:r>
              <w:rPr>
                <w:rFonts w:hint="eastAsia" w:ascii="宋体" w:hAnsi="宋体" w:cs="宋体"/>
                <w:szCs w:val="21"/>
              </w:rPr>
              <w:t>套</w:t>
            </w:r>
          </w:p>
        </w:tc>
        <w:tc>
          <w:tcPr>
            <w:tcW w:w="1715" w:type="dxa"/>
            <w:vAlign w:val="center"/>
          </w:tcPr>
          <w:p w14:paraId="62F344F1">
            <w:pPr>
              <w:spacing w:line="360" w:lineRule="exact"/>
              <w:jc w:val="center"/>
              <w:rPr>
                <w:rFonts w:ascii="宋体" w:hAnsi="宋体" w:cs="宋体"/>
                <w:szCs w:val="21"/>
              </w:rPr>
            </w:pPr>
            <w:r>
              <w:rPr>
                <w:rFonts w:hint="eastAsia" w:ascii="宋体" w:hAnsi="宋体" w:cs="宋体"/>
                <w:szCs w:val="21"/>
              </w:rPr>
              <w:t>5</w:t>
            </w:r>
          </w:p>
        </w:tc>
        <w:tc>
          <w:tcPr>
            <w:tcW w:w="1665" w:type="dxa"/>
          </w:tcPr>
          <w:p w14:paraId="29A8C9E3">
            <w:pPr>
              <w:spacing w:line="360" w:lineRule="exact"/>
              <w:jc w:val="center"/>
              <w:rPr>
                <w:rFonts w:ascii="宋体" w:hAnsi="宋体" w:cs="宋体"/>
                <w:szCs w:val="21"/>
              </w:rPr>
            </w:pPr>
          </w:p>
        </w:tc>
      </w:tr>
      <w:tr w14:paraId="5D96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375A4BE4">
            <w:pPr>
              <w:spacing w:line="360" w:lineRule="exact"/>
              <w:jc w:val="center"/>
              <w:rPr>
                <w:rFonts w:ascii="宋体" w:hAnsi="宋体" w:cs="宋体"/>
                <w:szCs w:val="21"/>
              </w:rPr>
            </w:pPr>
            <w:r>
              <w:rPr>
                <w:rFonts w:hint="eastAsia" w:ascii="宋体" w:hAnsi="宋体" w:cs="宋体"/>
                <w:szCs w:val="21"/>
              </w:rPr>
              <w:t>3</w:t>
            </w:r>
          </w:p>
        </w:tc>
        <w:tc>
          <w:tcPr>
            <w:tcW w:w="2327" w:type="dxa"/>
            <w:vAlign w:val="center"/>
          </w:tcPr>
          <w:p w14:paraId="1E1E3715">
            <w:pPr>
              <w:spacing w:line="360" w:lineRule="exact"/>
              <w:jc w:val="center"/>
              <w:rPr>
                <w:rFonts w:ascii="宋体" w:hAnsi="宋体" w:cs="宋体"/>
                <w:szCs w:val="21"/>
              </w:rPr>
            </w:pPr>
            <w:r>
              <w:rPr>
                <w:rFonts w:hint="eastAsia" w:ascii="宋体" w:hAnsi="宋体" w:cs="宋体"/>
                <w:szCs w:val="21"/>
              </w:rPr>
              <w:t>烟闸更换</w:t>
            </w:r>
          </w:p>
        </w:tc>
        <w:tc>
          <w:tcPr>
            <w:tcW w:w="1715" w:type="dxa"/>
            <w:vAlign w:val="center"/>
          </w:tcPr>
          <w:p w14:paraId="0833DE86">
            <w:pPr>
              <w:spacing w:line="360" w:lineRule="exact"/>
              <w:jc w:val="center"/>
              <w:rPr>
                <w:rFonts w:ascii="宋体" w:hAnsi="宋体" w:cs="宋体"/>
                <w:szCs w:val="21"/>
              </w:rPr>
            </w:pPr>
            <w:r>
              <w:rPr>
                <w:rFonts w:hint="eastAsia" w:ascii="宋体" w:hAnsi="宋体" w:cs="宋体"/>
                <w:szCs w:val="21"/>
              </w:rPr>
              <w:t>套</w:t>
            </w:r>
          </w:p>
        </w:tc>
        <w:tc>
          <w:tcPr>
            <w:tcW w:w="1715" w:type="dxa"/>
            <w:vAlign w:val="center"/>
          </w:tcPr>
          <w:p w14:paraId="48EC6F81">
            <w:pPr>
              <w:spacing w:line="360" w:lineRule="exact"/>
              <w:jc w:val="center"/>
              <w:rPr>
                <w:rFonts w:ascii="宋体" w:hAnsi="宋体" w:cs="宋体"/>
                <w:szCs w:val="21"/>
              </w:rPr>
            </w:pPr>
            <w:r>
              <w:rPr>
                <w:rFonts w:hint="eastAsia" w:ascii="宋体" w:hAnsi="宋体" w:cs="宋体"/>
                <w:szCs w:val="21"/>
              </w:rPr>
              <w:t>4</w:t>
            </w:r>
          </w:p>
        </w:tc>
        <w:tc>
          <w:tcPr>
            <w:tcW w:w="1665" w:type="dxa"/>
          </w:tcPr>
          <w:p w14:paraId="317E83E0">
            <w:pPr>
              <w:spacing w:line="360" w:lineRule="exact"/>
              <w:jc w:val="center"/>
              <w:rPr>
                <w:rFonts w:ascii="宋体" w:hAnsi="宋体" w:cs="宋体"/>
                <w:szCs w:val="21"/>
              </w:rPr>
            </w:pPr>
          </w:p>
        </w:tc>
      </w:tr>
      <w:tr w14:paraId="221D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5F304608">
            <w:pPr>
              <w:spacing w:line="360" w:lineRule="exact"/>
              <w:jc w:val="center"/>
              <w:rPr>
                <w:rFonts w:ascii="宋体" w:hAnsi="宋体" w:cs="宋体"/>
                <w:szCs w:val="21"/>
              </w:rPr>
            </w:pPr>
            <w:r>
              <w:rPr>
                <w:rFonts w:hint="eastAsia" w:ascii="宋体" w:hAnsi="宋体" w:cs="宋体"/>
                <w:szCs w:val="21"/>
              </w:rPr>
              <w:t>4</w:t>
            </w:r>
          </w:p>
        </w:tc>
        <w:tc>
          <w:tcPr>
            <w:tcW w:w="2327" w:type="dxa"/>
            <w:vAlign w:val="center"/>
          </w:tcPr>
          <w:p w14:paraId="59FB79FF">
            <w:pPr>
              <w:spacing w:line="360" w:lineRule="exact"/>
              <w:jc w:val="center"/>
              <w:rPr>
                <w:rFonts w:ascii="宋体" w:hAnsi="宋体" w:cs="宋体"/>
                <w:szCs w:val="21"/>
              </w:rPr>
            </w:pPr>
            <w:r>
              <w:rPr>
                <w:rFonts w:hint="eastAsia" w:ascii="宋体" w:hAnsi="宋体" w:cs="宋体"/>
                <w:szCs w:val="21"/>
              </w:rPr>
              <w:t>炕面</w:t>
            </w:r>
          </w:p>
        </w:tc>
        <w:tc>
          <w:tcPr>
            <w:tcW w:w="1715" w:type="dxa"/>
            <w:vAlign w:val="center"/>
          </w:tcPr>
          <w:p w14:paraId="1F84045B">
            <w:pPr>
              <w:spacing w:line="360" w:lineRule="exact"/>
              <w:jc w:val="center"/>
              <w:rPr>
                <w:rFonts w:ascii="宋体" w:hAnsi="宋体" w:cs="宋体"/>
                <w:szCs w:val="21"/>
              </w:rPr>
            </w:pPr>
            <w:r>
              <w:rPr>
                <w:rFonts w:hint="eastAsia" w:ascii="宋体" w:hAnsi="宋体" w:cs="宋体"/>
                <w:szCs w:val="21"/>
              </w:rPr>
              <w:t>副</w:t>
            </w:r>
          </w:p>
        </w:tc>
        <w:tc>
          <w:tcPr>
            <w:tcW w:w="1715" w:type="dxa"/>
            <w:vAlign w:val="center"/>
          </w:tcPr>
          <w:p w14:paraId="26A7CCEF">
            <w:pPr>
              <w:spacing w:line="360" w:lineRule="exact"/>
              <w:jc w:val="center"/>
              <w:rPr>
                <w:rFonts w:ascii="宋体" w:hAnsi="宋体" w:cs="宋体"/>
                <w:szCs w:val="21"/>
              </w:rPr>
            </w:pPr>
            <w:r>
              <w:rPr>
                <w:rFonts w:hint="eastAsia" w:ascii="宋体" w:hAnsi="宋体" w:cs="宋体"/>
                <w:szCs w:val="21"/>
              </w:rPr>
              <w:t>4</w:t>
            </w:r>
          </w:p>
        </w:tc>
        <w:tc>
          <w:tcPr>
            <w:tcW w:w="1665" w:type="dxa"/>
          </w:tcPr>
          <w:p w14:paraId="0E6DB74E">
            <w:pPr>
              <w:spacing w:line="360" w:lineRule="exact"/>
              <w:jc w:val="center"/>
              <w:rPr>
                <w:rFonts w:ascii="宋体" w:hAnsi="宋体" w:cs="宋体"/>
                <w:szCs w:val="21"/>
              </w:rPr>
            </w:pPr>
            <w:r>
              <w:rPr>
                <w:rFonts w:hint="eastAsia" w:ascii="宋体" w:hAnsi="宋体" w:cs="宋体"/>
                <w:szCs w:val="21"/>
              </w:rPr>
              <w:t>2套</w:t>
            </w:r>
          </w:p>
        </w:tc>
      </w:tr>
    </w:tbl>
    <w:p w14:paraId="72243EC3">
      <w:pPr>
        <w:pStyle w:val="57"/>
        <w:numPr>
          <w:ilvl w:val="0"/>
          <w:numId w:val="1"/>
        </w:numPr>
        <w:spacing w:line="360" w:lineRule="exact"/>
        <w:ind w:right="210" w:firstLineChars="0"/>
        <w:jc w:val="left"/>
        <w:rPr>
          <w:rFonts w:ascii="宋体" w:hAnsi="宋体" w:cs="宋体"/>
          <w:sz w:val="24"/>
        </w:rPr>
      </w:pPr>
      <w:r>
        <w:rPr>
          <w:rFonts w:hint="eastAsia" w:ascii="宋体" w:hAnsi="宋体" w:cs="宋体"/>
          <w:b/>
          <w:szCs w:val="21"/>
        </w:rPr>
        <w:t>维修内容</w:t>
      </w:r>
    </w:p>
    <w:p w14:paraId="7388B35A">
      <w:pPr>
        <w:snapToGrid w:val="0"/>
        <w:spacing w:line="360" w:lineRule="exact"/>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1</w:t>
      </w:r>
      <w:r>
        <w:rPr>
          <w:rFonts w:asciiTheme="majorEastAsia" w:hAnsiTheme="majorEastAsia" w:eastAsiaTheme="majorEastAsia"/>
          <w:b/>
          <w:szCs w:val="21"/>
        </w:rPr>
        <w:t>.</w:t>
      </w:r>
      <w:r>
        <w:rPr>
          <w:rFonts w:hint="eastAsia" w:asciiTheme="majorEastAsia" w:hAnsiTheme="majorEastAsia" w:eastAsiaTheme="majorEastAsia"/>
          <w:b/>
          <w:szCs w:val="21"/>
        </w:rPr>
        <w:t>平板炉大修：</w:t>
      </w:r>
    </w:p>
    <w:p w14:paraId="5E556EEB">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1.1.主燃烧室规格:L*W*H=2300mm*800mm*800mm；</w:t>
      </w:r>
    </w:p>
    <w:p w14:paraId="0E8D0484">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1.2.主燃烧室底板规格:L*W*H=780mm*230mm*120mm；</w:t>
      </w:r>
    </w:p>
    <w:p w14:paraId="52F2F8F2">
      <w:pPr>
        <w:snapToGrid w:val="0"/>
        <w:spacing w:line="360" w:lineRule="exact"/>
        <w:ind w:firstLine="422" w:firstLineChars="200"/>
        <w:rPr>
          <w:rFonts w:asciiTheme="majorEastAsia" w:hAnsiTheme="majorEastAsia" w:eastAsiaTheme="majorEastAsia"/>
          <w:b/>
          <w:szCs w:val="21"/>
        </w:rPr>
      </w:pPr>
      <w:r>
        <w:rPr>
          <w:rFonts w:asciiTheme="majorEastAsia" w:hAnsiTheme="majorEastAsia" w:eastAsiaTheme="majorEastAsia"/>
          <w:b/>
          <w:szCs w:val="21"/>
        </w:rPr>
        <w:t>2.</w:t>
      </w:r>
      <w:r>
        <w:rPr>
          <w:rFonts w:hint="eastAsia" w:asciiTheme="majorEastAsia" w:hAnsiTheme="majorEastAsia" w:eastAsiaTheme="majorEastAsia"/>
          <w:b/>
          <w:szCs w:val="21"/>
        </w:rPr>
        <w:t>技术要求：</w:t>
      </w:r>
    </w:p>
    <w:p w14:paraId="4E453035">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2.1.拆除主燃烧室.炉内烟道二次燃烧室，烟气三次燃烧室；</w:t>
      </w:r>
    </w:p>
    <w:p w14:paraId="4F57485B">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2.2.拆除炉内供风供氧及预热管道；</w:t>
      </w:r>
    </w:p>
    <w:p w14:paraId="627FA280">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2.3.主燃烧室采用磷酸盐砌筑，墙体垂直、平行错误差不得大于3mm；</w:t>
      </w:r>
    </w:p>
    <w:p w14:paraId="5589E15D">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2.4.主燃烧机座预制件.出烟口预制件采用磷酸盐浇注料浇筑；</w:t>
      </w:r>
    </w:p>
    <w:p w14:paraId="259796F6">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2.5.烟气二次、三次燃烧室墙体采用：磷酸盐标准砖砌筑，砖缝隙、墙体垂直度、平整度不得大于3mm；</w:t>
      </w:r>
    </w:p>
    <w:p w14:paraId="43871D9B">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2.6.炉门口采用浇注料浇筑预制件；</w:t>
      </w:r>
    </w:p>
    <w:p w14:paraId="31878CAA">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2.7.燃烧室助燃、助氧风嘴及风嘴连接管道采用310s不锈钢，根据各燃烧室大小孔经需求制作；</w:t>
      </w:r>
    </w:p>
    <w:p w14:paraId="382C28EE">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2.8.增设炉内回烟道清灰口；</w:t>
      </w:r>
    </w:p>
    <w:p w14:paraId="112AFDC4">
      <w:pPr>
        <w:snapToGrid w:val="0"/>
        <w:spacing w:line="36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2.9.检修：遗体输送车系统、预备门系统、炉门传动系统、供油燃烧系统、供风供氧系统、排烟系统、电器电脑控制系统。</w:t>
      </w:r>
    </w:p>
    <w:p w14:paraId="395610BC">
      <w:pPr>
        <w:snapToGrid w:val="0"/>
        <w:spacing w:line="360" w:lineRule="exact"/>
        <w:ind w:firstLine="413" w:firstLineChars="196"/>
        <w:rPr>
          <w:rFonts w:ascii="宋体" w:hAnsi="宋体"/>
          <w:b/>
          <w:szCs w:val="21"/>
        </w:rPr>
      </w:pPr>
      <w:r>
        <w:rPr>
          <w:rFonts w:hint="eastAsia" w:ascii="宋体" w:hAnsi="宋体"/>
          <w:b/>
          <w:szCs w:val="21"/>
        </w:rPr>
        <w:t>三、服务要求</w:t>
      </w:r>
    </w:p>
    <w:p w14:paraId="35CCCF8B">
      <w:pPr>
        <w:pStyle w:val="47"/>
        <w:spacing w:line="360" w:lineRule="exact"/>
        <w:rPr>
          <w:rFonts w:ascii="宋体" w:hAnsi="宋体"/>
          <w:szCs w:val="21"/>
        </w:rPr>
      </w:pPr>
      <w:r>
        <w:rPr>
          <w:rFonts w:hint="eastAsia" w:ascii="宋体" w:hAnsi="宋体"/>
          <w:szCs w:val="21"/>
        </w:rPr>
        <w:t>1.供应商所投报的设备配件应当是全新未使用的产品，保证火化设备的正常运转，不能影响采购人的正常工作。</w:t>
      </w:r>
    </w:p>
    <w:p w14:paraId="0D42D9C5">
      <w:pPr>
        <w:pStyle w:val="47"/>
        <w:spacing w:line="360" w:lineRule="exact"/>
        <w:rPr>
          <w:rFonts w:ascii="宋体" w:hAnsi="宋体"/>
          <w:szCs w:val="21"/>
        </w:rPr>
      </w:pPr>
      <w:r>
        <w:rPr>
          <w:rFonts w:ascii="宋体" w:hAnsi="宋体"/>
          <w:szCs w:val="21"/>
        </w:rPr>
        <w:t>2</w:t>
      </w:r>
      <w:r>
        <w:rPr>
          <w:rFonts w:hint="eastAsia" w:ascii="宋体" w:hAnsi="宋体"/>
          <w:szCs w:val="21"/>
        </w:rPr>
        <w:t>.产品及其辅助装置的铭牌、使用指示、警告指示应以中文或英文及易懂的通用符号来表示，应能够准确无误地表示产品的型号、规格和制造商。</w:t>
      </w:r>
    </w:p>
    <w:p w14:paraId="58A91EFA">
      <w:pPr>
        <w:pStyle w:val="47"/>
        <w:spacing w:line="360" w:lineRule="exact"/>
        <w:rPr>
          <w:rFonts w:ascii="宋体" w:hAnsi="宋体"/>
          <w:szCs w:val="21"/>
        </w:rPr>
      </w:pPr>
      <w:r>
        <w:rPr>
          <w:rFonts w:hint="eastAsia" w:ascii="宋体" w:hAnsi="宋体"/>
          <w:szCs w:val="21"/>
        </w:rPr>
        <w:t>4.供应商所投报的产品必须成套和完整，在项目需求中未列明但属于产品运行的所需配件必须一并投报。如果在安装运行过程中发现有缺项漏项，且又是产品正常运行所必要的，供应商应当无偿提供。</w:t>
      </w:r>
    </w:p>
    <w:p w14:paraId="6B163070">
      <w:pPr>
        <w:pStyle w:val="47"/>
        <w:spacing w:line="360" w:lineRule="exact"/>
        <w:rPr>
          <w:rFonts w:ascii="宋体" w:hAnsi="宋体"/>
          <w:szCs w:val="21"/>
        </w:rPr>
      </w:pPr>
      <w:r>
        <w:rPr>
          <w:rFonts w:hint="eastAsia" w:ascii="宋体" w:hAnsi="宋体"/>
          <w:szCs w:val="21"/>
        </w:rPr>
        <w:t>5.供应商须有能力提供完善的售后服务（包括技术人员、响应时间及备品、备件方面等）。负责免费现场培训采购人操作人员，直至熟练掌握操作技术为止。</w:t>
      </w:r>
    </w:p>
    <w:p w14:paraId="4D4D2DCD">
      <w:pPr>
        <w:pStyle w:val="47"/>
        <w:spacing w:line="360" w:lineRule="exact"/>
        <w:rPr>
          <w:rFonts w:ascii="宋体" w:hAnsi="宋体"/>
          <w:szCs w:val="21"/>
        </w:rPr>
      </w:pPr>
      <w:r>
        <w:rPr>
          <w:rFonts w:hint="eastAsia" w:ascii="宋体" w:hAnsi="宋体"/>
          <w:szCs w:val="21"/>
        </w:rPr>
        <w:t>6.成交供应商所提供的产品在制造、安装和调试时必须完全满足国家标准以及其他相关标准的要求。并确保现场施工安全工作，负一切安全责任。</w:t>
      </w:r>
    </w:p>
    <w:p w14:paraId="24E2E7B8">
      <w:pPr>
        <w:pStyle w:val="47"/>
        <w:spacing w:line="360" w:lineRule="exact"/>
        <w:rPr>
          <w:rFonts w:ascii="宋体" w:hAnsi="宋体"/>
          <w:szCs w:val="21"/>
        </w:rPr>
      </w:pPr>
      <w:r>
        <w:rPr>
          <w:rFonts w:hint="eastAsia" w:ascii="宋体" w:hAnsi="宋体"/>
          <w:szCs w:val="21"/>
        </w:rPr>
        <w:t>7.</w:t>
      </w:r>
      <w:r>
        <w:rPr>
          <w:rFonts w:ascii="宋体" w:hAnsi="宋体" w:cs="宋体"/>
          <w:color w:val="000000"/>
          <w:szCs w:val="21"/>
        </w:rPr>
        <w:t>售后服务要求：</w:t>
      </w:r>
      <w:r>
        <w:rPr>
          <w:rFonts w:ascii="宋体" w:hAnsi="宋体" w:cs="宋体"/>
          <w:b/>
          <w:color w:val="000000"/>
          <w:szCs w:val="21"/>
        </w:rPr>
        <w:t>提供一年免费</w:t>
      </w:r>
      <w:r>
        <w:rPr>
          <w:rFonts w:hint="eastAsia" w:ascii="宋体" w:hAnsi="宋体" w:cs="宋体"/>
          <w:b/>
          <w:color w:val="000000"/>
          <w:szCs w:val="21"/>
        </w:rPr>
        <w:t>保修期</w:t>
      </w:r>
      <w:r>
        <w:rPr>
          <w:rFonts w:ascii="宋体" w:hAnsi="宋体" w:cs="宋体"/>
          <w:color w:val="000000"/>
          <w:szCs w:val="21"/>
        </w:rPr>
        <w:t>。如果在质保期内发生故障及损坏，供应商在2</w:t>
      </w:r>
      <w:r>
        <w:rPr>
          <w:rFonts w:hint="eastAsia" w:ascii="宋体" w:hAnsi="宋体" w:cs="宋体"/>
          <w:color w:val="000000"/>
          <w:szCs w:val="21"/>
        </w:rPr>
        <w:t>小时</w:t>
      </w:r>
      <w:r>
        <w:rPr>
          <w:rFonts w:ascii="宋体" w:hAnsi="宋体" w:cs="宋体"/>
          <w:color w:val="000000"/>
          <w:szCs w:val="21"/>
        </w:rPr>
        <w:t>内予以响应，提供免费上门服务，24小时内解决问题，否则采购人将自行采取必要的措施，由此产生的风险和费用由供应商承担。</w:t>
      </w:r>
    </w:p>
    <w:p w14:paraId="2FE033F1">
      <w:pPr>
        <w:spacing w:line="360" w:lineRule="exact"/>
        <w:ind w:firstLine="422" w:firstLineChars="200"/>
        <w:rPr>
          <w:rFonts w:ascii="宋体" w:hAnsi="宋体" w:cs="宋体"/>
          <w:b/>
          <w:bCs/>
          <w:szCs w:val="21"/>
        </w:rPr>
      </w:pPr>
      <w:r>
        <w:rPr>
          <w:rFonts w:hint="eastAsia" w:ascii="宋体" w:hAnsi="宋体" w:cs="宋体"/>
          <w:b/>
          <w:bCs/>
          <w:szCs w:val="21"/>
        </w:rPr>
        <w:t>四、报价方式</w:t>
      </w:r>
    </w:p>
    <w:p w14:paraId="473583EF">
      <w:pPr>
        <w:spacing w:line="360" w:lineRule="exact"/>
        <w:ind w:firstLine="420" w:firstLineChars="200"/>
        <w:rPr>
          <w:szCs w:val="21"/>
        </w:rPr>
      </w:pPr>
      <w:r>
        <w:rPr>
          <w:rFonts w:hint="eastAsia" w:ascii="宋体" w:hAnsi="宋体" w:cs="宋体"/>
          <w:szCs w:val="21"/>
        </w:rPr>
        <w:t>本项目报价为</w:t>
      </w:r>
      <w:r>
        <w:rPr>
          <w:rFonts w:hint="eastAsia" w:ascii="宋体" w:hAnsi="宋体" w:cs="宋体"/>
          <w:b/>
          <w:szCs w:val="21"/>
          <w:u w:val="single"/>
        </w:rPr>
        <w:t>固定总价</w:t>
      </w:r>
      <w:r>
        <w:rPr>
          <w:rFonts w:hint="eastAsia" w:ascii="宋体" w:hAnsi="宋体" w:cs="宋体"/>
          <w:szCs w:val="21"/>
        </w:rPr>
        <w:t>，磋商报价应包括竞争性磋商文件所确定的采购范围相应服务的提供、人员（包括工资和补贴）、办公场所及设施、</w:t>
      </w:r>
      <w:r>
        <w:rPr>
          <w:rFonts w:hint="eastAsia"/>
          <w:b/>
          <w:szCs w:val="21"/>
        </w:rPr>
        <w:t>拆除旧炉费、清运垃圾费、大修改造费、烟道清理费、烘炉用柴火、伙食费</w:t>
      </w:r>
      <w:r>
        <w:rPr>
          <w:rFonts w:hint="eastAsia" w:ascii="宋体" w:hAnsi="宋体" w:cs="宋体"/>
          <w:b/>
          <w:szCs w:val="21"/>
        </w:rPr>
        <w:t>、</w:t>
      </w:r>
      <w:r>
        <w:rPr>
          <w:rFonts w:hint="eastAsia"/>
          <w:szCs w:val="21"/>
        </w:rPr>
        <w:t>运输、吊车、安装费、</w:t>
      </w:r>
      <w:r>
        <w:rPr>
          <w:rFonts w:hint="eastAsia" w:ascii="宋体" w:hAnsi="宋体" w:cs="宋体"/>
          <w:szCs w:val="21"/>
        </w:rPr>
        <w:t>保险、劳保、管理、各种税费、利润、税金、政策性文件规定及合同包含的所有风险、责任等各项应有费用，以及为完成该项服务项目所涉及到的一切相关费用，采购人不再支付其他任何费用。</w:t>
      </w:r>
    </w:p>
    <w:p w14:paraId="6B134A6D">
      <w:pPr>
        <w:spacing w:line="360" w:lineRule="exact"/>
        <w:ind w:firstLine="422" w:firstLineChars="200"/>
        <w:rPr>
          <w:rFonts w:ascii="宋体" w:hAnsi="宋体" w:cs="宋体"/>
          <w:b/>
          <w:bCs/>
          <w:szCs w:val="21"/>
        </w:rPr>
      </w:pPr>
      <w:r>
        <w:rPr>
          <w:rFonts w:hint="eastAsia" w:ascii="宋体" w:hAnsi="宋体" w:cs="宋体"/>
          <w:b/>
          <w:bCs/>
          <w:szCs w:val="21"/>
        </w:rPr>
        <w:t>五、服务期限：合同签订后</w:t>
      </w:r>
      <w:r>
        <w:rPr>
          <w:rFonts w:ascii="宋体" w:hAnsi="宋体" w:cs="宋体"/>
          <w:b/>
          <w:bCs/>
          <w:szCs w:val="21"/>
        </w:rPr>
        <w:t>15</w:t>
      </w:r>
      <w:r>
        <w:rPr>
          <w:rFonts w:hint="eastAsia" w:ascii="宋体" w:hAnsi="宋体" w:cs="宋体"/>
          <w:b/>
          <w:bCs/>
          <w:szCs w:val="21"/>
        </w:rPr>
        <w:t>天内完成。</w:t>
      </w:r>
    </w:p>
    <w:p w14:paraId="5E1B394C">
      <w:pPr>
        <w:spacing w:line="360" w:lineRule="exact"/>
        <w:ind w:firstLine="422" w:firstLineChars="200"/>
        <w:rPr>
          <w:rFonts w:ascii="宋体" w:hAnsi="宋体" w:cs="宋体"/>
          <w:b/>
          <w:bCs/>
          <w:szCs w:val="21"/>
        </w:rPr>
      </w:pPr>
      <w:r>
        <w:rPr>
          <w:rFonts w:hint="eastAsia" w:ascii="宋体" w:hAnsi="宋体" w:cs="宋体"/>
          <w:b/>
          <w:bCs/>
          <w:szCs w:val="21"/>
        </w:rPr>
        <w:t>六、付款方式</w:t>
      </w:r>
    </w:p>
    <w:p w14:paraId="557202A2">
      <w:pPr>
        <w:spacing w:line="360" w:lineRule="exact"/>
        <w:ind w:firstLine="420" w:firstLineChars="200"/>
        <w:rPr>
          <w:rFonts w:ascii="宋体" w:hAnsi="宋体" w:cs="宋体"/>
          <w:szCs w:val="21"/>
        </w:rPr>
      </w:pPr>
      <w:r>
        <w:rPr>
          <w:rFonts w:hint="eastAsia" w:ascii="宋体" w:hAnsi="宋体" w:cs="宋体"/>
          <w:szCs w:val="21"/>
        </w:rPr>
        <w:t>合同生效后，成交供应商进行维修维护工作，设备维护经采购单位验收合格后付9</w:t>
      </w:r>
      <w:r>
        <w:rPr>
          <w:rFonts w:ascii="宋体" w:hAnsi="宋体" w:cs="宋体"/>
          <w:szCs w:val="21"/>
        </w:rPr>
        <w:t>0</w:t>
      </w:r>
      <w:r>
        <w:rPr>
          <w:rFonts w:hint="eastAsia" w:ascii="宋体" w:hAnsi="宋体" w:cs="宋体"/>
          <w:szCs w:val="21"/>
        </w:rPr>
        <w:t>%，一年后无明显质量问题支付剩余款项（无息）。</w:t>
      </w:r>
    </w:p>
    <w:p w14:paraId="11DBDB85">
      <w:pPr>
        <w:spacing w:line="360" w:lineRule="exact"/>
        <w:ind w:firstLine="420" w:firstLineChars="200"/>
        <w:rPr>
          <w:rFonts w:ascii="宋体" w:hAnsi="宋体" w:cs="宋体"/>
          <w:szCs w:val="21"/>
        </w:rPr>
      </w:pPr>
    </w:p>
    <w:p w14:paraId="3A81288D">
      <w:pPr>
        <w:rPr>
          <w:rFonts w:ascii="宋体" w:hAnsi="宋体" w:cs="宋体"/>
          <w:b/>
          <w:sz w:val="30"/>
          <w:szCs w:val="30"/>
        </w:rPr>
      </w:pPr>
      <w:r>
        <w:rPr>
          <w:rFonts w:ascii="宋体" w:hAnsi="宋体" w:cs="宋体"/>
          <w:b/>
          <w:sz w:val="30"/>
          <w:szCs w:val="30"/>
        </w:rPr>
        <w:br w:type="page"/>
      </w:r>
    </w:p>
    <w:p w14:paraId="07FD7BA6">
      <w:pPr>
        <w:pStyle w:val="2"/>
        <w:rPr>
          <w:rFonts w:ascii="宋体" w:hAnsi="宋体" w:cs="宋体"/>
        </w:rPr>
      </w:pPr>
      <w:bookmarkStart w:id="3" w:name="_Toc17537929"/>
      <w:r>
        <w:rPr>
          <w:rFonts w:hint="eastAsia" w:ascii="宋体" w:hAnsi="宋体" w:cs="宋体"/>
        </w:rPr>
        <w:t>第三章  合同主要条款</w:t>
      </w:r>
      <w:bookmarkEnd w:id="3"/>
    </w:p>
    <w:p w14:paraId="227D3B4A">
      <w:pPr>
        <w:pStyle w:val="11"/>
        <w:spacing w:line="400" w:lineRule="exact"/>
        <w:rPr>
          <w:rFonts w:eastAsia="宋体" w:cs="宋体"/>
          <w:color w:val="000000"/>
          <w:sz w:val="21"/>
          <w:szCs w:val="21"/>
        </w:rPr>
      </w:pPr>
      <w:r>
        <w:rPr>
          <w:rFonts w:hint="eastAsia" w:eastAsia="宋体" w:cs="宋体"/>
          <w:b/>
          <w:color w:val="000000"/>
          <w:sz w:val="21"/>
          <w:szCs w:val="21"/>
          <w:lang w:val="zh-CN"/>
        </w:rPr>
        <w:t>采购人（以下称甲</w:t>
      </w:r>
      <w:r>
        <w:rPr>
          <w:rFonts w:hint="eastAsia" w:eastAsia="宋体" w:cs="宋体"/>
          <w:b/>
          <w:color w:val="000000"/>
          <w:sz w:val="21"/>
          <w:szCs w:val="21"/>
        </w:rPr>
        <w:t xml:space="preserve">方）:                       </w:t>
      </w:r>
      <w:r>
        <w:rPr>
          <w:rFonts w:hint="eastAsia" w:eastAsia="宋体" w:cs="宋体"/>
          <w:color w:val="000000"/>
          <w:sz w:val="21"/>
          <w:szCs w:val="21"/>
        </w:rPr>
        <w:t>合同编号：</w:t>
      </w:r>
    </w:p>
    <w:p w14:paraId="39585143">
      <w:pPr>
        <w:pStyle w:val="11"/>
        <w:spacing w:line="400" w:lineRule="exact"/>
        <w:rPr>
          <w:rFonts w:eastAsia="宋体" w:cs="宋体"/>
          <w:color w:val="000000"/>
          <w:sz w:val="21"/>
          <w:szCs w:val="21"/>
          <w:u w:val="single"/>
        </w:rPr>
      </w:pPr>
      <w:r>
        <w:rPr>
          <w:rFonts w:hint="eastAsia" w:eastAsia="宋体" w:cs="宋体"/>
          <w:b/>
          <w:color w:val="000000"/>
          <w:sz w:val="21"/>
          <w:szCs w:val="21"/>
        </w:rPr>
        <w:t>供应商（</w:t>
      </w:r>
      <w:r>
        <w:rPr>
          <w:rFonts w:hint="eastAsia" w:eastAsia="宋体" w:cs="宋体"/>
          <w:b/>
          <w:color w:val="000000"/>
          <w:sz w:val="21"/>
          <w:szCs w:val="21"/>
          <w:lang w:val="zh-CN"/>
        </w:rPr>
        <w:t>以下称</w:t>
      </w:r>
      <w:r>
        <w:rPr>
          <w:rFonts w:hint="eastAsia" w:eastAsia="宋体" w:cs="宋体"/>
          <w:b/>
          <w:color w:val="000000"/>
          <w:sz w:val="21"/>
          <w:szCs w:val="21"/>
        </w:rPr>
        <w:t xml:space="preserve">乙方）:                       </w:t>
      </w:r>
      <w:r>
        <w:rPr>
          <w:rFonts w:hint="eastAsia" w:eastAsia="宋体" w:cs="宋体"/>
          <w:color w:val="000000"/>
          <w:sz w:val="21"/>
          <w:szCs w:val="21"/>
        </w:rPr>
        <w:t>签订地点：</w:t>
      </w:r>
    </w:p>
    <w:p w14:paraId="0C3246D8">
      <w:pPr>
        <w:pStyle w:val="5"/>
        <w:spacing w:line="400" w:lineRule="exact"/>
        <w:ind w:firstLine="4620" w:firstLineChars="2200"/>
        <w:rPr>
          <w:rFonts w:hAnsi="宋体" w:cs="宋体"/>
          <w:b/>
          <w:sz w:val="21"/>
          <w:szCs w:val="21"/>
        </w:rPr>
      </w:pPr>
      <w:r>
        <w:rPr>
          <w:rFonts w:hint="eastAsia" w:hAnsi="宋体" w:cs="宋体"/>
          <w:sz w:val="21"/>
          <w:szCs w:val="21"/>
        </w:rPr>
        <w:t xml:space="preserve">合同时间: </w:t>
      </w:r>
      <w:r>
        <w:rPr>
          <w:rFonts w:hint="eastAsia" w:hAnsi="宋体" w:cs="宋体"/>
          <w:sz w:val="21"/>
          <w:szCs w:val="21"/>
          <w:u w:val="single"/>
        </w:rPr>
        <w:t xml:space="preserve">    年   月   日</w:t>
      </w:r>
    </w:p>
    <w:p w14:paraId="7FD4753A">
      <w:pPr>
        <w:pStyle w:val="11"/>
        <w:spacing w:line="360" w:lineRule="exact"/>
        <w:ind w:firstLine="424" w:firstLineChars="202"/>
        <w:rPr>
          <w:rFonts w:eastAsia="宋体" w:cs="宋体"/>
          <w:sz w:val="21"/>
          <w:szCs w:val="21"/>
        </w:rPr>
      </w:pPr>
      <w:r>
        <w:rPr>
          <w:rFonts w:hint="eastAsia" w:eastAsia="宋体" w:cs="宋体"/>
          <w:sz w:val="21"/>
          <w:szCs w:val="21"/>
        </w:rPr>
        <w:t>甲乙双方依据《中华人民共和国民法典》以及有关法律、法规的规定，经协商一致，订立本合同，以便共同遵守。</w:t>
      </w:r>
    </w:p>
    <w:p w14:paraId="14A22B15">
      <w:pPr>
        <w:pStyle w:val="11"/>
        <w:spacing w:line="360" w:lineRule="exact"/>
        <w:ind w:firstLine="426" w:firstLineChars="202"/>
        <w:rPr>
          <w:rFonts w:eastAsia="宋体" w:cs="宋体"/>
          <w:b/>
          <w:sz w:val="21"/>
          <w:szCs w:val="21"/>
        </w:rPr>
      </w:pPr>
      <w:r>
        <w:rPr>
          <w:rFonts w:hint="eastAsia" w:eastAsia="宋体" w:cs="宋体"/>
          <w:b/>
          <w:sz w:val="21"/>
          <w:szCs w:val="21"/>
        </w:rPr>
        <w:t>第一条 合同标的</w:t>
      </w:r>
    </w:p>
    <w:p w14:paraId="2C5B8598">
      <w:pPr>
        <w:widowControl/>
        <w:adjustRightInd w:val="0"/>
        <w:spacing w:line="360" w:lineRule="exact"/>
        <w:ind w:firstLine="424" w:firstLineChars="202"/>
        <w:jc w:val="left"/>
        <w:rPr>
          <w:rFonts w:ascii="宋体" w:hAnsi="宋体" w:cs="宋体"/>
          <w:kern w:val="0"/>
          <w:szCs w:val="21"/>
          <w:lang w:val="zh-CN"/>
        </w:rPr>
      </w:pPr>
      <w:r>
        <w:rPr>
          <w:rFonts w:hint="eastAsia" w:ascii="宋体" w:hAnsi="宋体" w:cs="宋体"/>
          <w:kern w:val="0"/>
          <w:szCs w:val="21"/>
          <w:lang w:val="zh-CN"/>
        </w:rPr>
        <w:t>乙方根据甲方需求提供下列服务：         ，</w:t>
      </w:r>
      <w:r>
        <w:rPr>
          <w:rFonts w:hint="eastAsia" w:ascii="宋体" w:hAnsi="宋体" w:cs="宋体"/>
          <w:szCs w:val="21"/>
        </w:rPr>
        <w:t>系指根据合同规定乙方须承担与服务有关的所有辅助服务</w:t>
      </w:r>
      <w:r>
        <w:rPr>
          <w:rFonts w:hint="eastAsia" w:ascii="宋体" w:hAnsi="宋体" w:cs="宋体"/>
          <w:kern w:val="0"/>
          <w:szCs w:val="21"/>
          <w:lang w:val="zh-CN"/>
        </w:rPr>
        <w:t>。</w:t>
      </w:r>
    </w:p>
    <w:p w14:paraId="4E20DE34">
      <w:pPr>
        <w:pStyle w:val="11"/>
        <w:spacing w:line="360" w:lineRule="exact"/>
        <w:ind w:firstLine="426" w:firstLineChars="202"/>
        <w:rPr>
          <w:rFonts w:eastAsia="宋体" w:cs="宋体"/>
          <w:b/>
          <w:sz w:val="21"/>
          <w:szCs w:val="21"/>
        </w:rPr>
      </w:pPr>
      <w:r>
        <w:rPr>
          <w:rFonts w:hint="eastAsia" w:eastAsia="宋体" w:cs="宋体"/>
          <w:b/>
          <w:sz w:val="21"/>
          <w:szCs w:val="21"/>
        </w:rPr>
        <w:t>第二条 合同价格</w:t>
      </w:r>
    </w:p>
    <w:p w14:paraId="5DF93D64">
      <w:pPr>
        <w:pStyle w:val="11"/>
        <w:spacing w:line="360" w:lineRule="exact"/>
        <w:ind w:firstLine="426" w:firstLineChars="202"/>
        <w:jc w:val="left"/>
        <w:rPr>
          <w:rFonts w:eastAsia="宋体" w:cs="宋体"/>
          <w:b/>
          <w:sz w:val="21"/>
          <w:szCs w:val="21"/>
        </w:rPr>
      </w:pPr>
      <w:r>
        <w:rPr>
          <w:rFonts w:hint="eastAsia" w:eastAsia="宋体" w:cs="宋体"/>
          <w:b/>
          <w:sz w:val="21"/>
          <w:szCs w:val="21"/>
        </w:rPr>
        <w:t>签约合同总价（人民币，下同）：</w:t>
      </w:r>
      <w:r>
        <w:rPr>
          <w:rFonts w:hint="eastAsia" w:eastAsia="宋体" w:cs="宋体"/>
          <w:b/>
          <w:sz w:val="21"/>
          <w:szCs w:val="21"/>
          <w:u w:val="single"/>
        </w:rPr>
        <w:t xml:space="preserve">             元</w:t>
      </w:r>
      <w:r>
        <w:rPr>
          <w:rFonts w:hint="eastAsia" w:eastAsia="宋体" w:cs="宋体"/>
          <w:b/>
          <w:sz w:val="21"/>
          <w:szCs w:val="21"/>
        </w:rPr>
        <w:t xml:space="preserve">（小写       ）。 </w:t>
      </w:r>
    </w:p>
    <w:p w14:paraId="3DB510A0">
      <w:pPr>
        <w:pStyle w:val="11"/>
        <w:spacing w:line="360" w:lineRule="exact"/>
        <w:ind w:firstLine="424" w:firstLineChars="202"/>
        <w:rPr>
          <w:rFonts w:eastAsia="宋体" w:cs="宋体"/>
          <w:sz w:val="21"/>
          <w:szCs w:val="21"/>
        </w:rPr>
      </w:pPr>
      <w:r>
        <w:rPr>
          <w:rFonts w:hint="eastAsia" w:eastAsia="宋体" w:cs="宋体"/>
          <w:sz w:val="21"/>
          <w:szCs w:val="21"/>
        </w:rPr>
        <w:t>本合同总价包括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664BA828">
      <w:pPr>
        <w:pStyle w:val="11"/>
        <w:spacing w:line="360" w:lineRule="exact"/>
        <w:ind w:firstLine="424" w:firstLineChars="202"/>
        <w:rPr>
          <w:rFonts w:eastAsia="宋体" w:cs="宋体"/>
          <w:sz w:val="21"/>
          <w:szCs w:val="21"/>
        </w:rPr>
      </w:pPr>
      <w:r>
        <w:rPr>
          <w:rFonts w:hint="eastAsia" w:eastAsia="宋体" w:cs="宋体"/>
          <w:sz w:val="21"/>
          <w:szCs w:val="21"/>
        </w:rPr>
        <w:t>本合同总价款还包含乙方应当提供的伴随服务/售后服务费用。</w:t>
      </w:r>
    </w:p>
    <w:p w14:paraId="7F7F0528">
      <w:pPr>
        <w:pStyle w:val="11"/>
        <w:spacing w:line="360" w:lineRule="exact"/>
        <w:ind w:firstLine="426" w:firstLineChars="202"/>
        <w:rPr>
          <w:rFonts w:eastAsia="宋体" w:cs="宋体"/>
          <w:b/>
          <w:sz w:val="21"/>
          <w:szCs w:val="21"/>
        </w:rPr>
      </w:pPr>
      <w:r>
        <w:rPr>
          <w:rFonts w:hint="eastAsia" w:eastAsia="宋体" w:cs="宋体"/>
          <w:b/>
          <w:sz w:val="21"/>
          <w:szCs w:val="21"/>
        </w:rPr>
        <w:t>第三条 组成本合同的有关文件</w:t>
      </w:r>
    </w:p>
    <w:p w14:paraId="46F5CEAF">
      <w:pPr>
        <w:pStyle w:val="11"/>
        <w:spacing w:line="360" w:lineRule="exact"/>
        <w:ind w:firstLine="424" w:firstLineChars="202"/>
        <w:rPr>
          <w:rFonts w:eastAsia="宋体" w:cs="宋体"/>
          <w:sz w:val="21"/>
          <w:szCs w:val="21"/>
        </w:rPr>
      </w:pPr>
      <w:r>
        <w:rPr>
          <w:rFonts w:hint="eastAsia" w:eastAsia="宋体" w:cs="宋体"/>
          <w:sz w:val="21"/>
          <w:szCs w:val="21"/>
        </w:rPr>
        <w:t>下列与本次采购活动有关的文件及有关附件是本合同不可分割的组成部分，与本合同具有同等法律效力，这些文件包括但不限于：</w:t>
      </w:r>
    </w:p>
    <w:p w14:paraId="5F06F2DA">
      <w:pPr>
        <w:pStyle w:val="11"/>
        <w:spacing w:line="360" w:lineRule="exact"/>
        <w:ind w:firstLine="424" w:firstLineChars="202"/>
        <w:rPr>
          <w:rFonts w:eastAsia="宋体" w:cs="宋体"/>
          <w:sz w:val="21"/>
          <w:szCs w:val="21"/>
        </w:rPr>
      </w:pPr>
      <w:r>
        <w:rPr>
          <w:rFonts w:hint="eastAsia" w:eastAsia="宋体" w:cs="宋体"/>
          <w:sz w:val="21"/>
          <w:szCs w:val="21"/>
        </w:rPr>
        <w:t xml:space="preserve">（1）竞争性磋商文件（编号：   ）          （2）乙方提供的磋商响应文件； </w:t>
      </w:r>
    </w:p>
    <w:p w14:paraId="289F88E3">
      <w:pPr>
        <w:pStyle w:val="11"/>
        <w:spacing w:line="360" w:lineRule="exact"/>
        <w:ind w:firstLine="424" w:firstLineChars="202"/>
        <w:rPr>
          <w:rFonts w:eastAsia="宋体" w:cs="宋体"/>
          <w:sz w:val="21"/>
          <w:szCs w:val="21"/>
        </w:rPr>
      </w:pPr>
      <w:r>
        <w:rPr>
          <w:rFonts w:hint="eastAsia" w:eastAsia="宋体" w:cs="宋体"/>
          <w:sz w:val="21"/>
          <w:szCs w:val="21"/>
        </w:rPr>
        <w:t>（3）成交通知书；                         （4）甲乙双方商定的其他文件等。</w:t>
      </w:r>
    </w:p>
    <w:p w14:paraId="0B533154">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第四条 合同款结算及支付</w:t>
      </w:r>
    </w:p>
    <w:p w14:paraId="11981439">
      <w:pPr>
        <w:adjustRightInd w:val="0"/>
        <w:snapToGrid w:val="0"/>
        <w:spacing w:line="360" w:lineRule="exact"/>
        <w:ind w:firstLine="424" w:firstLineChars="202"/>
        <w:rPr>
          <w:rFonts w:ascii="宋体" w:hAnsi="宋体" w:cs="宋体"/>
          <w:szCs w:val="21"/>
        </w:rPr>
      </w:pPr>
      <w:r>
        <w:rPr>
          <w:rFonts w:hint="eastAsia" w:ascii="宋体" w:hAnsi="宋体" w:cs="宋体"/>
          <w:szCs w:val="21"/>
        </w:rPr>
        <w:t>1.本合同项下所有款项均以人民币支付。</w:t>
      </w:r>
    </w:p>
    <w:p w14:paraId="124C84BC">
      <w:pPr>
        <w:adjustRightInd w:val="0"/>
        <w:snapToGrid w:val="0"/>
        <w:spacing w:line="360" w:lineRule="exact"/>
        <w:ind w:firstLine="424" w:firstLineChars="202"/>
        <w:rPr>
          <w:rFonts w:ascii="宋体" w:hAnsi="宋体" w:cs="宋体"/>
          <w:szCs w:val="21"/>
        </w:rPr>
      </w:pPr>
      <w:r>
        <w:rPr>
          <w:rFonts w:hint="eastAsia" w:ascii="宋体" w:hAnsi="宋体" w:cs="宋体"/>
          <w:szCs w:val="21"/>
        </w:rPr>
        <w:t>2.本合同项下的采购资金由甲方自行支付，乙方向甲方开具发票。</w:t>
      </w:r>
    </w:p>
    <w:p w14:paraId="1C8CD25A">
      <w:pPr>
        <w:adjustRightInd w:val="0"/>
        <w:snapToGrid w:val="0"/>
        <w:spacing w:line="360" w:lineRule="exact"/>
        <w:ind w:firstLine="424" w:firstLineChars="202"/>
        <w:rPr>
          <w:rFonts w:ascii="宋体" w:hAnsi="宋体" w:cs="宋体"/>
          <w:szCs w:val="21"/>
        </w:rPr>
      </w:pPr>
      <w:r>
        <w:rPr>
          <w:rFonts w:hint="eastAsia" w:ascii="宋体" w:hAnsi="宋体" w:cs="宋体"/>
          <w:szCs w:val="21"/>
        </w:rPr>
        <w:t>3.结算原则：固定总价。</w:t>
      </w:r>
    </w:p>
    <w:p w14:paraId="616E870F">
      <w:pPr>
        <w:spacing w:line="360" w:lineRule="exact"/>
        <w:ind w:firstLine="420" w:firstLineChars="200"/>
        <w:rPr>
          <w:rFonts w:ascii="宋体" w:hAnsi="宋体" w:cs="宋体"/>
          <w:szCs w:val="21"/>
        </w:rPr>
      </w:pPr>
      <w:r>
        <w:rPr>
          <w:rFonts w:hint="eastAsia" w:ascii="宋体" w:hAnsi="宋体" w:cs="宋体"/>
          <w:szCs w:val="21"/>
        </w:rPr>
        <w:t>4.付款方式：合同生效后，乙方进行维修维护工作，设备维护经甲方验收合格后付9</w:t>
      </w:r>
      <w:r>
        <w:rPr>
          <w:rFonts w:ascii="宋体" w:hAnsi="宋体" w:cs="宋体"/>
          <w:szCs w:val="21"/>
        </w:rPr>
        <w:t>0</w:t>
      </w:r>
      <w:r>
        <w:rPr>
          <w:rFonts w:hint="eastAsia" w:ascii="宋体" w:hAnsi="宋体" w:cs="宋体"/>
          <w:szCs w:val="21"/>
        </w:rPr>
        <w:t>%，一年后无明显质量问题支付剩余款项（无息）。</w:t>
      </w:r>
    </w:p>
    <w:p w14:paraId="68402569">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第五条 违约责任</w:t>
      </w:r>
    </w:p>
    <w:p w14:paraId="7FE81A9C">
      <w:pPr>
        <w:spacing w:line="360" w:lineRule="exact"/>
        <w:ind w:firstLine="420" w:firstLineChars="200"/>
        <w:rPr>
          <w:rFonts w:ascii="宋体" w:hAnsi="宋体" w:cs="宋体"/>
          <w:color w:val="000000" w:themeColor="text1"/>
          <w14:textFill>
            <w14:solidFill>
              <w14:schemeClr w14:val="tx1"/>
            </w14:solidFill>
          </w14:textFill>
        </w:rPr>
      </w:pPr>
      <w:r>
        <w:rPr>
          <w:rFonts w:hint="eastAsia" w:ascii="宋体" w:hAnsi="宋体" w:cs="宋体"/>
        </w:rPr>
        <w:t>1.如乙方不能</w:t>
      </w:r>
      <w:r>
        <w:rPr>
          <w:rFonts w:hint="eastAsia" w:ascii="宋体" w:hAnsi="宋体" w:cs="宋体"/>
          <w:szCs w:val="21"/>
        </w:rPr>
        <w:t>按约定进行服务的，</w:t>
      </w:r>
      <w:r>
        <w:rPr>
          <w:rFonts w:hint="eastAsia" w:ascii="宋体" w:hAnsi="宋体" w:cs="宋体"/>
        </w:rPr>
        <w:t>甲方有权解除合同，乙方交纳的全部履约保证金不予退还，同时有权要求乙方按照合同总价5</w:t>
      </w:r>
      <w:r>
        <w:rPr>
          <w:rFonts w:hint="eastAsia" w:ascii="宋体" w:hAnsi="宋体" w:cs="宋体"/>
          <w:color w:val="000000" w:themeColor="text1"/>
          <w14:textFill>
            <w14:solidFill>
              <w14:schemeClr w14:val="tx1"/>
            </w14:solidFill>
          </w14:textFill>
        </w:rPr>
        <w:t>%的标准支付违约金，解除合同的通知自发出之日生效。</w:t>
      </w:r>
    </w:p>
    <w:p w14:paraId="0651E157">
      <w:pPr>
        <w:spacing w:line="360" w:lineRule="exact"/>
        <w:ind w:firstLine="420" w:firstLineChars="200"/>
        <w:rPr>
          <w:rFonts w:ascii="宋体" w:hAnsi="宋体" w:cs="宋体"/>
        </w:rPr>
      </w:pPr>
      <w:r>
        <w:rPr>
          <w:rFonts w:hint="eastAsia" w:ascii="宋体" w:hAnsi="宋体" w:cs="宋体"/>
          <w:color w:val="000000" w:themeColor="text1"/>
          <w14:textFill>
            <w14:solidFill>
              <w14:schemeClr w14:val="tx1"/>
            </w14:solidFill>
          </w14:textFill>
        </w:rPr>
        <w:t>2.甲方未按合同规定的期限向乙方支付货款的，每逾期1天甲方向乙方偿付欠</w:t>
      </w:r>
      <w:r>
        <w:rPr>
          <w:rFonts w:hint="eastAsia" w:ascii="宋体" w:hAnsi="宋体" w:cs="宋体"/>
        </w:rPr>
        <w:t>款总额的5‰滞纳金，但累计滞纳金总额不超过欠款总额的5%。</w:t>
      </w:r>
    </w:p>
    <w:p w14:paraId="0E3E7417">
      <w:pPr>
        <w:spacing w:line="360" w:lineRule="exact"/>
        <w:ind w:firstLine="420" w:firstLineChars="200"/>
        <w:rPr>
          <w:rFonts w:ascii="宋体" w:hAnsi="宋体" w:cs="宋体"/>
        </w:rPr>
      </w:pPr>
      <w:r>
        <w:rPr>
          <w:rFonts w:hint="eastAsia" w:ascii="宋体" w:hAnsi="宋体" w:cs="宋体"/>
        </w:rPr>
        <w:t>3.乙方未按本合同规定向甲方交付履约保证金的，甲方有权拒绝签订本合同，同时乙方应按应交付履约保证金的100%向甲方支付违约金。</w:t>
      </w:r>
    </w:p>
    <w:p w14:paraId="0CF853A6">
      <w:pPr>
        <w:spacing w:line="360" w:lineRule="exact"/>
        <w:ind w:firstLine="420" w:firstLineChars="200"/>
        <w:rPr>
          <w:rFonts w:ascii="宋体" w:hAnsi="宋体" w:cs="宋体"/>
        </w:rPr>
      </w:pPr>
      <w:r>
        <w:rPr>
          <w:rFonts w:hint="eastAsia" w:ascii="宋体" w:hAnsi="宋体" w:cs="宋体"/>
        </w:rPr>
        <w:t>4.乙方未按本合同的规定和“服务承诺”提供伴随服务的，甲方有权提前解除本合同，同时乙方应按合同总价款的5 %向甲方承担违约责任。</w:t>
      </w:r>
    </w:p>
    <w:p w14:paraId="2DADD11C">
      <w:pPr>
        <w:spacing w:line="360" w:lineRule="exact"/>
        <w:ind w:firstLine="420" w:firstLineChars="200"/>
        <w:rPr>
          <w:rFonts w:ascii="宋体" w:hAnsi="宋体" w:cs="宋体"/>
        </w:rPr>
      </w:pPr>
      <w:r>
        <w:rPr>
          <w:rFonts w:hint="eastAsia" w:ascii="宋体" w:hAnsi="宋体" w:cs="宋体"/>
        </w:rPr>
        <w:t>5.乙方在承担上述一项或多项违约责任后，仍应继续履行合同规定的义务（甲方解除合同的除外）。甲方未能及时追究乙方的任何一项违约责任并不表明甲方放弃追究乙方该项或其他违约责任。</w:t>
      </w:r>
    </w:p>
    <w:p w14:paraId="003BF5CB">
      <w:pPr>
        <w:spacing w:line="360" w:lineRule="exact"/>
        <w:ind w:firstLine="420" w:firstLineChars="200"/>
        <w:rPr>
          <w:rFonts w:ascii="宋体" w:hAnsi="宋体" w:cs="宋体"/>
        </w:rPr>
      </w:pPr>
      <w:r>
        <w:rPr>
          <w:rFonts w:hint="eastAsia" w:ascii="宋体" w:hAnsi="宋体" w:cs="宋体"/>
        </w:rPr>
        <w:t>6.乙方属虚假承诺，或是由于乙方的过错造成合同无法继续履行的，除乙方已交履约保证金不予退还外，还应向甲方支付不少于合同总价30%违约金，若该违约金不足以弥补甲方损失，则应当赔偿甲方所有损失。</w:t>
      </w:r>
    </w:p>
    <w:p w14:paraId="17511F53">
      <w:pPr>
        <w:spacing w:line="360" w:lineRule="exact"/>
        <w:ind w:firstLine="420" w:firstLineChars="200"/>
        <w:rPr>
          <w:rFonts w:ascii="宋体" w:hAnsi="宋体" w:cs="宋体"/>
        </w:rPr>
      </w:pPr>
      <w:r>
        <w:rPr>
          <w:rFonts w:hint="eastAsia" w:ascii="宋体" w:hAnsi="宋体" w:cs="宋体"/>
        </w:rPr>
        <w:t>7.其他未尽事宜，以《民法典》等有关法律法规规定为准，无相关规定的，双方协商解决。</w:t>
      </w:r>
    </w:p>
    <w:p w14:paraId="1E2B7DEF">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第六条 合同的变更和终止</w:t>
      </w:r>
    </w:p>
    <w:p w14:paraId="058B0650">
      <w:pPr>
        <w:adjustRightInd w:val="0"/>
        <w:snapToGrid w:val="0"/>
        <w:spacing w:line="360" w:lineRule="exact"/>
        <w:ind w:firstLine="424" w:firstLineChars="202"/>
        <w:rPr>
          <w:rFonts w:ascii="宋体" w:hAnsi="宋体" w:cs="宋体"/>
          <w:szCs w:val="21"/>
        </w:rPr>
      </w:pPr>
      <w:r>
        <w:rPr>
          <w:rFonts w:hint="eastAsia" w:ascii="宋体" w:hAnsi="宋体" w:cs="宋体"/>
          <w:szCs w:val="21"/>
        </w:rPr>
        <w:t>1.本合同一经签订，甲乙双方不得擅自变更、中止或终止合同。</w:t>
      </w:r>
    </w:p>
    <w:p w14:paraId="417DD180">
      <w:pPr>
        <w:adjustRightInd w:val="0"/>
        <w:snapToGrid w:val="0"/>
        <w:spacing w:line="360" w:lineRule="exact"/>
        <w:ind w:firstLine="424" w:firstLineChars="202"/>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2.除发生法律规定的不能预见、不能避免并不能克服的客观情况外，甲乙双方不得放弃或拒绝履行合同。乙方放弃或拒绝履行合同，履约保证金不予退还。</w:t>
      </w:r>
    </w:p>
    <w:p w14:paraId="12DAFC4F">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第七条 合同的转让</w:t>
      </w:r>
    </w:p>
    <w:p w14:paraId="760E303F">
      <w:pPr>
        <w:adjustRightInd w:val="0"/>
        <w:snapToGrid w:val="0"/>
        <w:spacing w:line="360" w:lineRule="exact"/>
        <w:ind w:firstLine="424" w:firstLineChars="202"/>
        <w:rPr>
          <w:rFonts w:ascii="宋体" w:hAnsi="宋体" w:cs="宋体"/>
          <w:szCs w:val="21"/>
        </w:rPr>
      </w:pPr>
      <w:r>
        <w:rPr>
          <w:rFonts w:hint="eastAsia" w:ascii="宋体" w:hAnsi="宋体" w:cs="宋体"/>
          <w:szCs w:val="21"/>
        </w:rPr>
        <w:t>乙方不得擅自部分或全部转让其应履行的合同义务。</w:t>
      </w:r>
    </w:p>
    <w:p w14:paraId="195DE104">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第八条 不可抗力</w:t>
      </w:r>
    </w:p>
    <w:p w14:paraId="418E214F">
      <w:pPr>
        <w:adjustRightInd w:val="0"/>
        <w:snapToGrid w:val="0"/>
        <w:spacing w:line="360" w:lineRule="exact"/>
        <w:ind w:firstLine="424" w:firstLineChars="202"/>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14:paraId="04A098C9">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第九条 争议的解决</w:t>
      </w:r>
    </w:p>
    <w:p w14:paraId="20121CA1">
      <w:pPr>
        <w:adjustRightInd w:val="0"/>
        <w:snapToGrid w:val="0"/>
        <w:spacing w:line="360" w:lineRule="exact"/>
        <w:ind w:firstLine="424" w:firstLineChars="202"/>
        <w:rPr>
          <w:rFonts w:ascii="宋体" w:hAnsi="宋体" w:cs="宋体"/>
          <w:szCs w:val="21"/>
        </w:rPr>
      </w:pPr>
      <w:r>
        <w:rPr>
          <w:rFonts w:hint="eastAsia" w:ascii="宋体" w:hAnsi="宋体" w:cs="宋体"/>
          <w:szCs w:val="21"/>
        </w:rPr>
        <w:t>1.因履行本合同引起的或与本合同有关的争议，甲、乙双方应首先通过友好协商解决，如果协商不能解决争议，则采取以下第（ ）种方式解决争议：</w:t>
      </w:r>
    </w:p>
    <w:p w14:paraId="71E11C82">
      <w:pPr>
        <w:adjustRightInd w:val="0"/>
        <w:snapToGrid w:val="0"/>
        <w:spacing w:line="360" w:lineRule="exact"/>
        <w:ind w:firstLine="424" w:firstLineChars="202"/>
        <w:rPr>
          <w:rFonts w:ascii="宋体" w:hAnsi="宋体" w:cs="宋体"/>
          <w:szCs w:val="21"/>
        </w:rPr>
      </w:pPr>
      <w:r>
        <w:rPr>
          <w:rFonts w:hint="eastAsia" w:ascii="宋体" w:hAnsi="宋体" w:cs="宋体"/>
          <w:szCs w:val="21"/>
        </w:rPr>
        <w:t>（1）向甲方所在地人民法院提起诉讼；</w:t>
      </w:r>
    </w:p>
    <w:p w14:paraId="640FA721">
      <w:pPr>
        <w:adjustRightInd w:val="0"/>
        <w:snapToGrid w:val="0"/>
        <w:spacing w:line="360" w:lineRule="exact"/>
        <w:ind w:firstLine="424" w:firstLineChars="202"/>
        <w:rPr>
          <w:rFonts w:ascii="宋体" w:hAnsi="宋体" w:cs="宋体"/>
          <w:szCs w:val="21"/>
        </w:rPr>
      </w:pPr>
      <w:r>
        <w:rPr>
          <w:rFonts w:hint="eastAsia" w:ascii="宋体" w:hAnsi="宋体" w:cs="宋体"/>
          <w:szCs w:val="21"/>
        </w:rPr>
        <w:t>（2）向甲方所在地仲裁委员会按其仲裁规则申请仲裁。</w:t>
      </w:r>
    </w:p>
    <w:p w14:paraId="478B793A">
      <w:pPr>
        <w:adjustRightInd w:val="0"/>
        <w:snapToGrid w:val="0"/>
        <w:spacing w:line="360" w:lineRule="exact"/>
        <w:ind w:firstLine="424" w:firstLineChars="202"/>
        <w:rPr>
          <w:rFonts w:ascii="宋体" w:hAnsi="宋体" w:cs="宋体"/>
          <w:szCs w:val="21"/>
        </w:rPr>
      </w:pPr>
      <w:r>
        <w:rPr>
          <w:rFonts w:hint="eastAsia" w:ascii="宋体" w:hAnsi="宋体" w:cs="宋体"/>
          <w:szCs w:val="21"/>
        </w:rPr>
        <w:t>如没有约定，默认采取第2种方式解决争议。</w:t>
      </w:r>
    </w:p>
    <w:p w14:paraId="4CB6708C">
      <w:pPr>
        <w:adjustRightInd w:val="0"/>
        <w:snapToGrid w:val="0"/>
        <w:spacing w:line="360" w:lineRule="exact"/>
        <w:ind w:firstLine="424" w:firstLineChars="202"/>
        <w:rPr>
          <w:rFonts w:ascii="宋体" w:hAnsi="宋体" w:cs="宋体"/>
          <w:szCs w:val="21"/>
        </w:rPr>
      </w:pPr>
      <w:r>
        <w:rPr>
          <w:rFonts w:hint="eastAsia" w:ascii="宋体" w:hAnsi="宋体" w:cs="宋体"/>
          <w:szCs w:val="21"/>
        </w:rPr>
        <w:t>2.在法院审理和仲裁期间，除有争议部分外，本合同其他部分应继续履行。</w:t>
      </w:r>
    </w:p>
    <w:p w14:paraId="0E0899D5">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 xml:space="preserve">第十条 诚实信用 </w:t>
      </w:r>
    </w:p>
    <w:p w14:paraId="7B02343A">
      <w:pPr>
        <w:adjustRightInd w:val="0"/>
        <w:snapToGrid w:val="0"/>
        <w:spacing w:line="360" w:lineRule="exact"/>
        <w:ind w:firstLine="424" w:firstLineChars="202"/>
        <w:rPr>
          <w:rFonts w:ascii="宋体" w:hAnsi="宋体" w:cs="宋体"/>
          <w:szCs w:val="21"/>
        </w:rPr>
      </w:pPr>
      <w:r>
        <w:rPr>
          <w:rFonts w:hint="eastAsia" w:ascii="宋体" w:hAnsi="宋体" w:cs="宋体"/>
          <w:szCs w:val="21"/>
        </w:rPr>
        <w:t>乙方应诚实信用，严格按照竞争性磋商文件要求和磋商承诺履行合同，不向甲方进行商业贿赂或者提供不正当利益。</w:t>
      </w:r>
    </w:p>
    <w:p w14:paraId="1E9A8996">
      <w:pPr>
        <w:adjustRightInd w:val="0"/>
        <w:snapToGrid w:val="0"/>
        <w:spacing w:line="360" w:lineRule="exact"/>
        <w:ind w:firstLine="426" w:firstLineChars="202"/>
        <w:rPr>
          <w:rFonts w:ascii="宋体" w:hAnsi="宋体" w:cs="宋体"/>
          <w:b/>
          <w:szCs w:val="21"/>
        </w:rPr>
      </w:pPr>
      <w:r>
        <w:rPr>
          <w:rFonts w:hint="eastAsia" w:ascii="宋体" w:hAnsi="宋体" w:cs="宋体"/>
          <w:b/>
          <w:szCs w:val="21"/>
        </w:rPr>
        <w:t>第十一条 合同生效及其他</w:t>
      </w:r>
    </w:p>
    <w:p w14:paraId="299D045A">
      <w:pPr>
        <w:adjustRightInd w:val="0"/>
        <w:snapToGrid w:val="0"/>
        <w:spacing w:line="360" w:lineRule="exact"/>
        <w:ind w:firstLine="424" w:firstLineChars="202"/>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1.本合同自经甲乙双方授权代表签订并加盖公章后，自签订之日起生效。见证方仅对甲乙双方签订采购合同的事实进行见证，不代表任何承诺或保证，该合同的履行等相关情况均与见证方无任何关系。</w:t>
      </w:r>
    </w:p>
    <w:p w14:paraId="07BCC7C4">
      <w:pPr>
        <w:adjustRightInd w:val="0"/>
        <w:snapToGrid w:val="0"/>
        <w:spacing w:line="360" w:lineRule="exact"/>
        <w:ind w:firstLine="424" w:firstLineChars="202"/>
        <w:rPr>
          <w:rFonts w:ascii="宋体" w:hAnsi="宋体" w:cs="宋体"/>
          <w:szCs w:val="21"/>
        </w:rPr>
      </w:pPr>
      <w:r>
        <w:rPr>
          <w:rFonts w:hint="eastAsia" w:ascii="宋体" w:hAnsi="宋体" w:cs="宋体"/>
          <w:szCs w:val="21"/>
        </w:rPr>
        <w:t>2.本合同一式伍份，甲乙双方各执贰份，代理机构执壹份存档。</w:t>
      </w:r>
    </w:p>
    <w:p w14:paraId="70486039">
      <w:pPr>
        <w:spacing w:line="360" w:lineRule="exact"/>
        <w:ind w:firstLine="424" w:firstLineChars="202"/>
        <w:rPr>
          <w:rFonts w:ascii="宋体" w:hAnsi="宋体" w:cs="宋体"/>
          <w:color w:val="000000"/>
          <w:szCs w:val="21"/>
        </w:rPr>
      </w:pPr>
      <w:r>
        <w:rPr>
          <w:rFonts w:hint="eastAsia" w:ascii="宋体" w:hAnsi="宋体" w:cs="宋体"/>
          <w:szCs w:val="21"/>
        </w:rPr>
        <w:t>3.本合同应按照中华人民共和国的现行法律进行解释。</w:t>
      </w:r>
    </w:p>
    <w:p w14:paraId="23A0697D">
      <w:pPr>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14:paraId="5BFBA0C6">
      <w:pPr>
        <w:spacing w:line="400" w:lineRule="exact"/>
        <w:rPr>
          <w:rFonts w:ascii="宋体" w:hAnsi="宋体" w:cs="宋体"/>
          <w:color w:val="000000"/>
          <w:szCs w:val="21"/>
          <w:u w:val="single"/>
        </w:rPr>
      </w:pPr>
      <w:r>
        <w:rPr>
          <w:rFonts w:hint="eastAsia" w:ascii="宋体" w:hAnsi="宋体" w:cs="宋体"/>
          <w:color w:val="000000"/>
          <w:szCs w:val="21"/>
        </w:rPr>
        <w:t>单位名称（章）：                          单位名称（章）：</w:t>
      </w:r>
    </w:p>
    <w:p w14:paraId="5F53A6E4">
      <w:pPr>
        <w:spacing w:line="400" w:lineRule="exact"/>
        <w:rPr>
          <w:rFonts w:ascii="宋体" w:hAnsi="宋体" w:cs="宋体"/>
          <w:color w:val="000000"/>
          <w:szCs w:val="21"/>
          <w:u w:val="single"/>
        </w:rPr>
      </w:pPr>
      <w:r>
        <w:rPr>
          <w:rFonts w:hint="eastAsia" w:ascii="宋体" w:hAnsi="宋体" w:cs="宋体"/>
          <w:color w:val="000000"/>
          <w:szCs w:val="21"/>
        </w:rPr>
        <w:t>单位地址：                               单位地址：</w:t>
      </w:r>
    </w:p>
    <w:p w14:paraId="2736664D">
      <w:pPr>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14:paraId="6CFF59E8">
      <w:pPr>
        <w:spacing w:line="400" w:lineRule="exact"/>
        <w:rPr>
          <w:rFonts w:ascii="宋体" w:hAnsi="宋体" w:cs="宋体"/>
          <w:color w:val="000000"/>
          <w:szCs w:val="21"/>
        </w:rPr>
      </w:pPr>
      <w:r>
        <w:rPr>
          <w:rFonts w:hint="eastAsia" w:ascii="宋体" w:hAnsi="宋体" w:cs="宋体"/>
          <w:color w:val="000000"/>
          <w:szCs w:val="21"/>
        </w:rPr>
        <w:t>电话：                                   电话：            传真：</w:t>
      </w:r>
    </w:p>
    <w:p w14:paraId="1B29137E">
      <w:pPr>
        <w:spacing w:line="400" w:lineRule="exact"/>
        <w:rPr>
          <w:rFonts w:ascii="宋体" w:hAnsi="宋体" w:cs="宋体"/>
          <w:color w:val="000000"/>
          <w:szCs w:val="21"/>
        </w:rPr>
      </w:pPr>
      <w:r>
        <w:rPr>
          <w:rFonts w:hint="eastAsia" w:ascii="宋体" w:hAnsi="宋体" w:cs="宋体"/>
          <w:color w:val="000000"/>
          <w:szCs w:val="21"/>
        </w:rPr>
        <w:t xml:space="preserve">传真：                                   开户银行：        账号：                                                                                 </w:t>
      </w:r>
    </w:p>
    <w:p w14:paraId="11DD8625">
      <w:pPr>
        <w:spacing w:line="400" w:lineRule="exact"/>
        <w:rPr>
          <w:rFonts w:ascii="宋体" w:hAnsi="宋体" w:cs="宋体"/>
          <w:b/>
          <w:bCs/>
          <w:color w:val="000000"/>
          <w:szCs w:val="21"/>
        </w:rPr>
      </w:pPr>
    </w:p>
    <w:p w14:paraId="7A6FE3D9">
      <w:pPr>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14:paraId="3184F4B1">
      <w:pPr>
        <w:tabs>
          <w:tab w:val="left" w:pos="3780"/>
        </w:tabs>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14:paraId="54AC03B0">
      <w:pPr>
        <w:spacing w:line="400" w:lineRule="exact"/>
        <w:rPr>
          <w:rFonts w:ascii="宋体" w:hAnsi="宋体" w:cs="宋体"/>
          <w:color w:val="000000"/>
          <w:szCs w:val="21"/>
        </w:rPr>
      </w:pPr>
      <w:r>
        <w:rPr>
          <w:rFonts w:hint="eastAsia" w:ascii="宋体" w:hAnsi="宋体" w:cs="宋体"/>
          <w:color w:val="000000"/>
          <w:szCs w:val="21"/>
        </w:rPr>
        <w:t xml:space="preserve">                 </w:t>
      </w:r>
    </w:p>
    <w:p w14:paraId="66166B86">
      <w:pPr>
        <w:spacing w:line="400" w:lineRule="exact"/>
        <w:rPr>
          <w:rFonts w:ascii="宋体" w:hAnsi="宋体" w:cs="宋体"/>
          <w:szCs w:val="21"/>
        </w:rPr>
      </w:pPr>
      <w:r>
        <w:rPr>
          <w:rFonts w:hint="eastAsia" w:ascii="宋体" w:hAnsi="宋体" w:cs="宋体"/>
          <w:color w:val="000000"/>
          <w:szCs w:val="21"/>
        </w:rPr>
        <w:t>经办人：                               电  话：</w:t>
      </w:r>
    </w:p>
    <w:p w14:paraId="0527E5CD">
      <w:pPr>
        <w:jc w:val="center"/>
        <w:rPr>
          <w:rFonts w:ascii="宋体" w:hAnsi="宋体" w:cs="宋体"/>
          <w:b/>
          <w:sz w:val="30"/>
          <w:szCs w:val="30"/>
        </w:rPr>
      </w:pPr>
    </w:p>
    <w:p w14:paraId="66A78F16">
      <w:pPr>
        <w:jc w:val="center"/>
        <w:rPr>
          <w:rFonts w:ascii="宋体" w:hAnsi="宋体" w:cs="宋体"/>
          <w:b/>
          <w:sz w:val="30"/>
          <w:szCs w:val="30"/>
        </w:rPr>
      </w:pPr>
    </w:p>
    <w:p w14:paraId="45291FE0">
      <w:pPr>
        <w:jc w:val="center"/>
        <w:rPr>
          <w:rFonts w:ascii="宋体" w:hAnsi="宋体" w:cs="宋体"/>
          <w:b/>
          <w:sz w:val="30"/>
          <w:szCs w:val="30"/>
        </w:rPr>
      </w:pPr>
    </w:p>
    <w:p w14:paraId="55B8A8E5">
      <w:pPr>
        <w:jc w:val="center"/>
        <w:rPr>
          <w:rFonts w:ascii="宋体" w:hAnsi="宋体" w:cs="宋体"/>
          <w:b/>
          <w:sz w:val="30"/>
          <w:szCs w:val="30"/>
        </w:rPr>
      </w:pPr>
    </w:p>
    <w:p w14:paraId="28342ED6">
      <w:pPr>
        <w:jc w:val="center"/>
        <w:rPr>
          <w:rFonts w:ascii="宋体" w:hAnsi="宋体" w:cs="宋体"/>
          <w:b/>
          <w:sz w:val="30"/>
          <w:szCs w:val="30"/>
        </w:rPr>
      </w:pPr>
    </w:p>
    <w:p w14:paraId="74F592D1">
      <w:pPr>
        <w:jc w:val="center"/>
        <w:rPr>
          <w:rFonts w:ascii="宋体" w:hAnsi="宋体" w:cs="宋体"/>
          <w:b/>
          <w:sz w:val="30"/>
          <w:szCs w:val="30"/>
        </w:rPr>
      </w:pPr>
    </w:p>
    <w:p w14:paraId="0C0E5C48">
      <w:pPr>
        <w:jc w:val="center"/>
        <w:rPr>
          <w:rFonts w:ascii="宋体" w:hAnsi="宋体" w:cs="宋体"/>
          <w:b/>
          <w:sz w:val="30"/>
          <w:szCs w:val="30"/>
        </w:rPr>
      </w:pPr>
    </w:p>
    <w:p w14:paraId="1DF6EF7B">
      <w:pPr>
        <w:jc w:val="center"/>
        <w:rPr>
          <w:rFonts w:ascii="宋体" w:hAnsi="宋体" w:cs="宋体"/>
          <w:b/>
          <w:sz w:val="30"/>
          <w:szCs w:val="30"/>
        </w:rPr>
      </w:pPr>
    </w:p>
    <w:p w14:paraId="254DF370">
      <w:pPr>
        <w:jc w:val="center"/>
        <w:rPr>
          <w:rFonts w:ascii="宋体" w:hAnsi="宋体" w:cs="宋体"/>
          <w:b/>
          <w:sz w:val="30"/>
          <w:szCs w:val="30"/>
        </w:rPr>
      </w:pPr>
    </w:p>
    <w:p w14:paraId="3A80DA8B">
      <w:pPr>
        <w:jc w:val="center"/>
        <w:rPr>
          <w:rFonts w:ascii="宋体" w:hAnsi="宋体" w:cs="宋体"/>
          <w:b/>
          <w:sz w:val="30"/>
          <w:szCs w:val="30"/>
        </w:rPr>
      </w:pPr>
    </w:p>
    <w:p w14:paraId="7C4CCB94">
      <w:pPr>
        <w:widowControl/>
        <w:jc w:val="left"/>
        <w:rPr>
          <w:rFonts w:ascii="宋体" w:hAnsi="宋体" w:cs="宋体"/>
          <w:b/>
          <w:sz w:val="30"/>
          <w:szCs w:val="30"/>
        </w:rPr>
      </w:pPr>
      <w:r>
        <w:rPr>
          <w:rFonts w:hint="eastAsia" w:ascii="宋体" w:hAnsi="宋体" w:cs="宋体"/>
          <w:b/>
          <w:sz w:val="30"/>
          <w:szCs w:val="30"/>
        </w:rPr>
        <w:br w:type="page"/>
      </w:r>
    </w:p>
    <w:p w14:paraId="292AD8BD">
      <w:pPr>
        <w:pStyle w:val="2"/>
        <w:rPr>
          <w:rFonts w:ascii="宋体" w:hAnsi="宋体" w:cs="宋体"/>
        </w:rPr>
      </w:pPr>
      <w:bookmarkStart w:id="4" w:name="_Toc17537930"/>
      <w:r>
        <w:rPr>
          <w:rFonts w:hint="eastAsia" w:ascii="宋体" w:hAnsi="宋体" w:cs="宋体"/>
        </w:rPr>
        <w:t>第四章  评审细则</w:t>
      </w:r>
      <w:bookmarkEnd w:id="4"/>
    </w:p>
    <w:p w14:paraId="6BC99AC2">
      <w:pPr>
        <w:snapToGrid w:val="0"/>
        <w:spacing w:line="360" w:lineRule="exact"/>
        <w:ind w:firstLine="422" w:firstLineChars="200"/>
        <w:rPr>
          <w:rFonts w:ascii="宋体" w:hAnsi="宋体" w:cs="宋体"/>
          <w:szCs w:val="21"/>
        </w:rPr>
      </w:pPr>
      <w:bookmarkStart w:id="5" w:name="_Toc17537931"/>
      <w:r>
        <w:rPr>
          <w:rFonts w:hint="eastAsia" w:cs="宋体" w:asciiTheme="minorEastAsia" w:hAnsiTheme="minorEastAsia" w:eastAsiaTheme="minorEastAsia"/>
          <w:b/>
          <w:szCs w:val="21"/>
        </w:rPr>
        <w:t>一、本项目采用综合评分法</w:t>
      </w:r>
      <w:r>
        <w:rPr>
          <w:rFonts w:hint="eastAsia" w:ascii="宋体" w:hAnsi="宋体" w:cs="宋体"/>
          <w:szCs w:val="21"/>
        </w:rPr>
        <w:t>，由磋商小组对所有有效投标进行详细的评分，采用百分制计分方法。评审时，磋商小组各成员遵循公平、公正、择优原则，独立对每个有效供应商的标书进行评价、打分，各个供应商的评审后最终得分为汇总计算所有评委所评定分值的平均值（保留2位小数）。</w:t>
      </w:r>
    </w:p>
    <w:p w14:paraId="3042E4FC">
      <w:pPr>
        <w:snapToGrid w:val="0"/>
        <w:spacing w:line="360" w:lineRule="exact"/>
        <w:ind w:firstLine="420" w:firstLineChars="200"/>
        <w:rPr>
          <w:rFonts w:ascii="宋体" w:hAnsi="宋体" w:cs="宋体"/>
          <w:color w:val="FF0000"/>
          <w:szCs w:val="21"/>
        </w:rPr>
      </w:pPr>
      <w:r>
        <w:rPr>
          <w:rFonts w:hint="eastAsia" w:ascii="宋体" w:hAnsi="宋体" w:cs="宋体"/>
          <w:szCs w:val="21"/>
        </w:rPr>
        <w:t>评审结果按评审后得分由高到低顺序排列。得分相同的，按磋商报价由低到高顺序排列。得分且磋商报价相同的并列。磋商响应文件满足磋商文件全部实质性要求，且按照评审因素的量化指标评审得分最高的供应商为排名第一的成交候选人。</w:t>
      </w:r>
    </w:p>
    <w:p w14:paraId="11576F97">
      <w:pPr>
        <w:numPr>
          <w:ilvl w:val="0"/>
          <w:numId w:val="2"/>
        </w:numPr>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评分细则：</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927"/>
        <w:gridCol w:w="677"/>
        <w:gridCol w:w="5994"/>
      </w:tblGrid>
      <w:tr w14:paraId="0D48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260B7BD">
            <w:pPr>
              <w:ind w:firstLine="28"/>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927" w:type="dxa"/>
            <w:vAlign w:val="center"/>
          </w:tcPr>
          <w:p w14:paraId="3375BD3B">
            <w:pPr>
              <w:ind w:firstLine="28"/>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评分因素</w:t>
            </w:r>
          </w:p>
        </w:tc>
        <w:tc>
          <w:tcPr>
            <w:tcW w:w="677" w:type="dxa"/>
            <w:vAlign w:val="center"/>
          </w:tcPr>
          <w:p w14:paraId="46E945AB">
            <w:pPr>
              <w:ind w:firstLine="28"/>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5994" w:type="dxa"/>
            <w:vAlign w:val="center"/>
          </w:tcPr>
          <w:p w14:paraId="7E2284AA">
            <w:pPr>
              <w:ind w:firstLine="28"/>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14:paraId="2C4F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679" w:type="dxa"/>
            <w:vAlign w:val="center"/>
          </w:tcPr>
          <w:p w14:paraId="2BFA875C">
            <w:pPr>
              <w:ind w:firstLine="28"/>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w:t>
            </w:r>
          </w:p>
        </w:tc>
        <w:tc>
          <w:tcPr>
            <w:tcW w:w="927" w:type="dxa"/>
            <w:vAlign w:val="center"/>
          </w:tcPr>
          <w:p w14:paraId="4527911D">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价格分</w:t>
            </w:r>
          </w:p>
        </w:tc>
        <w:tc>
          <w:tcPr>
            <w:tcW w:w="677" w:type="dxa"/>
            <w:vAlign w:val="center"/>
          </w:tcPr>
          <w:p w14:paraId="19F6E452">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w:t>
            </w:r>
            <w:r>
              <w:rPr>
                <w:rFonts w:hint="eastAsia" w:asciiTheme="minorEastAsia" w:hAnsiTheme="minorEastAsia" w:eastAsiaTheme="minorEastAsia" w:cstheme="minorEastAsia"/>
                <w:szCs w:val="21"/>
              </w:rPr>
              <w:t>0</w:t>
            </w:r>
          </w:p>
        </w:tc>
        <w:tc>
          <w:tcPr>
            <w:tcW w:w="5994" w:type="dxa"/>
            <w:vAlign w:val="center"/>
          </w:tcPr>
          <w:p w14:paraId="2FA1EF03">
            <w:pPr>
              <w:adjustRightInd w:val="0"/>
              <w:snapToGrid w:val="0"/>
              <w:spacing w:line="360" w:lineRule="exact"/>
              <w:ind w:firstLine="420" w:firstLineChars="200"/>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价格分采用低价优先法计算，即满足磋商文件要求且磋商价格最低的磋商报价为磋商基准价，其价格分为满分。其他供应商的价格分统一按照下列公式计算（计算结果四舍五入保留两位小数）：</w:t>
            </w:r>
          </w:p>
          <w:p w14:paraId="725B1C08">
            <w:pPr>
              <w:adjustRightInd w:val="0"/>
              <w:snapToGrid w:val="0"/>
              <w:spacing w:line="360" w:lineRule="exact"/>
              <w:ind w:firstLine="420" w:firstLineChars="200"/>
              <w:rPr>
                <w:rFonts w:asciiTheme="minorEastAsia" w:hAnsiTheme="minorEastAsia" w:eastAsiaTheme="minorEastAsia" w:cstheme="minorEastAsia"/>
                <w:szCs w:val="21"/>
              </w:rPr>
            </w:pPr>
            <w:r>
              <w:rPr>
                <w:rFonts w:hint="eastAsia" w:asciiTheme="majorEastAsia" w:hAnsiTheme="majorEastAsia" w:eastAsiaTheme="majorEastAsia" w:cstheme="minorEastAsia"/>
                <w:szCs w:val="21"/>
              </w:rPr>
              <w:t>磋商报价得分=（磋商基准价/最后磋商报价）*分值</w:t>
            </w:r>
          </w:p>
        </w:tc>
      </w:tr>
      <w:tr w14:paraId="08E8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7837D293">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27" w:type="dxa"/>
            <w:vAlign w:val="center"/>
          </w:tcPr>
          <w:p w14:paraId="10964073">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主观分</w:t>
            </w:r>
          </w:p>
        </w:tc>
        <w:tc>
          <w:tcPr>
            <w:tcW w:w="677" w:type="dxa"/>
            <w:vAlign w:val="center"/>
          </w:tcPr>
          <w:p w14:paraId="6F3336BE">
            <w:pPr>
              <w:ind w:firstLine="28"/>
              <w:jc w:val="center"/>
              <w:rPr>
                <w:rFonts w:asciiTheme="minorEastAsia" w:hAnsiTheme="minorEastAsia" w:eastAsiaTheme="minorEastAsia" w:cstheme="minorEastAsia"/>
                <w:szCs w:val="21"/>
              </w:rPr>
            </w:pPr>
          </w:p>
        </w:tc>
        <w:tc>
          <w:tcPr>
            <w:tcW w:w="5994" w:type="dxa"/>
            <w:vAlign w:val="center"/>
          </w:tcPr>
          <w:p w14:paraId="1AC8155B">
            <w:pPr>
              <w:rPr>
                <w:rFonts w:asciiTheme="minorEastAsia" w:hAnsiTheme="minorEastAsia" w:eastAsiaTheme="minorEastAsia" w:cstheme="minorEastAsia"/>
                <w:szCs w:val="21"/>
              </w:rPr>
            </w:pPr>
          </w:p>
        </w:tc>
      </w:tr>
      <w:tr w14:paraId="7AE4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478003E3">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927" w:type="dxa"/>
            <w:vAlign w:val="center"/>
          </w:tcPr>
          <w:p w14:paraId="1521FE73">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pacing w:val="-6"/>
                <w:szCs w:val="21"/>
              </w:rPr>
              <w:t>本项目的实施方案</w:t>
            </w:r>
          </w:p>
        </w:tc>
        <w:tc>
          <w:tcPr>
            <w:tcW w:w="677" w:type="dxa"/>
            <w:vAlign w:val="center"/>
          </w:tcPr>
          <w:p w14:paraId="542B333B">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10</w:t>
            </w:r>
          </w:p>
        </w:tc>
        <w:tc>
          <w:tcPr>
            <w:tcW w:w="5994" w:type="dxa"/>
          </w:tcPr>
          <w:p w14:paraId="185933C8">
            <w:pPr>
              <w:adjustRightInd w:val="0"/>
              <w:snapToGrid w:val="0"/>
              <w:spacing w:line="360" w:lineRule="exact"/>
              <w:ind w:firstLine="398"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 xml:space="preserve">针对本项目的实施方案，内容至少包含服务工作开展方案、工作制度及规范建立情况介绍等： </w:t>
            </w:r>
          </w:p>
          <w:p w14:paraId="31242EDD">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实施方案详尽、精细，科学合理，操作性强的得</w:t>
            </w:r>
            <w:r>
              <w:rPr>
                <w:rFonts w:asciiTheme="minorEastAsia" w:hAnsiTheme="minorEastAsia" w:eastAsiaTheme="minorEastAsia" w:cstheme="minorEastAsia"/>
                <w:spacing w:val="-6"/>
                <w:szCs w:val="21"/>
              </w:rPr>
              <w:t>10-7</w:t>
            </w:r>
            <w:r>
              <w:rPr>
                <w:rFonts w:hint="eastAsia" w:asciiTheme="minorEastAsia" w:hAnsiTheme="minorEastAsia" w:eastAsiaTheme="minorEastAsia" w:cstheme="minorEastAsia"/>
                <w:spacing w:val="-6"/>
                <w:szCs w:val="21"/>
              </w:rPr>
              <w:t>分；</w:t>
            </w:r>
          </w:p>
          <w:p w14:paraId="54269865">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实施方案较为全面，较详细合理、规范科学的得</w:t>
            </w:r>
            <w:r>
              <w:rPr>
                <w:rFonts w:asciiTheme="minorEastAsia" w:hAnsiTheme="minorEastAsia" w:eastAsiaTheme="minorEastAsia" w:cstheme="minorEastAsia"/>
                <w:spacing w:val="-6"/>
                <w:szCs w:val="21"/>
              </w:rPr>
              <w:t>6-3</w:t>
            </w:r>
            <w:r>
              <w:rPr>
                <w:rFonts w:hint="eastAsia" w:asciiTheme="minorEastAsia" w:hAnsiTheme="minorEastAsia" w:eastAsiaTheme="minorEastAsia" w:cstheme="minorEastAsia"/>
                <w:spacing w:val="-6"/>
                <w:szCs w:val="21"/>
              </w:rPr>
              <w:t>分；</w:t>
            </w:r>
          </w:p>
          <w:p w14:paraId="67B138CD">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实施方案简单，操作性一般的得2</w:t>
            </w:r>
            <w:r>
              <w:rPr>
                <w:rFonts w:asciiTheme="minorEastAsia" w:hAnsiTheme="minorEastAsia" w:eastAsiaTheme="minorEastAsia" w:cstheme="minorEastAsia"/>
                <w:spacing w:val="-6"/>
                <w:szCs w:val="21"/>
              </w:rPr>
              <w:t>-1</w:t>
            </w:r>
            <w:r>
              <w:rPr>
                <w:rFonts w:hint="eastAsia" w:asciiTheme="minorEastAsia" w:hAnsiTheme="minorEastAsia" w:eastAsiaTheme="minorEastAsia" w:cstheme="minorEastAsia"/>
                <w:spacing w:val="-6"/>
                <w:szCs w:val="21"/>
              </w:rPr>
              <w:t>分；</w:t>
            </w:r>
          </w:p>
          <w:p w14:paraId="14DCEFB6">
            <w:pPr>
              <w:adjustRightInd w:val="0"/>
              <w:snapToGrid w:val="0"/>
              <w:spacing w:line="360" w:lineRule="exact"/>
              <w:ind w:firstLine="396"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6"/>
                <w:szCs w:val="21"/>
              </w:rPr>
              <w:t>未提供不得分。</w:t>
            </w:r>
          </w:p>
        </w:tc>
      </w:tr>
      <w:tr w14:paraId="3EAA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35C35DD1">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927" w:type="dxa"/>
            <w:vAlign w:val="center"/>
          </w:tcPr>
          <w:p w14:paraId="22F2DDD7">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pacing w:val="-6"/>
                <w:szCs w:val="21"/>
              </w:rPr>
              <w:t>本项目的重点、难点分析及应对措施</w:t>
            </w:r>
          </w:p>
        </w:tc>
        <w:tc>
          <w:tcPr>
            <w:tcW w:w="677" w:type="dxa"/>
            <w:vAlign w:val="center"/>
          </w:tcPr>
          <w:p w14:paraId="5A353C73">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8</w:t>
            </w:r>
          </w:p>
        </w:tc>
        <w:tc>
          <w:tcPr>
            <w:tcW w:w="5994" w:type="dxa"/>
          </w:tcPr>
          <w:p w14:paraId="475CDC39">
            <w:pPr>
              <w:adjustRightInd w:val="0"/>
              <w:snapToGrid w:val="0"/>
              <w:spacing w:line="360" w:lineRule="exact"/>
              <w:ind w:firstLine="398"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 xml:space="preserve">对本项目的重点、难点分析及应对措施，项目重点内容阐述、难点分析及相应的应对措施： </w:t>
            </w:r>
          </w:p>
          <w:p w14:paraId="50794562">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重点切入准确、内容阐述精细，难点分析精准，应对措施科学、合理，操作性强，得</w:t>
            </w:r>
            <w:r>
              <w:rPr>
                <w:rFonts w:asciiTheme="minorEastAsia" w:hAnsiTheme="minorEastAsia" w:eastAsiaTheme="minorEastAsia" w:cstheme="minorEastAsia"/>
                <w:spacing w:val="-6"/>
                <w:szCs w:val="21"/>
              </w:rPr>
              <w:t>8-6</w:t>
            </w:r>
            <w:r>
              <w:rPr>
                <w:rFonts w:hint="eastAsia" w:asciiTheme="minorEastAsia" w:hAnsiTheme="minorEastAsia" w:eastAsiaTheme="minorEastAsia" w:cstheme="minorEastAsia"/>
                <w:spacing w:val="-6"/>
                <w:szCs w:val="21"/>
              </w:rPr>
              <w:t>分；</w:t>
            </w:r>
          </w:p>
          <w:p w14:paraId="57678FCD">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重点切入较为准确，内容阐述完整，难点分析到位，应对措施较为科学合理，操作性较强得</w:t>
            </w:r>
            <w:r>
              <w:rPr>
                <w:rFonts w:asciiTheme="minorEastAsia" w:hAnsiTheme="minorEastAsia" w:eastAsiaTheme="minorEastAsia" w:cstheme="minorEastAsia"/>
                <w:spacing w:val="-6"/>
                <w:szCs w:val="21"/>
              </w:rPr>
              <w:t>5-3</w:t>
            </w:r>
            <w:r>
              <w:rPr>
                <w:rFonts w:hint="eastAsia" w:asciiTheme="minorEastAsia" w:hAnsiTheme="minorEastAsia" w:eastAsiaTheme="minorEastAsia" w:cstheme="minorEastAsia"/>
                <w:spacing w:val="-6"/>
                <w:szCs w:val="21"/>
              </w:rPr>
              <w:t>分；</w:t>
            </w:r>
          </w:p>
          <w:p w14:paraId="3B048516">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重点内容切入稍有偏差，内容阐述简单，难点分析基本合理，应对措施操作性一般得2</w:t>
            </w:r>
            <w:r>
              <w:rPr>
                <w:rFonts w:asciiTheme="minorEastAsia" w:hAnsiTheme="minorEastAsia" w:eastAsiaTheme="minorEastAsia" w:cstheme="minorEastAsia"/>
                <w:spacing w:val="-6"/>
                <w:szCs w:val="21"/>
              </w:rPr>
              <w:t>-</w:t>
            </w:r>
            <w:r>
              <w:rPr>
                <w:rFonts w:hint="eastAsia" w:asciiTheme="minorEastAsia" w:hAnsiTheme="minorEastAsia" w:eastAsiaTheme="minorEastAsia" w:cstheme="minorEastAsia"/>
                <w:spacing w:val="-6"/>
                <w:szCs w:val="21"/>
              </w:rPr>
              <w:t>1分；</w:t>
            </w:r>
          </w:p>
          <w:p w14:paraId="37728020">
            <w:pPr>
              <w:adjustRightInd w:val="0"/>
              <w:snapToGrid w:val="0"/>
              <w:spacing w:line="360" w:lineRule="exact"/>
              <w:ind w:firstLine="396"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6"/>
                <w:szCs w:val="21"/>
              </w:rPr>
              <w:t>未提供不得分。</w:t>
            </w:r>
          </w:p>
        </w:tc>
      </w:tr>
      <w:tr w14:paraId="0FB9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1C75658F">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927" w:type="dxa"/>
            <w:vAlign w:val="center"/>
          </w:tcPr>
          <w:p w14:paraId="5EC5CEE7">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pacing w:val="-6"/>
                <w:szCs w:val="21"/>
              </w:rPr>
              <w:t>质量保证措施</w:t>
            </w:r>
          </w:p>
        </w:tc>
        <w:tc>
          <w:tcPr>
            <w:tcW w:w="677" w:type="dxa"/>
            <w:vAlign w:val="center"/>
          </w:tcPr>
          <w:p w14:paraId="659F5759">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10</w:t>
            </w:r>
          </w:p>
        </w:tc>
        <w:tc>
          <w:tcPr>
            <w:tcW w:w="5994" w:type="dxa"/>
          </w:tcPr>
          <w:p w14:paraId="2CE6CC99">
            <w:pPr>
              <w:adjustRightInd w:val="0"/>
              <w:snapToGrid w:val="0"/>
              <w:spacing w:line="360" w:lineRule="exact"/>
              <w:ind w:firstLine="398"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 xml:space="preserve">针对本项目的质量保证措施： </w:t>
            </w:r>
          </w:p>
          <w:p w14:paraId="2D43C633">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保障措施科学、合理，质量目标明确，保证措施详尽，针对性强的得</w:t>
            </w:r>
            <w:r>
              <w:rPr>
                <w:rFonts w:asciiTheme="minorEastAsia" w:hAnsiTheme="minorEastAsia" w:eastAsiaTheme="minorEastAsia" w:cstheme="minorEastAsia"/>
                <w:spacing w:val="-6"/>
                <w:szCs w:val="21"/>
              </w:rPr>
              <w:t>10-7</w:t>
            </w:r>
            <w:r>
              <w:rPr>
                <w:rFonts w:hint="eastAsia" w:asciiTheme="minorEastAsia" w:hAnsiTheme="minorEastAsia" w:eastAsiaTheme="minorEastAsia" w:cstheme="minorEastAsia"/>
                <w:spacing w:val="-6"/>
                <w:szCs w:val="21"/>
              </w:rPr>
              <w:t>分，</w:t>
            </w:r>
          </w:p>
          <w:p w14:paraId="1C176A59">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保障措施较科学、合理，质量目标较明确，保证措施较详尽，针对性较强的得</w:t>
            </w:r>
            <w:r>
              <w:rPr>
                <w:rFonts w:asciiTheme="minorEastAsia" w:hAnsiTheme="minorEastAsia" w:eastAsiaTheme="minorEastAsia" w:cstheme="minorEastAsia"/>
                <w:spacing w:val="-6"/>
                <w:szCs w:val="21"/>
              </w:rPr>
              <w:t>6-3</w:t>
            </w:r>
            <w:r>
              <w:rPr>
                <w:rFonts w:hint="eastAsia" w:asciiTheme="minorEastAsia" w:hAnsiTheme="minorEastAsia" w:eastAsiaTheme="minorEastAsia" w:cstheme="minorEastAsia"/>
                <w:spacing w:val="-6"/>
                <w:szCs w:val="21"/>
              </w:rPr>
              <w:t>分，</w:t>
            </w:r>
          </w:p>
          <w:p w14:paraId="49578750">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措施简单、笼统，一般的得2</w:t>
            </w:r>
            <w:r>
              <w:rPr>
                <w:rFonts w:asciiTheme="minorEastAsia" w:hAnsiTheme="minorEastAsia" w:eastAsiaTheme="minorEastAsia" w:cstheme="minorEastAsia"/>
                <w:spacing w:val="-6"/>
                <w:szCs w:val="21"/>
              </w:rPr>
              <w:t>-</w:t>
            </w:r>
            <w:r>
              <w:rPr>
                <w:rFonts w:hint="eastAsia" w:asciiTheme="minorEastAsia" w:hAnsiTheme="minorEastAsia" w:eastAsiaTheme="minorEastAsia" w:cstheme="minorEastAsia"/>
                <w:spacing w:val="-6"/>
                <w:szCs w:val="21"/>
              </w:rPr>
              <w:t>1分；</w:t>
            </w:r>
          </w:p>
          <w:p w14:paraId="3DEEDDA2">
            <w:pPr>
              <w:adjustRightInd w:val="0"/>
              <w:snapToGrid w:val="0"/>
              <w:spacing w:line="360" w:lineRule="exact"/>
              <w:ind w:firstLine="396"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spacing w:val="-6"/>
                <w:szCs w:val="21"/>
              </w:rPr>
              <w:t>未提供不得分。</w:t>
            </w:r>
          </w:p>
        </w:tc>
      </w:tr>
      <w:tr w14:paraId="1C91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3D6E27A">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2.4</w:t>
            </w:r>
          </w:p>
        </w:tc>
        <w:tc>
          <w:tcPr>
            <w:tcW w:w="927" w:type="dxa"/>
            <w:vAlign w:val="center"/>
          </w:tcPr>
          <w:p w14:paraId="75BB418D">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pacing w:val="-6"/>
                <w:szCs w:val="21"/>
              </w:rPr>
              <w:t>本项目的时间进度安排及进度保证措施</w:t>
            </w:r>
          </w:p>
        </w:tc>
        <w:tc>
          <w:tcPr>
            <w:tcW w:w="677" w:type="dxa"/>
            <w:vAlign w:val="center"/>
          </w:tcPr>
          <w:p w14:paraId="2BCEB942">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8</w:t>
            </w:r>
          </w:p>
        </w:tc>
        <w:tc>
          <w:tcPr>
            <w:tcW w:w="5994" w:type="dxa"/>
          </w:tcPr>
          <w:p w14:paraId="34A5D658">
            <w:pPr>
              <w:adjustRightInd w:val="0"/>
              <w:snapToGrid w:val="0"/>
              <w:spacing w:line="360" w:lineRule="exact"/>
              <w:ind w:firstLine="398"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 xml:space="preserve">针对本项目的时间进度安排及进度保证措施： </w:t>
            </w:r>
          </w:p>
          <w:p w14:paraId="591CBEBE">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由评委按各响应人时间进度安排及进度保证措施，进度安排紧凑，有效提高服务进度，且措施科学可行得</w:t>
            </w:r>
            <w:r>
              <w:rPr>
                <w:rFonts w:asciiTheme="minorEastAsia" w:hAnsiTheme="minorEastAsia" w:eastAsiaTheme="minorEastAsia" w:cstheme="minorEastAsia"/>
                <w:spacing w:val="-6"/>
                <w:szCs w:val="21"/>
              </w:rPr>
              <w:t>8-6</w:t>
            </w:r>
            <w:r>
              <w:rPr>
                <w:rFonts w:hint="eastAsia" w:asciiTheme="minorEastAsia" w:hAnsiTheme="minorEastAsia" w:eastAsiaTheme="minorEastAsia" w:cstheme="minorEastAsia"/>
                <w:spacing w:val="-6"/>
                <w:szCs w:val="21"/>
              </w:rPr>
              <w:t>分；</w:t>
            </w:r>
          </w:p>
          <w:p w14:paraId="3ECE5185">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进度安排较合理，保障措施较可行得</w:t>
            </w:r>
            <w:r>
              <w:rPr>
                <w:rFonts w:asciiTheme="minorEastAsia" w:hAnsiTheme="minorEastAsia" w:eastAsiaTheme="minorEastAsia" w:cstheme="minorEastAsia"/>
                <w:spacing w:val="-6"/>
                <w:szCs w:val="21"/>
              </w:rPr>
              <w:t>5-3</w:t>
            </w:r>
            <w:r>
              <w:rPr>
                <w:rFonts w:hint="eastAsia" w:asciiTheme="minorEastAsia" w:hAnsiTheme="minorEastAsia" w:eastAsiaTheme="minorEastAsia" w:cstheme="minorEastAsia"/>
                <w:spacing w:val="-6"/>
                <w:szCs w:val="21"/>
              </w:rPr>
              <w:t>分；</w:t>
            </w:r>
          </w:p>
          <w:p w14:paraId="0C1A34A2">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进度安排基本合理，保障措施基本可行得2</w:t>
            </w:r>
            <w:r>
              <w:rPr>
                <w:rFonts w:asciiTheme="minorEastAsia" w:hAnsiTheme="minorEastAsia" w:eastAsiaTheme="minorEastAsia" w:cstheme="minorEastAsia"/>
                <w:spacing w:val="-6"/>
                <w:szCs w:val="21"/>
              </w:rPr>
              <w:t>-</w:t>
            </w:r>
            <w:r>
              <w:rPr>
                <w:rFonts w:hint="eastAsia" w:asciiTheme="minorEastAsia" w:hAnsiTheme="minorEastAsia" w:eastAsiaTheme="minorEastAsia" w:cstheme="minorEastAsia"/>
                <w:spacing w:val="-6"/>
                <w:szCs w:val="21"/>
              </w:rPr>
              <w:t>1分；</w:t>
            </w:r>
          </w:p>
          <w:p w14:paraId="6461F21B">
            <w:pPr>
              <w:adjustRightInd w:val="0"/>
              <w:snapToGrid w:val="0"/>
              <w:spacing w:line="360" w:lineRule="exact"/>
              <w:ind w:firstLine="396"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pacing w:val="-6"/>
                <w:szCs w:val="21"/>
              </w:rPr>
              <w:t>未提供不得分。</w:t>
            </w:r>
          </w:p>
        </w:tc>
      </w:tr>
      <w:tr w14:paraId="69A5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51953F7">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927" w:type="dxa"/>
            <w:vAlign w:val="center"/>
          </w:tcPr>
          <w:p w14:paraId="57B6E8C5">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pacing w:val="-6"/>
                <w:szCs w:val="21"/>
              </w:rPr>
              <w:t>人员配备</w:t>
            </w:r>
          </w:p>
        </w:tc>
        <w:tc>
          <w:tcPr>
            <w:tcW w:w="677" w:type="dxa"/>
            <w:vAlign w:val="center"/>
          </w:tcPr>
          <w:p w14:paraId="1F0CB6B1">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8</w:t>
            </w:r>
          </w:p>
        </w:tc>
        <w:tc>
          <w:tcPr>
            <w:tcW w:w="5994" w:type="dxa"/>
          </w:tcPr>
          <w:p w14:paraId="5D17472F">
            <w:pPr>
              <w:adjustRightInd w:val="0"/>
              <w:snapToGrid w:val="0"/>
              <w:spacing w:line="360" w:lineRule="exact"/>
              <w:ind w:firstLine="398"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针对本项目的人员配备方案:</w:t>
            </w:r>
          </w:p>
          <w:p w14:paraId="4930A133">
            <w:pPr>
              <w:adjustRightInd w:val="0"/>
              <w:snapToGrid w:val="0"/>
              <w:spacing w:line="360" w:lineRule="exact"/>
              <w:ind w:firstLine="396" w:firstLineChars="200"/>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bCs/>
                <w:spacing w:val="-6"/>
                <w:szCs w:val="21"/>
              </w:rPr>
              <w:t>内容至少包含人员组织架构及岗位职责安排等：人员配备合理、职责划分明确的得</w:t>
            </w:r>
            <w:r>
              <w:rPr>
                <w:rFonts w:asciiTheme="minorEastAsia" w:hAnsiTheme="minorEastAsia" w:eastAsiaTheme="minorEastAsia" w:cstheme="minorEastAsia"/>
                <w:bCs/>
                <w:spacing w:val="-6"/>
                <w:szCs w:val="21"/>
              </w:rPr>
              <w:t>8-6</w:t>
            </w:r>
            <w:r>
              <w:rPr>
                <w:rFonts w:hint="eastAsia" w:asciiTheme="minorEastAsia" w:hAnsiTheme="minorEastAsia" w:eastAsiaTheme="minorEastAsia" w:cstheme="minorEastAsia"/>
                <w:bCs/>
                <w:spacing w:val="-6"/>
                <w:szCs w:val="21"/>
              </w:rPr>
              <w:t>分；人员配备较为合理、职责划分较为明确的得</w:t>
            </w:r>
            <w:r>
              <w:rPr>
                <w:rFonts w:asciiTheme="minorEastAsia" w:hAnsiTheme="minorEastAsia" w:eastAsiaTheme="minorEastAsia" w:cstheme="minorEastAsia"/>
                <w:bCs/>
                <w:spacing w:val="-6"/>
                <w:szCs w:val="21"/>
              </w:rPr>
              <w:t>5</w:t>
            </w:r>
            <w:r>
              <w:rPr>
                <w:rFonts w:hint="eastAsia" w:asciiTheme="minorEastAsia" w:hAnsiTheme="minorEastAsia" w:eastAsiaTheme="minorEastAsia" w:cstheme="minorEastAsia"/>
                <w:bCs/>
                <w:spacing w:val="-6"/>
                <w:szCs w:val="21"/>
              </w:rPr>
              <w:t>-3分；人员配备职责划分一般得2-1分；未提供不得分。</w:t>
            </w:r>
          </w:p>
        </w:tc>
      </w:tr>
      <w:tr w14:paraId="5314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7A20CD3F">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w:t>
            </w:r>
          </w:p>
        </w:tc>
        <w:tc>
          <w:tcPr>
            <w:tcW w:w="927" w:type="dxa"/>
            <w:vAlign w:val="center"/>
          </w:tcPr>
          <w:p w14:paraId="576EEB96">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pacing w:val="-6"/>
                <w:szCs w:val="21"/>
              </w:rPr>
              <w:t>服务响应</w:t>
            </w:r>
          </w:p>
        </w:tc>
        <w:tc>
          <w:tcPr>
            <w:tcW w:w="677" w:type="dxa"/>
            <w:vAlign w:val="center"/>
          </w:tcPr>
          <w:p w14:paraId="5550C384">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10</w:t>
            </w:r>
          </w:p>
        </w:tc>
        <w:tc>
          <w:tcPr>
            <w:tcW w:w="5994" w:type="dxa"/>
          </w:tcPr>
          <w:p w14:paraId="1669799F">
            <w:pPr>
              <w:adjustRightInd w:val="0"/>
              <w:snapToGrid w:val="0"/>
              <w:spacing w:line="360" w:lineRule="exact"/>
              <w:ind w:firstLine="398"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服务响应：</w:t>
            </w:r>
          </w:p>
          <w:p w14:paraId="676B73FE">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至少包含服务组织机构设置、服务人员、响应时间、到位时间、服务质量及内容的承诺等方面：故障应急能够实际到达现场的速度最快的，内容详尽、精细、方案可行性强得</w:t>
            </w:r>
            <w:r>
              <w:rPr>
                <w:rFonts w:asciiTheme="minorEastAsia" w:hAnsiTheme="minorEastAsia" w:eastAsiaTheme="minorEastAsia" w:cstheme="minorEastAsia"/>
                <w:spacing w:val="-6"/>
                <w:szCs w:val="21"/>
              </w:rPr>
              <w:t>10-7</w:t>
            </w:r>
            <w:r>
              <w:rPr>
                <w:rFonts w:hint="eastAsia" w:asciiTheme="minorEastAsia" w:hAnsiTheme="minorEastAsia" w:eastAsiaTheme="minorEastAsia" w:cstheme="minorEastAsia"/>
                <w:spacing w:val="-6"/>
                <w:szCs w:val="21"/>
              </w:rPr>
              <w:t>分；</w:t>
            </w:r>
          </w:p>
          <w:p w14:paraId="204DD00F">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内容完整，可行性较高得</w:t>
            </w:r>
            <w:r>
              <w:rPr>
                <w:rFonts w:asciiTheme="minorEastAsia" w:hAnsiTheme="minorEastAsia" w:eastAsiaTheme="minorEastAsia" w:cstheme="minorEastAsia"/>
                <w:spacing w:val="-6"/>
                <w:szCs w:val="21"/>
              </w:rPr>
              <w:t>6-</w:t>
            </w:r>
            <w:r>
              <w:rPr>
                <w:rFonts w:hint="eastAsia" w:asciiTheme="minorEastAsia" w:hAnsiTheme="minorEastAsia" w:eastAsiaTheme="minorEastAsia" w:cstheme="minorEastAsia"/>
                <w:spacing w:val="-6"/>
                <w:szCs w:val="21"/>
              </w:rPr>
              <w:t>3分；</w:t>
            </w:r>
          </w:p>
          <w:p w14:paraId="6433A1CB">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内容简单，可行性一般得2</w:t>
            </w:r>
            <w:r>
              <w:rPr>
                <w:rFonts w:asciiTheme="minorEastAsia" w:hAnsiTheme="minorEastAsia" w:eastAsiaTheme="minorEastAsia" w:cstheme="minorEastAsia"/>
                <w:spacing w:val="-6"/>
                <w:szCs w:val="21"/>
              </w:rPr>
              <w:t>-</w:t>
            </w:r>
            <w:r>
              <w:rPr>
                <w:rFonts w:hint="eastAsia" w:asciiTheme="minorEastAsia" w:hAnsiTheme="minorEastAsia" w:eastAsiaTheme="minorEastAsia" w:cstheme="minorEastAsia"/>
                <w:spacing w:val="-6"/>
                <w:szCs w:val="21"/>
              </w:rPr>
              <w:t>1分；</w:t>
            </w:r>
          </w:p>
          <w:p w14:paraId="2BD2DA7D">
            <w:pPr>
              <w:adjustRightInd w:val="0"/>
              <w:snapToGrid w:val="0"/>
              <w:spacing w:line="360" w:lineRule="exact"/>
              <w:ind w:firstLine="396"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spacing w:val="-6"/>
                <w:szCs w:val="21"/>
              </w:rPr>
              <w:t>未提供不得分。</w:t>
            </w:r>
          </w:p>
        </w:tc>
      </w:tr>
      <w:tr w14:paraId="304B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DA005C4">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2.7</w:t>
            </w:r>
          </w:p>
        </w:tc>
        <w:tc>
          <w:tcPr>
            <w:tcW w:w="927" w:type="dxa"/>
            <w:vAlign w:val="center"/>
          </w:tcPr>
          <w:p w14:paraId="5F0A2936">
            <w:pPr>
              <w:ind w:firstLine="28"/>
              <w:jc w:val="center"/>
              <w:rPr>
                <w:rFonts w:asciiTheme="minorEastAsia" w:hAnsiTheme="minorEastAsia" w:eastAsiaTheme="minorEastAsia" w:cstheme="minorEastAsia"/>
                <w:bCs/>
                <w:spacing w:val="-6"/>
                <w:szCs w:val="21"/>
              </w:rPr>
            </w:pPr>
            <w:r>
              <w:rPr>
                <w:rFonts w:hint="eastAsia" w:asciiTheme="minorEastAsia" w:hAnsiTheme="minorEastAsia" w:eastAsiaTheme="minorEastAsia" w:cstheme="minorEastAsia"/>
                <w:spacing w:val="-6"/>
                <w:szCs w:val="21"/>
              </w:rPr>
              <w:t>服务承诺</w:t>
            </w:r>
          </w:p>
        </w:tc>
        <w:tc>
          <w:tcPr>
            <w:tcW w:w="677" w:type="dxa"/>
            <w:vAlign w:val="center"/>
          </w:tcPr>
          <w:p w14:paraId="23DBE3DF">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8</w:t>
            </w:r>
          </w:p>
        </w:tc>
        <w:tc>
          <w:tcPr>
            <w:tcW w:w="5994" w:type="dxa"/>
          </w:tcPr>
          <w:p w14:paraId="45C1A107">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包括但不限于故障处理方案、定期巡检方案、培训方案、质保期内外的服务承诺等。方案具体、完整、合理、可行得</w:t>
            </w:r>
            <w:r>
              <w:rPr>
                <w:rFonts w:asciiTheme="minorEastAsia" w:hAnsiTheme="minorEastAsia" w:eastAsiaTheme="minorEastAsia" w:cstheme="minorEastAsia"/>
                <w:spacing w:val="-6"/>
                <w:szCs w:val="21"/>
              </w:rPr>
              <w:t>8-6</w:t>
            </w:r>
            <w:r>
              <w:rPr>
                <w:rFonts w:hint="eastAsia" w:asciiTheme="minorEastAsia" w:hAnsiTheme="minorEastAsia" w:eastAsiaTheme="minorEastAsia" w:cstheme="minorEastAsia"/>
                <w:spacing w:val="-6"/>
                <w:szCs w:val="21"/>
              </w:rPr>
              <w:t>分；方案较完整、较合理、较可行得</w:t>
            </w:r>
            <w:r>
              <w:rPr>
                <w:rFonts w:asciiTheme="minorEastAsia" w:hAnsiTheme="minorEastAsia" w:eastAsiaTheme="minorEastAsia" w:cstheme="minorEastAsia"/>
                <w:spacing w:val="-6"/>
                <w:szCs w:val="21"/>
              </w:rPr>
              <w:t>5-</w:t>
            </w:r>
            <w:r>
              <w:rPr>
                <w:rFonts w:hint="eastAsia" w:asciiTheme="minorEastAsia" w:hAnsiTheme="minorEastAsia" w:eastAsiaTheme="minorEastAsia" w:cstheme="minorEastAsia"/>
                <w:spacing w:val="-6"/>
                <w:szCs w:val="21"/>
              </w:rPr>
              <w:t>3分；方案基本合理、基本可行得2</w:t>
            </w:r>
            <w:r>
              <w:rPr>
                <w:rFonts w:asciiTheme="minorEastAsia" w:hAnsiTheme="minorEastAsia" w:eastAsiaTheme="minorEastAsia" w:cstheme="minorEastAsia"/>
                <w:spacing w:val="-6"/>
                <w:szCs w:val="21"/>
              </w:rPr>
              <w:t>-</w:t>
            </w:r>
            <w:r>
              <w:rPr>
                <w:rFonts w:hint="eastAsia" w:asciiTheme="minorEastAsia" w:hAnsiTheme="minorEastAsia" w:eastAsiaTheme="minorEastAsia" w:cstheme="minorEastAsia"/>
                <w:spacing w:val="-6"/>
                <w:szCs w:val="21"/>
              </w:rPr>
              <w:t>1分；否则不得分。</w:t>
            </w:r>
          </w:p>
        </w:tc>
      </w:tr>
      <w:tr w14:paraId="53A9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5CEE82E">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w:t>
            </w:r>
          </w:p>
        </w:tc>
        <w:tc>
          <w:tcPr>
            <w:tcW w:w="927" w:type="dxa"/>
            <w:vAlign w:val="center"/>
          </w:tcPr>
          <w:p w14:paraId="7DAE0E44">
            <w:pPr>
              <w:ind w:firstLine="28"/>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环境污染防治措施</w:t>
            </w:r>
          </w:p>
        </w:tc>
        <w:tc>
          <w:tcPr>
            <w:tcW w:w="677" w:type="dxa"/>
            <w:vAlign w:val="center"/>
          </w:tcPr>
          <w:p w14:paraId="19663394">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10</w:t>
            </w:r>
          </w:p>
        </w:tc>
        <w:tc>
          <w:tcPr>
            <w:tcW w:w="5994" w:type="dxa"/>
          </w:tcPr>
          <w:p w14:paraId="00D56566">
            <w:pPr>
              <w:adjustRightInd w:val="0"/>
              <w:snapToGrid w:val="0"/>
              <w:spacing w:line="360" w:lineRule="exact"/>
              <w:ind w:firstLine="398" w:firstLineChars="200"/>
              <w:rPr>
                <w:rFonts w:asciiTheme="minorEastAsia" w:hAnsiTheme="minorEastAsia" w:eastAsiaTheme="minorEastAsia" w:cstheme="minorEastAsia"/>
                <w:b/>
                <w:bCs/>
                <w:spacing w:val="-6"/>
                <w:szCs w:val="21"/>
              </w:rPr>
            </w:pPr>
            <w:r>
              <w:rPr>
                <w:rFonts w:hint="eastAsia" w:asciiTheme="minorEastAsia" w:hAnsiTheme="minorEastAsia" w:eastAsiaTheme="minorEastAsia" w:cstheme="minorEastAsia"/>
                <w:b/>
                <w:bCs/>
                <w:spacing w:val="-6"/>
                <w:szCs w:val="21"/>
              </w:rPr>
              <w:t xml:space="preserve">针对本项目的环境污染防治措施： </w:t>
            </w:r>
          </w:p>
          <w:p w14:paraId="159FA91D">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保障措施科学、合理，质量目标明确，保证措施详尽，针对性强的得</w:t>
            </w:r>
            <w:r>
              <w:rPr>
                <w:rFonts w:asciiTheme="minorEastAsia" w:hAnsiTheme="minorEastAsia" w:eastAsiaTheme="minorEastAsia" w:cstheme="minorEastAsia"/>
                <w:spacing w:val="-6"/>
                <w:szCs w:val="21"/>
              </w:rPr>
              <w:t>10-7</w:t>
            </w:r>
            <w:r>
              <w:rPr>
                <w:rFonts w:hint="eastAsia" w:asciiTheme="minorEastAsia" w:hAnsiTheme="minorEastAsia" w:eastAsiaTheme="minorEastAsia" w:cstheme="minorEastAsia"/>
                <w:spacing w:val="-6"/>
                <w:szCs w:val="21"/>
              </w:rPr>
              <w:t>分，</w:t>
            </w:r>
          </w:p>
          <w:p w14:paraId="292773B6">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保障措施较科学、合理，质量目标较明确，保证措施较详尽，针对性较强的得</w:t>
            </w:r>
            <w:r>
              <w:rPr>
                <w:rFonts w:asciiTheme="minorEastAsia" w:hAnsiTheme="minorEastAsia" w:eastAsiaTheme="minorEastAsia" w:cstheme="minorEastAsia"/>
                <w:spacing w:val="-6"/>
                <w:szCs w:val="21"/>
              </w:rPr>
              <w:t>6-3</w:t>
            </w:r>
            <w:r>
              <w:rPr>
                <w:rFonts w:hint="eastAsia" w:asciiTheme="minorEastAsia" w:hAnsiTheme="minorEastAsia" w:eastAsiaTheme="minorEastAsia" w:cstheme="minorEastAsia"/>
                <w:spacing w:val="-6"/>
                <w:szCs w:val="21"/>
              </w:rPr>
              <w:t>分，</w:t>
            </w:r>
          </w:p>
          <w:p w14:paraId="698ED89B">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措施简单、笼统，一般的得2</w:t>
            </w:r>
            <w:r>
              <w:rPr>
                <w:rFonts w:asciiTheme="minorEastAsia" w:hAnsiTheme="minorEastAsia" w:eastAsiaTheme="minorEastAsia" w:cstheme="minorEastAsia"/>
                <w:spacing w:val="-6"/>
                <w:szCs w:val="21"/>
              </w:rPr>
              <w:t>-</w:t>
            </w:r>
            <w:r>
              <w:rPr>
                <w:rFonts w:hint="eastAsia" w:asciiTheme="minorEastAsia" w:hAnsiTheme="minorEastAsia" w:eastAsiaTheme="minorEastAsia" w:cstheme="minorEastAsia"/>
                <w:spacing w:val="-6"/>
                <w:szCs w:val="21"/>
              </w:rPr>
              <w:t>1分；</w:t>
            </w:r>
          </w:p>
          <w:p w14:paraId="28189F72">
            <w:pPr>
              <w:adjustRightInd w:val="0"/>
              <w:snapToGrid w:val="0"/>
              <w:spacing w:line="360" w:lineRule="exact"/>
              <w:ind w:firstLine="396"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未提供不得分。</w:t>
            </w:r>
          </w:p>
        </w:tc>
      </w:tr>
      <w:tr w14:paraId="1168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2AC1977E">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27" w:type="dxa"/>
            <w:vAlign w:val="center"/>
          </w:tcPr>
          <w:p w14:paraId="5FDD8980">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客观分</w:t>
            </w:r>
          </w:p>
        </w:tc>
        <w:tc>
          <w:tcPr>
            <w:tcW w:w="677" w:type="dxa"/>
            <w:vAlign w:val="center"/>
          </w:tcPr>
          <w:p w14:paraId="50F0CD57">
            <w:pPr>
              <w:ind w:firstLine="28"/>
              <w:jc w:val="center"/>
              <w:rPr>
                <w:rFonts w:asciiTheme="minorEastAsia" w:hAnsiTheme="minorEastAsia" w:eastAsiaTheme="minorEastAsia" w:cstheme="minorEastAsia"/>
                <w:szCs w:val="21"/>
              </w:rPr>
            </w:pPr>
          </w:p>
        </w:tc>
        <w:tc>
          <w:tcPr>
            <w:tcW w:w="5994" w:type="dxa"/>
            <w:vAlign w:val="center"/>
          </w:tcPr>
          <w:p w14:paraId="41025447">
            <w:pPr>
              <w:rPr>
                <w:rFonts w:asciiTheme="minorEastAsia" w:hAnsiTheme="minorEastAsia" w:eastAsiaTheme="minorEastAsia" w:cstheme="minorEastAsia"/>
                <w:szCs w:val="21"/>
              </w:rPr>
            </w:pPr>
          </w:p>
        </w:tc>
      </w:tr>
      <w:tr w14:paraId="6EFC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5E02364C">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927" w:type="dxa"/>
            <w:vAlign w:val="center"/>
          </w:tcPr>
          <w:p w14:paraId="15E9F3BA">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业绩</w:t>
            </w:r>
          </w:p>
        </w:tc>
        <w:tc>
          <w:tcPr>
            <w:tcW w:w="677" w:type="dxa"/>
            <w:vAlign w:val="center"/>
          </w:tcPr>
          <w:p w14:paraId="4B37F28C">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5994" w:type="dxa"/>
            <w:vAlign w:val="center"/>
          </w:tcPr>
          <w:p w14:paraId="3C60C5BE">
            <w:pPr>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2022年1月1日至今承接过火化设备维修业绩的，每提供一份得3分，最高12分。</w:t>
            </w:r>
          </w:p>
          <w:p w14:paraId="678EDE8A">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注：时间以合同签订为准，提供业绩的合同复印件，否则不得分。</w:t>
            </w:r>
          </w:p>
        </w:tc>
      </w:tr>
      <w:tr w14:paraId="0065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14:paraId="609B4028">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927" w:type="dxa"/>
            <w:vAlign w:val="center"/>
          </w:tcPr>
          <w:p w14:paraId="3EF918AC">
            <w:pPr>
              <w:ind w:firstLine="28"/>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体系认证</w:t>
            </w:r>
          </w:p>
        </w:tc>
        <w:tc>
          <w:tcPr>
            <w:tcW w:w="677" w:type="dxa"/>
            <w:vAlign w:val="center"/>
          </w:tcPr>
          <w:p w14:paraId="753445AA">
            <w:pPr>
              <w:ind w:firstLine="28"/>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6</w:t>
            </w:r>
          </w:p>
        </w:tc>
        <w:tc>
          <w:tcPr>
            <w:tcW w:w="5994" w:type="dxa"/>
            <w:vAlign w:val="center"/>
          </w:tcPr>
          <w:p w14:paraId="71617A06">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供应商具有质量体系认证证书、环境管理体系认证证书、职业健康安全管理体系认证证书、且在有效期内的每提供一个得</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分，最多得</w:t>
            </w:r>
            <w:r>
              <w:rPr>
                <w:rFonts w:asciiTheme="minorEastAsia" w:hAnsiTheme="minorEastAsia" w:eastAsiaTheme="minorEastAsia" w:cstheme="minorEastAsia"/>
                <w:szCs w:val="21"/>
              </w:rPr>
              <w:t>6</w:t>
            </w:r>
            <w:r>
              <w:rPr>
                <w:rFonts w:hint="eastAsia" w:asciiTheme="minorEastAsia" w:hAnsiTheme="minorEastAsia" w:eastAsiaTheme="minorEastAsia" w:cstheme="minorEastAsia"/>
                <w:szCs w:val="21"/>
              </w:rPr>
              <w:t>分。</w:t>
            </w:r>
          </w:p>
          <w:p w14:paraId="43932E57">
            <w:pPr>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注：提供证书复印件及中国国家认证认可监督管理委员会网站查询页面完整截图且证书状态为有效，否则不得分。</w:t>
            </w:r>
          </w:p>
        </w:tc>
      </w:tr>
    </w:tbl>
    <w:p w14:paraId="57519E57">
      <w:pPr>
        <w:spacing w:line="360" w:lineRule="exact"/>
        <w:rPr>
          <w:rFonts w:cs="宋体" w:asciiTheme="minorEastAsia" w:hAnsiTheme="minorEastAsia" w:eastAsiaTheme="minorEastAsia"/>
          <w:b/>
          <w:szCs w:val="21"/>
        </w:rPr>
      </w:pPr>
    </w:p>
    <w:p w14:paraId="7134543C">
      <w:pPr>
        <w:spacing w:line="360" w:lineRule="exact"/>
        <w:rPr>
          <w:rFonts w:cs="宋体" w:asciiTheme="minorEastAsia" w:hAnsiTheme="minorEastAsia" w:eastAsiaTheme="minorEastAsia"/>
          <w:b/>
          <w:szCs w:val="21"/>
        </w:rPr>
      </w:pPr>
    </w:p>
    <w:p w14:paraId="7F9067D8">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 xml:space="preserve">注： </w:t>
      </w:r>
    </w:p>
    <w:p w14:paraId="61ECD8F4">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1.评分细则中要求提供的证明文件及资料等在磋商响应文件中提供复印件并加盖鲜章，否则不得分。</w:t>
      </w:r>
    </w:p>
    <w:p w14:paraId="564C02D9">
      <w:pPr>
        <w:tabs>
          <w:tab w:val="left" w:pos="5940"/>
        </w:tabs>
        <w:snapToGrid w:val="0"/>
        <w:spacing w:line="360" w:lineRule="exact"/>
        <w:ind w:firstLine="420" w:firstLineChars="200"/>
        <w:jc w:val="left"/>
        <w:rPr>
          <w:rFonts w:ascii="宋体" w:hAnsi="宋体" w:cs="宋体"/>
          <w:bCs/>
          <w:szCs w:val="21"/>
        </w:rPr>
      </w:pPr>
      <w:r>
        <w:rPr>
          <w:rFonts w:hint="eastAsia" w:ascii="宋体" w:hAnsi="宋体" w:cs="宋体"/>
          <w:bCs/>
          <w:szCs w:val="21"/>
        </w:rPr>
        <w:t>2.为便于评分，请供应商按评分表样式，逐条列出证明材料所在页码，格式自定。</w:t>
      </w:r>
    </w:p>
    <w:p w14:paraId="3D16227D">
      <w:pPr>
        <w:spacing w:line="360" w:lineRule="exact"/>
        <w:rPr>
          <w:rFonts w:cs="宋体" w:asciiTheme="minorEastAsia" w:hAnsiTheme="minorEastAsia" w:eastAsiaTheme="minorEastAsia"/>
          <w:b/>
          <w:szCs w:val="21"/>
        </w:rPr>
      </w:pPr>
    </w:p>
    <w:p w14:paraId="1535DF38">
      <w:pPr>
        <w:rPr>
          <w:rFonts w:ascii="宋体" w:hAnsi="宋体" w:cs="宋体"/>
        </w:rPr>
      </w:pPr>
      <w:r>
        <w:rPr>
          <w:rFonts w:hint="eastAsia" w:ascii="宋体" w:hAnsi="宋体" w:cs="宋体"/>
        </w:rPr>
        <w:br w:type="page"/>
      </w:r>
    </w:p>
    <w:p w14:paraId="4EC11799">
      <w:pPr>
        <w:pStyle w:val="2"/>
        <w:rPr>
          <w:rFonts w:ascii="宋体" w:hAnsi="宋体" w:cs="宋体"/>
        </w:rPr>
      </w:pPr>
      <w:r>
        <w:rPr>
          <w:rFonts w:hint="eastAsia" w:ascii="宋体" w:hAnsi="宋体" w:cs="宋体"/>
        </w:rPr>
        <w:t>第五章  磋商响应文件的组成</w:t>
      </w:r>
      <w:bookmarkEnd w:id="5"/>
    </w:p>
    <w:p w14:paraId="60B3218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一、资格审查材料</w:t>
      </w:r>
    </w:p>
    <w:p w14:paraId="5319DC75">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*1.供应商资格声明函</w:t>
      </w:r>
    </w:p>
    <w:p w14:paraId="222B58FC">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*2.磋商响应函</w:t>
      </w:r>
    </w:p>
    <w:p w14:paraId="74018546">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*3.法人或者其他组织的营业执照等证明文件</w:t>
      </w:r>
    </w:p>
    <w:p w14:paraId="7962C470">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*4.法定代表人资格证明书、法定代表人身份证复印件（双面）</w:t>
      </w:r>
    </w:p>
    <w:p w14:paraId="5D17002F">
      <w:pPr>
        <w:spacing w:line="360" w:lineRule="exact"/>
        <w:ind w:firstLine="420" w:firstLineChars="200"/>
        <w:rPr>
          <w:rFonts w:cs="宋体" w:asciiTheme="minorEastAsia" w:hAnsiTheme="minorEastAsia" w:eastAsiaTheme="minorEastAsia"/>
          <w:color w:val="FF0000"/>
          <w:szCs w:val="21"/>
        </w:rPr>
      </w:pPr>
      <w:r>
        <w:rPr>
          <w:rFonts w:hint="eastAsia" w:cs="宋体" w:asciiTheme="minorEastAsia" w:hAnsiTheme="minorEastAsia" w:eastAsiaTheme="minorEastAsia"/>
          <w:szCs w:val="21"/>
        </w:rPr>
        <w:t>*5.授权委托书、代理人身份证复印件（双面）、供应商近三个月内任意一个月（自磋商之日往前推）为其缴纳社保的记录（如有授权委托情况的，必须提供）</w:t>
      </w:r>
    </w:p>
    <w:p w14:paraId="566F02E2">
      <w:pPr>
        <w:spacing w:line="36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w:t>
      </w:r>
      <w:r>
        <w:rPr>
          <w:rFonts w:hint="eastAsia" w:cs="宋体" w:asciiTheme="minorEastAsia" w:hAnsiTheme="minorEastAsia" w:eastAsiaTheme="minorEastAsia"/>
          <w:szCs w:val="21"/>
        </w:rPr>
        <w:t>6</w:t>
      </w:r>
      <w:r>
        <w:rPr>
          <w:rFonts w:cs="宋体" w:asciiTheme="minorEastAsia" w:hAnsiTheme="minorEastAsia" w:eastAsiaTheme="minorEastAsia"/>
          <w:szCs w:val="21"/>
        </w:rPr>
        <w:t>.磋商保证金单据</w:t>
      </w:r>
    </w:p>
    <w:p w14:paraId="7BCE82F2">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二、价格及有关商务部分材料</w:t>
      </w:r>
    </w:p>
    <w:p w14:paraId="3C827EDE">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*1.报价一览表</w:t>
      </w:r>
    </w:p>
    <w:p w14:paraId="7549D559">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w:t>
      </w:r>
      <w:r>
        <w:rPr>
          <w:rFonts w:hint="eastAsia" w:cs="宋体" w:asciiTheme="minorEastAsia" w:hAnsiTheme="minorEastAsia" w:eastAsiaTheme="minorEastAsia"/>
          <w:color w:val="000000"/>
          <w:szCs w:val="21"/>
        </w:rPr>
        <w:t>磋商分项报价表</w:t>
      </w:r>
    </w:p>
    <w:p w14:paraId="2C8ABB35">
      <w:pPr>
        <w:pStyle w:val="2"/>
        <w:ind w:firstLine="422" w:firstLineChars="20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三、技术部分材料</w:t>
      </w:r>
    </w:p>
    <w:p w14:paraId="613CAE1A">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1.供应商简介</w:t>
      </w:r>
    </w:p>
    <w:p w14:paraId="6FF01115">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2.服务方案，包括人员配置、</w:t>
      </w:r>
      <w:r>
        <w:rPr>
          <w:rFonts w:hint="eastAsia" w:cs="宋体" w:asciiTheme="minorEastAsia" w:hAnsiTheme="minorEastAsia" w:eastAsiaTheme="minorEastAsia"/>
          <w:szCs w:val="21"/>
        </w:rPr>
        <w:t>服务详细实施方案</w:t>
      </w:r>
    </w:p>
    <w:p w14:paraId="67CC3336">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*3.服务承诺</w:t>
      </w:r>
    </w:p>
    <w:p w14:paraId="1FD57DB4">
      <w:pPr>
        <w:spacing w:line="36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*4.偏离表</w:t>
      </w:r>
    </w:p>
    <w:p w14:paraId="5C44291F">
      <w:pPr>
        <w:spacing w:line="360" w:lineRule="exact"/>
        <w:ind w:firstLine="422" w:firstLineChars="201"/>
        <w:rPr>
          <w:rFonts w:ascii="宋体" w:hAnsi="宋体" w:cs="宋体"/>
          <w:szCs w:val="21"/>
        </w:rPr>
      </w:pPr>
      <w:r>
        <w:rPr>
          <w:rFonts w:hint="eastAsia" w:ascii="宋体" w:hAnsi="宋体" w:cs="宋体"/>
          <w:color w:val="000000"/>
          <w:szCs w:val="21"/>
        </w:rPr>
        <w:t>5.其他评审相关资料</w:t>
      </w:r>
    </w:p>
    <w:p w14:paraId="3DEA7615">
      <w:pPr>
        <w:spacing w:line="360" w:lineRule="exact"/>
        <w:ind w:firstLine="424" w:firstLineChars="201"/>
        <w:rPr>
          <w:rFonts w:ascii="宋体" w:hAnsi="宋体" w:cs="宋体"/>
          <w:b/>
          <w:bCs/>
          <w:szCs w:val="21"/>
        </w:rPr>
      </w:pPr>
      <w:r>
        <w:rPr>
          <w:rFonts w:hint="eastAsia" w:ascii="宋体" w:hAnsi="宋体" w:cs="宋体"/>
          <w:b/>
          <w:bCs/>
          <w:szCs w:val="21"/>
        </w:rPr>
        <w:t>四、说明</w:t>
      </w:r>
    </w:p>
    <w:p w14:paraId="66C0EC14">
      <w:pPr>
        <w:spacing w:line="360" w:lineRule="exact"/>
        <w:ind w:firstLine="422" w:firstLineChars="201"/>
        <w:rPr>
          <w:rFonts w:ascii="宋体" w:hAnsi="宋体" w:cs="宋体"/>
          <w:b/>
          <w:bCs/>
          <w:szCs w:val="21"/>
        </w:rPr>
      </w:pPr>
      <w:r>
        <w:rPr>
          <w:rFonts w:hint="eastAsia" w:ascii="宋体" w:hAnsi="宋体" w:cs="宋体"/>
          <w:szCs w:val="21"/>
        </w:rPr>
        <w:t>1.上述带“*”条款供应商应在磋商响应文件中提供并加盖供应商公章，否则将作为无效响应处理。</w:t>
      </w:r>
      <w:r>
        <w:rPr>
          <w:rFonts w:hint="eastAsia" w:ascii="宋体" w:hAnsi="宋体" w:cs="宋体"/>
          <w:b/>
          <w:bCs/>
          <w:szCs w:val="21"/>
        </w:rPr>
        <w:t>未加盖公章的视为未提供该项材料。所有项目若有缺失或无效将可能导致磋商无效且不允许在磋商响应文件提交截止后补正。</w:t>
      </w:r>
    </w:p>
    <w:p w14:paraId="122D9D0D">
      <w:pPr>
        <w:spacing w:line="360" w:lineRule="exact"/>
        <w:ind w:firstLine="422" w:firstLineChars="201"/>
        <w:rPr>
          <w:rFonts w:ascii="宋体" w:hAnsi="宋体" w:cs="宋体"/>
          <w:szCs w:val="21"/>
        </w:rPr>
      </w:pPr>
      <w:r>
        <w:rPr>
          <w:rFonts w:hint="eastAsia" w:ascii="宋体" w:hAnsi="宋体" w:cs="宋体"/>
          <w:szCs w:val="21"/>
        </w:rPr>
        <w:t>2.对本章所有的格式，供应商可根据自身情况进行补充和修改，但补充和修改不得造成与本格式内容有实质性的违背。供应商可提供其它相关的证明材料（不限于此）。</w:t>
      </w:r>
    </w:p>
    <w:p w14:paraId="7AEEB0C5">
      <w:pPr>
        <w:spacing w:line="360" w:lineRule="exact"/>
        <w:ind w:firstLine="422" w:firstLineChars="201"/>
        <w:rPr>
          <w:rFonts w:ascii="宋体" w:hAnsi="宋体" w:cs="宋体"/>
          <w:b/>
          <w:szCs w:val="21"/>
        </w:rPr>
      </w:pPr>
      <w:r>
        <w:rPr>
          <w:rFonts w:hint="eastAsia" w:ascii="宋体" w:hAnsi="宋体" w:cs="宋体"/>
          <w:szCs w:val="21"/>
        </w:rPr>
        <w:t>3.供应商需按磋商响应文件的组成要求进行编制。</w:t>
      </w:r>
    </w:p>
    <w:p w14:paraId="3200667C">
      <w:pPr>
        <w:jc w:val="center"/>
        <w:rPr>
          <w:rFonts w:ascii="宋体" w:hAnsi="宋体" w:cs="宋体"/>
          <w:b/>
          <w:sz w:val="30"/>
          <w:szCs w:val="30"/>
        </w:rPr>
      </w:pPr>
    </w:p>
    <w:p w14:paraId="546872B2">
      <w:pPr>
        <w:jc w:val="center"/>
        <w:rPr>
          <w:rFonts w:ascii="宋体" w:hAnsi="宋体" w:cs="宋体"/>
          <w:b/>
          <w:sz w:val="30"/>
          <w:szCs w:val="30"/>
        </w:rPr>
      </w:pPr>
    </w:p>
    <w:p w14:paraId="4604F3BA">
      <w:pPr>
        <w:jc w:val="center"/>
        <w:rPr>
          <w:rFonts w:ascii="宋体" w:hAnsi="宋体" w:cs="宋体"/>
          <w:b/>
          <w:sz w:val="30"/>
          <w:szCs w:val="30"/>
        </w:rPr>
      </w:pPr>
    </w:p>
    <w:p w14:paraId="4706F0F9">
      <w:pPr>
        <w:jc w:val="center"/>
        <w:rPr>
          <w:rFonts w:ascii="宋体" w:hAnsi="宋体" w:cs="宋体"/>
          <w:b/>
          <w:sz w:val="30"/>
          <w:szCs w:val="30"/>
        </w:rPr>
      </w:pPr>
    </w:p>
    <w:p w14:paraId="70576874">
      <w:pPr>
        <w:pStyle w:val="2"/>
        <w:rPr>
          <w:rFonts w:ascii="宋体" w:hAnsi="宋体" w:cs="宋体"/>
        </w:rPr>
      </w:pPr>
      <w:r>
        <w:rPr>
          <w:rFonts w:hint="eastAsia" w:ascii="宋体" w:hAnsi="宋体" w:cs="宋体"/>
        </w:rPr>
        <w:br w:type="page"/>
      </w:r>
    </w:p>
    <w:p w14:paraId="644F2ED6">
      <w:pPr>
        <w:pStyle w:val="2"/>
        <w:rPr>
          <w:rFonts w:ascii="宋体" w:hAnsi="宋体" w:cs="宋体"/>
        </w:rPr>
      </w:pPr>
      <w:bookmarkStart w:id="6" w:name="_Toc17537932"/>
      <w:r>
        <w:rPr>
          <w:rFonts w:hint="eastAsia" w:ascii="宋体" w:hAnsi="宋体" w:cs="宋体"/>
        </w:rPr>
        <w:t>第六章  附    件</w:t>
      </w:r>
      <w:bookmarkEnd w:id="6"/>
    </w:p>
    <w:p w14:paraId="4CC4BBF5">
      <w:pPr>
        <w:pStyle w:val="2"/>
        <w:jc w:val="left"/>
        <w:rPr>
          <w:rFonts w:asciiTheme="minorEastAsia" w:hAnsiTheme="minorEastAsia" w:eastAsiaTheme="minorEastAsia"/>
          <w:b w:val="0"/>
          <w:sz w:val="28"/>
          <w:szCs w:val="28"/>
        </w:rPr>
      </w:pPr>
      <w:r>
        <w:rPr>
          <w:rFonts w:cs="宋体" w:asciiTheme="minorEastAsia" w:hAnsiTheme="minorEastAsia" w:eastAsiaTheme="minorEastAsia"/>
          <w:sz w:val="28"/>
          <w:szCs w:val="28"/>
        </w:rPr>
        <w:t>1</w:t>
      </w:r>
      <w:r>
        <w:rPr>
          <w:rFonts w:hint="eastAsia" w:cs="宋体" w:asciiTheme="minorEastAsia" w:hAnsiTheme="minorEastAsia" w:eastAsiaTheme="minorEastAsia"/>
          <w:sz w:val="28"/>
          <w:szCs w:val="28"/>
        </w:rPr>
        <w:t>.</w:t>
      </w:r>
      <w:r>
        <w:rPr>
          <w:rFonts w:hint="eastAsia" w:asciiTheme="minorEastAsia" w:hAnsiTheme="minorEastAsia" w:eastAsiaTheme="minorEastAsia"/>
          <w:sz w:val="28"/>
          <w:szCs w:val="28"/>
        </w:rPr>
        <w:t>供应商资格声明函</w:t>
      </w:r>
    </w:p>
    <w:p w14:paraId="326B7547">
      <w:pPr>
        <w:pStyle w:val="5"/>
        <w:spacing w:line="460" w:lineRule="exact"/>
        <w:ind w:firstLine="0"/>
        <w:jc w:val="center"/>
        <w:rPr>
          <w:szCs w:val="24"/>
        </w:rPr>
      </w:pPr>
      <w:r>
        <w:rPr>
          <w:rFonts w:hint="eastAsia"/>
          <w:b/>
          <w:sz w:val="28"/>
          <w:szCs w:val="28"/>
        </w:rPr>
        <w:t>供应商资格声明函</w:t>
      </w:r>
    </w:p>
    <w:p w14:paraId="5F7F0560">
      <w:pPr>
        <w:pStyle w:val="5"/>
        <w:spacing w:line="360" w:lineRule="exact"/>
        <w:ind w:firstLine="0"/>
        <w:rPr>
          <w:sz w:val="21"/>
          <w:szCs w:val="21"/>
        </w:rPr>
      </w:pPr>
    </w:p>
    <w:p w14:paraId="26FE12E3">
      <w:pPr>
        <w:pStyle w:val="5"/>
        <w:spacing w:line="360" w:lineRule="exact"/>
        <w:ind w:firstLine="0"/>
        <w:rPr>
          <w:sz w:val="21"/>
          <w:szCs w:val="21"/>
        </w:rPr>
      </w:pPr>
      <w:r>
        <w:rPr>
          <w:rFonts w:hint="eastAsia"/>
          <w:sz w:val="21"/>
          <w:szCs w:val="21"/>
        </w:rPr>
        <w:t>采购人名称、常州市城投建设工程招标有限公司：</w:t>
      </w:r>
    </w:p>
    <w:p w14:paraId="7C274E3A">
      <w:pPr>
        <w:pStyle w:val="5"/>
        <w:spacing w:line="360" w:lineRule="exact"/>
        <w:ind w:firstLine="480"/>
        <w:rPr>
          <w:sz w:val="21"/>
          <w:szCs w:val="21"/>
        </w:rPr>
      </w:pPr>
      <w:r>
        <w:rPr>
          <w:rFonts w:hint="eastAsia"/>
          <w:sz w:val="21"/>
          <w:szCs w:val="21"/>
        </w:rPr>
        <w:t>按照竞争性磋商文件要求的“申请人的资格要求”，我单位郑重声明如下：</w:t>
      </w:r>
    </w:p>
    <w:p w14:paraId="0AF0F704">
      <w:pPr>
        <w:pStyle w:val="5"/>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14:paraId="59411650">
      <w:pPr>
        <w:pStyle w:val="5"/>
        <w:spacing w:line="360" w:lineRule="exact"/>
        <w:ind w:firstLine="480"/>
        <w:rPr>
          <w:sz w:val="21"/>
          <w:szCs w:val="21"/>
        </w:rPr>
      </w:pPr>
      <w:r>
        <w:rPr>
          <w:rFonts w:hint="eastAsia"/>
          <w:sz w:val="21"/>
          <w:szCs w:val="21"/>
        </w:rPr>
        <w:t>二、我单位未被“国家企业信用信息系统”列入经营异常名录或者严重违法企业名单。</w:t>
      </w:r>
    </w:p>
    <w:p w14:paraId="3101EE4E">
      <w:pPr>
        <w:pStyle w:val="5"/>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14:paraId="321FE7C0">
      <w:pPr>
        <w:pStyle w:val="5"/>
        <w:spacing w:line="360" w:lineRule="exact"/>
        <w:ind w:firstLine="480"/>
        <w:rPr>
          <w:sz w:val="21"/>
          <w:szCs w:val="21"/>
        </w:rPr>
      </w:pPr>
      <w:r>
        <w:rPr>
          <w:rFonts w:hint="eastAsia"/>
          <w:sz w:val="21"/>
          <w:szCs w:val="21"/>
        </w:rPr>
        <w:t>四、我单位依法进行纳税和社会保险申报并实际履行了义务。</w:t>
      </w:r>
    </w:p>
    <w:p w14:paraId="0D0A7A2F">
      <w:pPr>
        <w:pStyle w:val="5"/>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14:paraId="65FE10D9">
      <w:pPr>
        <w:pStyle w:val="5"/>
        <w:spacing w:line="360" w:lineRule="exact"/>
        <w:ind w:firstLine="480"/>
        <w:rPr>
          <w:sz w:val="21"/>
          <w:szCs w:val="21"/>
        </w:rPr>
      </w:pPr>
      <w:r>
        <w:rPr>
          <w:rFonts w:hint="eastAsia"/>
          <w:sz w:val="21"/>
          <w:szCs w:val="21"/>
        </w:rPr>
        <w:t>主要设备有：</w:t>
      </w:r>
      <w:r>
        <w:rPr>
          <w:sz w:val="21"/>
          <w:szCs w:val="21"/>
          <w:u w:val="single"/>
        </w:rPr>
        <w:t xml:space="preserve">            </w:t>
      </w:r>
    </w:p>
    <w:p w14:paraId="5ED94260">
      <w:pPr>
        <w:pStyle w:val="5"/>
        <w:spacing w:line="360" w:lineRule="exact"/>
        <w:ind w:firstLine="480"/>
        <w:rPr>
          <w:sz w:val="21"/>
          <w:szCs w:val="21"/>
        </w:rPr>
      </w:pPr>
      <w:r>
        <w:rPr>
          <w:rFonts w:hint="eastAsia"/>
          <w:sz w:val="21"/>
          <w:szCs w:val="21"/>
        </w:rPr>
        <w:t>主要专业技术能力有</w:t>
      </w:r>
      <w:r>
        <w:rPr>
          <w:sz w:val="21"/>
          <w:szCs w:val="21"/>
          <w:u w:val="single"/>
        </w:rPr>
        <w:t xml:space="preserve">                 </w:t>
      </w:r>
    </w:p>
    <w:p w14:paraId="4FD44C25">
      <w:pPr>
        <w:pStyle w:val="5"/>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14:paraId="1E79F72B">
      <w:pPr>
        <w:pStyle w:val="5"/>
        <w:spacing w:line="360" w:lineRule="exact"/>
        <w:ind w:firstLine="480"/>
        <w:rPr>
          <w:sz w:val="21"/>
          <w:szCs w:val="21"/>
        </w:rPr>
      </w:pPr>
      <w:r>
        <w:rPr>
          <w:rFonts w:hint="eastAsia"/>
          <w:sz w:val="21"/>
          <w:szCs w:val="21"/>
        </w:rPr>
        <w:t>七、我单位具备法律、行政法规规定的其他条件。</w:t>
      </w:r>
    </w:p>
    <w:p w14:paraId="480BEA49">
      <w:pPr>
        <w:pStyle w:val="5"/>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14:paraId="0C27DF2B">
      <w:pPr>
        <w:pStyle w:val="5"/>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14:paraId="70A936A1">
      <w:pPr>
        <w:pStyle w:val="5"/>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14:paraId="26A1BFAB">
      <w:pPr>
        <w:pStyle w:val="5"/>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14:paraId="2642BC4B">
      <w:pPr>
        <w:pStyle w:val="5"/>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14:paraId="693E536C">
      <w:pPr>
        <w:pStyle w:val="5"/>
        <w:spacing w:line="360" w:lineRule="exact"/>
        <w:ind w:firstLine="480"/>
        <w:rPr>
          <w:sz w:val="21"/>
          <w:szCs w:val="21"/>
        </w:rPr>
      </w:pPr>
      <w:r>
        <w:rPr>
          <w:rFonts w:hint="eastAsia"/>
          <w:sz w:val="21"/>
          <w:szCs w:val="21"/>
        </w:rPr>
        <w:t>十、我单位无以下不良信用记录情形：</w:t>
      </w:r>
    </w:p>
    <w:p w14:paraId="17134FB2">
      <w:pPr>
        <w:pStyle w:val="5"/>
        <w:spacing w:line="360" w:lineRule="exact"/>
        <w:ind w:firstLine="480"/>
        <w:rPr>
          <w:sz w:val="21"/>
          <w:szCs w:val="21"/>
        </w:rPr>
      </w:pPr>
      <w:r>
        <w:rPr>
          <w:rFonts w:hint="eastAsia"/>
          <w:sz w:val="21"/>
          <w:szCs w:val="21"/>
        </w:rPr>
        <w:t>在“信用中国”网站被列入失信被执行人和重大税收违法案件当事人名单。</w:t>
      </w:r>
    </w:p>
    <w:p w14:paraId="5AE523FF">
      <w:pPr>
        <w:pStyle w:val="5"/>
        <w:spacing w:line="360" w:lineRule="exact"/>
        <w:ind w:firstLine="480"/>
        <w:rPr>
          <w:sz w:val="21"/>
          <w:szCs w:val="21"/>
        </w:rPr>
      </w:pPr>
    </w:p>
    <w:p w14:paraId="23A2E0A7">
      <w:pPr>
        <w:pStyle w:val="5"/>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14:paraId="3A91398A">
      <w:pPr>
        <w:pStyle w:val="48"/>
        <w:spacing w:line="360" w:lineRule="exact"/>
        <w:ind w:firstLine="420" w:firstLineChars="200"/>
        <w:rPr>
          <w:rFonts w:cs="宋体"/>
          <w:sz w:val="21"/>
          <w:szCs w:val="21"/>
        </w:rPr>
      </w:pPr>
    </w:p>
    <w:p w14:paraId="705938EC">
      <w:pPr>
        <w:pStyle w:val="48"/>
        <w:spacing w:line="360" w:lineRule="exact"/>
        <w:ind w:firstLine="420" w:firstLineChars="200"/>
        <w:rPr>
          <w:rFonts w:cs="宋体"/>
          <w:sz w:val="21"/>
          <w:szCs w:val="21"/>
        </w:rPr>
      </w:pPr>
      <w:r>
        <w:rPr>
          <w:rFonts w:hint="eastAsia" w:cs="宋体"/>
          <w:sz w:val="21"/>
          <w:szCs w:val="21"/>
        </w:rPr>
        <w:t xml:space="preserve">供应商法定代表人或代理人（签字或盖章）：       </w:t>
      </w:r>
    </w:p>
    <w:p w14:paraId="29E9B51D">
      <w:pPr>
        <w:pStyle w:val="48"/>
        <w:spacing w:line="360" w:lineRule="exact"/>
        <w:ind w:firstLine="420" w:firstLineChars="200"/>
        <w:rPr>
          <w:rFonts w:cs="宋体"/>
          <w:sz w:val="21"/>
          <w:szCs w:val="21"/>
        </w:rPr>
      </w:pPr>
      <w:r>
        <w:rPr>
          <w:rFonts w:hint="eastAsia" w:cs="宋体"/>
          <w:sz w:val="21"/>
          <w:szCs w:val="21"/>
        </w:rPr>
        <w:t xml:space="preserve">供应商名称（公章）：             </w:t>
      </w:r>
    </w:p>
    <w:p w14:paraId="05D5EB49">
      <w:pPr>
        <w:pStyle w:val="48"/>
        <w:spacing w:line="360" w:lineRule="exact"/>
        <w:ind w:firstLine="420" w:firstLineChars="200"/>
        <w:rPr>
          <w:rFonts w:cs="宋体"/>
          <w:sz w:val="21"/>
          <w:szCs w:val="21"/>
        </w:rPr>
      </w:pPr>
      <w:r>
        <w:rPr>
          <w:rFonts w:hint="eastAsia" w:cs="宋体"/>
          <w:sz w:val="21"/>
          <w:szCs w:val="21"/>
        </w:rPr>
        <w:t>日    期：     年    月    日</w:t>
      </w:r>
    </w:p>
    <w:p w14:paraId="7AB00983">
      <w:pPr>
        <w:pStyle w:val="48"/>
        <w:spacing w:line="360" w:lineRule="exact"/>
        <w:ind w:firstLine="562"/>
        <w:rPr>
          <w:rFonts w:cs="宋体"/>
          <w:b/>
          <w:sz w:val="28"/>
          <w:szCs w:val="28"/>
        </w:rPr>
      </w:pPr>
      <w:r>
        <w:rPr>
          <w:rFonts w:cs="宋体"/>
          <w:b/>
          <w:sz w:val="28"/>
          <w:szCs w:val="28"/>
        </w:rPr>
        <w:br w:type="page"/>
      </w:r>
    </w:p>
    <w:p w14:paraId="4E69D70F">
      <w:pPr>
        <w:pStyle w:val="2"/>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sz w:val="28"/>
          <w:szCs w:val="28"/>
        </w:rPr>
        <w:t>2.磋商响应函</w:t>
      </w:r>
    </w:p>
    <w:p w14:paraId="4D6C26A7">
      <w:pPr>
        <w:pStyle w:val="18"/>
        <w:rPr>
          <w:rFonts w:ascii="宋体" w:hAnsi="宋体" w:cs="宋体"/>
          <w:color w:val="000000" w:themeColor="text1"/>
          <w14:textFill>
            <w14:solidFill>
              <w14:schemeClr w14:val="tx1"/>
            </w14:solidFill>
          </w14:textFill>
        </w:rPr>
      </w:pPr>
    </w:p>
    <w:p w14:paraId="4913A417">
      <w:pPr>
        <w:pStyle w:val="48"/>
        <w:spacing w:line="360" w:lineRule="exact"/>
        <w:jc w:val="center"/>
        <w:rPr>
          <w:rFonts w:cs="宋体"/>
          <w:b/>
          <w:color w:val="000000" w:themeColor="text1"/>
          <w:sz w:val="28"/>
          <w:szCs w:val="28"/>
          <w14:textFill>
            <w14:solidFill>
              <w14:schemeClr w14:val="tx1"/>
            </w14:solidFill>
          </w14:textFill>
        </w:rPr>
      </w:pPr>
      <w:r>
        <w:rPr>
          <w:rFonts w:hint="eastAsia" w:cs="宋体"/>
          <w:b/>
          <w:color w:val="000000" w:themeColor="text1"/>
          <w:sz w:val="28"/>
          <w:szCs w:val="28"/>
          <w14:textFill>
            <w14:solidFill>
              <w14:schemeClr w14:val="tx1"/>
            </w14:solidFill>
          </w14:textFill>
        </w:rPr>
        <w:t>磋商响应函</w:t>
      </w:r>
    </w:p>
    <w:p w14:paraId="118AF4E1">
      <w:pPr>
        <w:pStyle w:val="48"/>
        <w:spacing w:line="36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致：采购人名称、常州市城投建设工程招标有限公司：</w:t>
      </w:r>
    </w:p>
    <w:p w14:paraId="1AE10C25">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我单位收到贵单位“       号”磋商文件后，经仔细阅读和研究，我单位决定参加本项目的竞争性磋商活动。为此，我单位郑重声明以下诸点，并负法律责任。</w:t>
      </w:r>
    </w:p>
    <w:p w14:paraId="469BA7F4">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1.我单位愿意遵守贵单位有关采购的各项规定，提供竞争性磋商文件中要求的所有资料，并保证完全真实准确，若有虚假和违背，我单位愿意承担由此而产生的一切后果。</w:t>
      </w:r>
    </w:p>
    <w:p w14:paraId="5C87248A">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2.我单位承诺财务状况良好，依法缴纳税收和社会保障资金，具备履行合同所必需的设备和专业技术能力，参加采购活动前3年内在经营活动中没有重大违法记录。</w:t>
      </w:r>
    </w:p>
    <w:p w14:paraId="4791A75C">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3.我单位承诺该磋商响应文件在磋商开始后的全过程中保持有效，不作任何更改和变动。并同意按竞争性磋商文件中的规定，本磋商响应文件的有效期限为投标开始后</w:t>
      </w:r>
      <w:r>
        <w:rPr>
          <w:rFonts w:hint="eastAsia" w:cs="宋体"/>
          <w:color w:val="000000" w:themeColor="text1"/>
          <w:sz w:val="21"/>
          <w:szCs w:val="21"/>
          <w:u w:val="single"/>
          <w14:textFill>
            <w14:solidFill>
              <w14:schemeClr w14:val="tx1"/>
            </w14:solidFill>
          </w14:textFill>
        </w:rPr>
        <w:t>60</w:t>
      </w:r>
      <w:r>
        <w:rPr>
          <w:rFonts w:hint="eastAsia" w:cs="宋体"/>
          <w:color w:val="000000" w:themeColor="text1"/>
          <w:sz w:val="21"/>
          <w:szCs w:val="21"/>
          <w14:textFill>
            <w14:solidFill>
              <w14:schemeClr w14:val="tx1"/>
            </w14:solidFill>
          </w14:textFill>
        </w:rPr>
        <w:t>天。</w:t>
      </w:r>
    </w:p>
    <w:p w14:paraId="39CE5D79">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4.我单位愿意按竞争性磋商文件规定的各项要求，向采购人提供所需货物与服务。磋商报价包括竞争性磋商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14:paraId="3CE4B7C2">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5.我单位认为贵单位有权决定成交供应商，还认为贵单位有权接受或拒绝所有的供应商。</w:t>
      </w:r>
    </w:p>
    <w:p w14:paraId="2D6A6E49">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6.我单位愿意遵守竞争性磋商文件中所列的收费标准，按竞争性磋商文件的规定交纳磋商保证金；若我单位成交，我单位愿意在签订合同前支付履约保证金，并按竞争性磋商文件的规定支付成交服务费。</w:t>
      </w:r>
    </w:p>
    <w:p w14:paraId="6715B411">
      <w:pPr>
        <w:pStyle w:val="48"/>
        <w:spacing w:line="360" w:lineRule="exact"/>
        <w:ind w:firstLine="420"/>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7.如果我单位的磋商响应文件被接受，愿按《中华人民共和国民法典》履行自己的全部责任，同时严格履行竞争性磋商文件中规定的每一项要求，按期、按质、按量履行合同的义务。</w:t>
      </w:r>
    </w:p>
    <w:p w14:paraId="46A9F04E">
      <w:pPr>
        <w:pStyle w:val="48"/>
        <w:spacing w:line="360" w:lineRule="exact"/>
        <w:ind w:firstLine="405"/>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8.与本次磋商有关的正式通讯地址为：</w:t>
      </w:r>
    </w:p>
    <w:p w14:paraId="0074AB0B">
      <w:pPr>
        <w:pStyle w:val="48"/>
        <w:spacing w:line="360" w:lineRule="exact"/>
        <w:jc w:val="left"/>
        <w:rPr>
          <w:rFonts w:cs="宋体"/>
          <w:sz w:val="21"/>
          <w:szCs w:val="21"/>
        </w:rPr>
      </w:pPr>
    </w:p>
    <w:p w14:paraId="16D27C25">
      <w:pPr>
        <w:pStyle w:val="48"/>
        <w:spacing w:line="360" w:lineRule="exact"/>
        <w:jc w:val="left"/>
        <w:rPr>
          <w:rFonts w:cs="宋体"/>
          <w:sz w:val="21"/>
          <w:szCs w:val="21"/>
        </w:rPr>
      </w:pPr>
      <w:r>
        <w:rPr>
          <w:rFonts w:hint="eastAsia" w:cs="宋体"/>
          <w:sz w:val="21"/>
          <w:szCs w:val="21"/>
        </w:rPr>
        <w:t xml:space="preserve">地   址：                  </w:t>
      </w:r>
    </w:p>
    <w:p w14:paraId="23F1654C">
      <w:pPr>
        <w:pStyle w:val="48"/>
        <w:spacing w:line="360" w:lineRule="exact"/>
        <w:rPr>
          <w:rFonts w:cs="宋体"/>
          <w:sz w:val="21"/>
          <w:szCs w:val="21"/>
        </w:rPr>
      </w:pPr>
      <w:r>
        <w:rPr>
          <w:rFonts w:hint="eastAsia" w:cs="宋体"/>
          <w:sz w:val="21"/>
          <w:szCs w:val="21"/>
        </w:rPr>
        <w:t xml:space="preserve">电   话：                  </w:t>
      </w:r>
    </w:p>
    <w:p w14:paraId="7EC7C905">
      <w:pPr>
        <w:pStyle w:val="48"/>
        <w:spacing w:line="360" w:lineRule="exact"/>
        <w:rPr>
          <w:rFonts w:cs="宋体"/>
          <w:sz w:val="21"/>
          <w:szCs w:val="21"/>
        </w:rPr>
      </w:pPr>
      <w:r>
        <w:rPr>
          <w:rFonts w:hint="eastAsia" w:cs="宋体"/>
          <w:sz w:val="21"/>
          <w:szCs w:val="21"/>
        </w:rPr>
        <w:t xml:space="preserve">传   真：                  </w:t>
      </w:r>
    </w:p>
    <w:p w14:paraId="5177B40C">
      <w:pPr>
        <w:pStyle w:val="48"/>
        <w:spacing w:line="360" w:lineRule="exact"/>
        <w:rPr>
          <w:rFonts w:cs="宋体"/>
          <w:sz w:val="21"/>
          <w:szCs w:val="21"/>
        </w:rPr>
      </w:pPr>
      <w:r>
        <w:rPr>
          <w:rFonts w:hint="eastAsia" w:cs="宋体"/>
          <w:sz w:val="21"/>
          <w:szCs w:val="21"/>
        </w:rPr>
        <w:t xml:space="preserve">供应商法定代表人或代理人（签字或盖章）：       </w:t>
      </w:r>
    </w:p>
    <w:p w14:paraId="78430FE4">
      <w:pPr>
        <w:pStyle w:val="48"/>
        <w:spacing w:line="360" w:lineRule="exact"/>
        <w:rPr>
          <w:rFonts w:cs="宋体"/>
          <w:sz w:val="21"/>
          <w:szCs w:val="21"/>
        </w:rPr>
      </w:pPr>
      <w:r>
        <w:rPr>
          <w:rFonts w:hint="eastAsia" w:cs="宋体"/>
          <w:sz w:val="21"/>
          <w:szCs w:val="21"/>
        </w:rPr>
        <w:t xml:space="preserve">供应商名称（公章）：             </w:t>
      </w:r>
    </w:p>
    <w:p w14:paraId="3FC58E5F">
      <w:pPr>
        <w:pStyle w:val="48"/>
        <w:spacing w:line="360" w:lineRule="exact"/>
        <w:rPr>
          <w:rFonts w:cs="宋体"/>
          <w:sz w:val="21"/>
          <w:szCs w:val="21"/>
        </w:rPr>
      </w:pPr>
      <w:r>
        <w:rPr>
          <w:rFonts w:hint="eastAsia" w:cs="宋体"/>
          <w:sz w:val="21"/>
          <w:szCs w:val="21"/>
        </w:rPr>
        <w:t>日    期：     年    月    日.</w:t>
      </w:r>
    </w:p>
    <w:p w14:paraId="18F3A5C2">
      <w:pPr>
        <w:pStyle w:val="18"/>
        <w:rPr>
          <w:rFonts w:ascii="宋体" w:hAnsi="宋体" w:cs="宋体"/>
        </w:rPr>
      </w:pPr>
    </w:p>
    <w:p w14:paraId="562AD5BF">
      <w:pPr>
        <w:rPr>
          <w:rFonts w:ascii="宋体" w:hAnsi="宋体" w:cs="宋体"/>
        </w:rPr>
      </w:pPr>
    </w:p>
    <w:p w14:paraId="4456EB29">
      <w:pPr>
        <w:rPr>
          <w:rFonts w:ascii="宋体" w:hAnsi="宋体" w:cs="宋体"/>
        </w:rPr>
      </w:pPr>
    </w:p>
    <w:p w14:paraId="55885783">
      <w:pPr>
        <w:rPr>
          <w:rFonts w:ascii="宋体" w:hAnsi="宋体" w:cs="宋体"/>
        </w:rPr>
      </w:pPr>
    </w:p>
    <w:p w14:paraId="6A9231B3">
      <w:pPr>
        <w:rPr>
          <w:rFonts w:ascii="宋体" w:hAnsi="宋体" w:cs="宋体"/>
        </w:rPr>
      </w:pPr>
    </w:p>
    <w:p w14:paraId="05899C90">
      <w:pPr>
        <w:rPr>
          <w:rFonts w:ascii="宋体" w:hAnsi="宋体" w:cs="宋体"/>
        </w:rPr>
      </w:pPr>
    </w:p>
    <w:p w14:paraId="0B47EF72">
      <w:pPr>
        <w:pStyle w:val="48"/>
        <w:spacing w:line="360" w:lineRule="exact"/>
        <w:rPr>
          <w:rFonts w:cs="宋体"/>
          <w:b/>
          <w:sz w:val="28"/>
          <w:szCs w:val="28"/>
        </w:rPr>
      </w:pPr>
    </w:p>
    <w:p w14:paraId="61B9A58E">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3.法定代表人资格证明书</w:t>
      </w:r>
    </w:p>
    <w:p w14:paraId="2A111AD2">
      <w:pPr>
        <w:rPr>
          <w:rFonts w:ascii="宋体" w:hAnsi="宋体" w:cs="宋体"/>
        </w:rPr>
      </w:pPr>
    </w:p>
    <w:p w14:paraId="6D3EA2C8">
      <w:pPr>
        <w:spacing w:line="360" w:lineRule="auto"/>
        <w:jc w:val="center"/>
        <w:rPr>
          <w:rFonts w:ascii="宋体" w:hAnsi="宋体" w:cs="宋体"/>
          <w:b/>
          <w:sz w:val="32"/>
          <w:szCs w:val="32"/>
        </w:rPr>
      </w:pPr>
      <w:r>
        <w:rPr>
          <w:rFonts w:hint="eastAsia" w:ascii="宋体" w:hAnsi="宋体" w:cs="宋体"/>
          <w:b/>
          <w:sz w:val="28"/>
          <w:szCs w:val="28"/>
        </w:rPr>
        <w:t>法定代表人资格证明书</w:t>
      </w:r>
    </w:p>
    <w:p w14:paraId="16F7D137">
      <w:pPr>
        <w:spacing w:line="360" w:lineRule="auto"/>
        <w:rPr>
          <w:rFonts w:ascii="宋体" w:hAnsi="宋体" w:cs="宋体"/>
          <w:szCs w:val="21"/>
        </w:rPr>
      </w:pPr>
      <w:r>
        <w:rPr>
          <w:rFonts w:hint="eastAsia" w:ascii="宋体" w:hAnsi="宋体" w:cs="宋体"/>
          <w:szCs w:val="21"/>
        </w:rPr>
        <w:t>单位名称:</w:t>
      </w:r>
    </w:p>
    <w:p w14:paraId="3C21D684">
      <w:pPr>
        <w:spacing w:line="360" w:lineRule="auto"/>
        <w:rPr>
          <w:rFonts w:ascii="宋体" w:hAnsi="宋体" w:cs="宋体"/>
          <w:szCs w:val="21"/>
        </w:rPr>
      </w:pPr>
      <w:r>
        <w:rPr>
          <w:rFonts w:hint="eastAsia" w:ascii="宋体" w:hAnsi="宋体" w:cs="宋体"/>
          <w:szCs w:val="21"/>
        </w:rPr>
        <w:t>地址:</w:t>
      </w:r>
    </w:p>
    <w:p w14:paraId="792F4DE2">
      <w:pPr>
        <w:spacing w:line="360" w:lineRule="auto"/>
        <w:rPr>
          <w:rFonts w:ascii="宋体" w:hAnsi="宋体" w:cs="宋体"/>
          <w:szCs w:val="21"/>
        </w:rPr>
      </w:pPr>
      <w:r>
        <w:rPr>
          <w:rFonts w:hint="eastAsia" w:ascii="宋体" w:hAnsi="宋体" w:cs="宋体"/>
          <w:szCs w:val="21"/>
        </w:rPr>
        <w:t>姓名:            性别:        年龄:        职务:</w:t>
      </w:r>
    </w:p>
    <w:p w14:paraId="26CBBF54">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的法定代表人。为实施 </w:t>
      </w:r>
      <w:r>
        <w:rPr>
          <w:rFonts w:hint="eastAsia" w:ascii="宋体" w:hAnsi="宋体" w:cs="宋体"/>
          <w:szCs w:val="21"/>
          <w:u w:val="single"/>
        </w:rPr>
        <w:t xml:space="preserve">           （      号） </w:t>
      </w:r>
      <w:r>
        <w:rPr>
          <w:rFonts w:hint="eastAsia" w:ascii="宋体" w:hAnsi="宋体" w:cs="宋体"/>
          <w:szCs w:val="21"/>
        </w:rPr>
        <w:t>的工作，签署上述项目的磋商响应文件、进行合同磋商、签署合同和处理与之有关的一切事务。</w:t>
      </w:r>
    </w:p>
    <w:p w14:paraId="7177C677">
      <w:pPr>
        <w:spacing w:line="360" w:lineRule="auto"/>
        <w:rPr>
          <w:rFonts w:ascii="宋体" w:hAnsi="宋体" w:cs="宋体"/>
          <w:szCs w:val="21"/>
        </w:rPr>
      </w:pPr>
      <w:r>
        <w:rPr>
          <w:rFonts w:hint="eastAsia" w:ascii="宋体" w:hAnsi="宋体" w:cs="宋体"/>
          <w:szCs w:val="21"/>
        </w:rPr>
        <w:t>特此证明。</w:t>
      </w:r>
    </w:p>
    <w:p w14:paraId="1B05B1FA">
      <w:pPr>
        <w:spacing w:line="360" w:lineRule="auto"/>
        <w:rPr>
          <w:rFonts w:ascii="宋体" w:hAnsi="宋体" w:cs="宋体"/>
          <w:szCs w:val="21"/>
        </w:rPr>
      </w:pPr>
    </w:p>
    <w:p w14:paraId="44898947">
      <w:pPr>
        <w:spacing w:line="360" w:lineRule="auto"/>
        <w:rPr>
          <w:rFonts w:ascii="宋体" w:hAnsi="宋体" w:cs="宋体"/>
          <w:szCs w:val="21"/>
        </w:rPr>
      </w:pPr>
    </w:p>
    <w:p w14:paraId="6B64513E">
      <w:pPr>
        <w:spacing w:line="360" w:lineRule="auto"/>
        <w:rPr>
          <w:rFonts w:ascii="宋体" w:hAnsi="宋体" w:cs="宋体"/>
          <w:szCs w:val="21"/>
        </w:rPr>
      </w:pPr>
      <w:r>
        <w:rPr>
          <w:rFonts w:hint="eastAsia" w:ascii="宋体" w:hAnsi="宋体" w:cs="宋体"/>
          <w:szCs w:val="21"/>
        </w:rPr>
        <w:t>                 供应商：（公章）</w:t>
      </w:r>
    </w:p>
    <w:p w14:paraId="028D994F">
      <w:pPr>
        <w:spacing w:line="360" w:lineRule="auto"/>
        <w:rPr>
          <w:rFonts w:ascii="宋体" w:hAnsi="宋体" w:cs="宋体"/>
          <w:szCs w:val="21"/>
        </w:rPr>
      </w:pPr>
      <w:r>
        <w:rPr>
          <w:rFonts w:hint="eastAsia" w:ascii="宋体" w:hAnsi="宋体" w:cs="宋体"/>
          <w:szCs w:val="21"/>
        </w:rPr>
        <w:t>                     法定代表人签字或盖章：</w:t>
      </w:r>
    </w:p>
    <w:p w14:paraId="0D3F20D4">
      <w:pPr>
        <w:spacing w:line="360" w:lineRule="auto"/>
        <w:ind w:firstLine="3570" w:firstLineChars="1700"/>
        <w:rPr>
          <w:rFonts w:ascii="宋体" w:hAnsi="宋体" w:cs="宋体"/>
          <w:szCs w:val="21"/>
        </w:rPr>
      </w:pPr>
      <w:r>
        <w:rPr>
          <w:rFonts w:hint="eastAsia" w:ascii="宋体" w:hAnsi="宋体" w:cs="宋体"/>
          <w:szCs w:val="21"/>
        </w:rPr>
        <w:t>日期：    年    月    日</w:t>
      </w:r>
    </w:p>
    <w:p w14:paraId="49DB102D">
      <w:pPr>
        <w:tabs>
          <w:tab w:val="left" w:pos="6045"/>
        </w:tabs>
        <w:snapToGrid w:val="0"/>
        <w:spacing w:line="360" w:lineRule="auto"/>
        <w:ind w:left="210" w:hanging="210" w:hangingChars="100"/>
        <w:rPr>
          <w:rFonts w:ascii="宋体" w:hAnsi="宋体" w:cs="宋体"/>
          <w:szCs w:val="21"/>
        </w:rPr>
      </w:pPr>
    </w:p>
    <w:p w14:paraId="740870CB">
      <w:pPr>
        <w:snapToGrid w:val="0"/>
        <w:spacing w:line="360" w:lineRule="auto"/>
        <w:rPr>
          <w:rFonts w:ascii="宋体" w:hAnsi="宋体" w:cs="宋体"/>
          <w:szCs w:val="21"/>
        </w:rPr>
      </w:pPr>
      <w:r>
        <w:rPr>
          <w:rFonts w:hint="eastAsia" w:ascii="宋体" w:hAnsi="宋体" w:cs="宋体"/>
          <w:szCs w:val="21"/>
        </w:rPr>
        <w:t> </w:t>
      </w:r>
    </w:p>
    <w:p w14:paraId="02DC003B">
      <w:pPr>
        <w:snapToGrid w:val="0"/>
        <w:spacing w:line="360" w:lineRule="auto"/>
        <w:rPr>
          <w:rFonts w:ascii="宋体" w:hAnsi="宋体" w:cs="宋体"/>
          <w:szCs w:val="21"/>
        </w:rPr>
      </w:pPr>
    </w:p>
    <w:p w14:paraId="4D017AE0">
      <w:pPr>
        <w:snapToGrid w:val="0"/>
        <w:spacing w:line="360" w:lineRule="auto"/>
        <w:rPr>
          <w:rFonts w:ascii="宋体" w:hAnsi="宋体" w:cs="宋体"/>
          <w:b/>
          <w:szCs w:val="21"/>
        </w:rPr>
      </w:pPr>
    </w:p>
    <w:p w14:paraId="4CD3B9FE">
      <w:pPr>
        <w:spacing w:line="360" w:lineRule="auto"/>
        <w:rPr>
          <w:rFonts w:ascii="宋体" w:hAnsi="宋体" w:cs="宋体"/>
          <w:szCs w:val="21"/>
        </w:rPr>
      </w:pPr>
      <w:r>
        <w:rPr>
          <w:rFonts w:hint="eastAsia" w:ascii="宋体" w:hAnsi="宋体" w:cs="宋体"/>
          <w:szCs w:val="21"/>
        </w:rPr>
        <w:t>法定代表人身份证</w:t>
      </w:r>
    </w:p>
    <w:p w14:paraId="71933537">
      <w:pPr>
        <w:spacing w:line="360" w:lineRule="auto"/>
        <w:rPr>
          <w:rFonts w:ascii="宋体" w:hAnsi="宋体" w:cs="宋体"/>
          <w:szCs w:val="21"/>
        </w:rPr>
      </w:pPr>
      <w:r>
        <w:rPr>
          <w:rFonts w:hint="eastAsia" w:ascii="宋体" w:hAnsi="宋体" w:cs="宋体"/>
          <w:szCs w:val="21"/>
        </w:rPr>
        <w:t>（双面复印件）粘贴处</w:t>
      </w:r>
    </w:p>
    <w:p w14:paraId="376D670F">
      <w:pPr>
        <w:snapToGrid w:val="0"/>
        <w:spacing w:line="360" w:lineRule="auto"/>
        <w:rPr>
          <w:rFonts w:ascii="宋体" w:hAnsi="宋体" w:cs="宋体"/>
          <w:b/>
          <w:sz w:val="24"/>
          <w:szCs w:val="28"/>
        </w:rPr>
      </w:pPr>
    </w:p>
    <w:p w14:paraId="7B176976">
      <w:pPr>
        <w:snapToGrid w:val="0"/>
        <w:spacing w:line="360" w:lineRule="auto"/>
        <w:rPr>
          <w:rFonts w:ascii="宋体" w:hAnsi="宋体" w:cs="宋体"/>
          <w:b/>
          <w:sz w:val="24"/>
          <w:szCs w:val="28"/>
        </w:rPr>
      </w:pPr>
    </w:p>
    <w:p w14:paraId="4C35CADA">
      <w:pPr>
        <w:rPr>
          <w:rFonts w:ascii="宋体" w:hAnsi="宋体" w:cs="宋体"/>
        </w:rPr>
      </w:pPr>
    </w:p>
    <w:p w14:paraId="46B3F81E">
      <w:pPr>
        <w:rPr>
          <w:rFonts w:ascii="宋体" w:hAnsi="宋体" w:cs="宋体"/>
        </w:rPr>
      </w:pPr>
    </w:p>
    <w:p w14:paraId="01427876">
      <w:pPr>
        <w:rPr>
          <w:rFonts w:ascii="宋体" w:hAnsi="宋体" w:cs="宋体"/>
        </w:rPr>
      </w:pPr>
    </w:p>
    <w:p w14:paraId="6E13E702">
      <w:pPr>
        <w:rPr>
          <w:rFonts w:ascii="宋体" w:hAnsi="宋体" w:cs="宋体"/>
        </w:rPr>
      </w:pPr>
    </w:p>
    <w:p w14:paraId="0C923503">
      <w:pPr>
        <w:rPr>
          <w:rFonts w:ascii="宋体" w:hAnsi="宋体" w:cs="宋体"/>
        </w:rPr>
      </w:pPr>
    </w:p>
    <w:p w14:paraId="600867B7">
      <w:pPr>
        <w:pStyle w:val="8"/>
      </w:pPr>
    </w:p>
    <w:p w14:paraId="3D7FB717">
      <w:pPr>
        <w:rPr>
          <w:rFonts w:ascii="宋体" w:hAnsi="宋体" w:cs="宋体"/>
        </w:rPr>
      </w:pPr>
    </w:p>
    <w:p w14:paraId="679FBE80">
      <w:pPr>
        <w:rPr>
          <w:rFonts w:ascii="宋体" w:hAnsi="宋体" w:cs="宋体"/>
        </w:rPr>
      </w:pPr>
    </w:p>
    <w:p w14:paraId="765C29D6">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4.授权委托书</w:t>
      </w:r>
    </w:p>
    <w:p w14:paraId="48BDE1D1">
      <w:pPr>
        <w:pStyle w:val="48"/>
        <w:spacing w:line="360" w:lineRule="exact"/>
        <w:jc w:val="center"/>
        <w:rPr>
          <w:rFonts w:cs="宋体"/>
          <w:b/>
          <w:sz w:val="28"/>
          <w:szCs w:val="28"/>
        </w:rPr>
      </w:pPr>
      <w:r>
        <w:rPr>
          <w:rFonts w:hint="eastAsia" w:cs="宋体"/>
          <w:b/>
          <w:sz w:val="28"/>
          <w:szCs w:val="28"/>
        </w:rPr>
        <w:t>授权委托书</w:t>
      </w:r>
    </w:p>
    <w:p w14:paraId="378CD822">
      <w:pPr>
        <w:adjustRightInd w:val="0"/>
        <w:snapToGrid w:val="0"/>
        <w:spacing w:line="360" w:lineRule="auto"/>
        <w:ind w:firstLine="516" w:firstLineChars="215"/>
        <w:rPr>
          <w:rFonts w:ascii="宋体" w:hAnsi="宋体" w:cs="宋体"/>
          <w:sz w:val="24"/>
          <w:szCs w:val="24"/>
        </w:rPr>
      </w:pPr>
    </w:p>
    <w:p w14:paraId="314C5596">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磋商中我单位的合法代理人，全权负责参加本次项目的投标、签订合约以及与之相关的各项工作。本供应商对被授权人的签名负全部责任。</w:t>
      </w:r>
    </w:p>
    <w:p w14:paraId="587C2F09">
      <w:pPr>
        <w:adjustRightInd w:val="0"/>
        <w:snapToGrid w:val="0"/>
        <w:spacing w:line="360" w:lineRule="auto"/>
        <w:ind w:firstLine="397"/>
        <w:rPr>
          <w:rFonts w:ascii="宋体" w:hAnsi="宋体" w:cs="宋体"/>
          <w:sz w:val="24"/>
          <w:szCs w:val="24"/>
        </w:rPr>
      </w:pPr>
      <w:r>
        <w:rPr>
          <w:rFonts w:hint="eastAsia" w:ascii="宋体" w:hAnsi="宋体" w:cs="宋体"/>
          <w:sz w:val="24"/>
          <w:szCs w:val="24"/>
        </w:rPr>
        <w:t>本授权书于__________年_______月________日签字或盖章生效，特此声明。</w:t>
      </w:r>
    </w:p>
    <w:p w14:paraId="2F255A6A">
      <w:pPr>
        <w:adjustRightInd w:val="0"/>
        <w:snapToGrid w:val="0"/>
        <w:spacing w:line="360" w:lineRule="auto"/>
        <w:rPr>
          <w:rFonts w:ascii="宋体" w:hAnsi="宋体" w:cs="宋体"/>
          <w:sz w:val="24"/>
          <w:szCs w:val="24"/>
        </w:rPr>
      </w:pPr>
    </w:p>
    <w:p w14:paraId="470A6ECC">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14:paraId="76495D3A">
      <w:pPr>
        <w:spacing w:line="400" w:lineRule="exact"/>
        <w:rPr>
          <w:rFonts w:ascii="宋体" w:hAnsi="宋体" w:cs="宋体"/>
          <w:szCs w:val="21"/>
        </w:rPr>
      </w:pPr>
      <w:r>
        <w:rPr>
          <w:rFonts w:hint="eastAsia" w:ascii="宋体" w:hAnsi="宋体" w:cs="宋体"/>
          <w:szCs w:val="21"/>
        </w:rPr>
        <w:t>职务：                                       联系电话：</w:t>
      </w:r>
    </w:p>
    <w:p w14:paraId="778A6118">
      <w:pPr>
        <w:spacing w:line="400" w:lineRule="exact"/>
        <w:rPr>
          <w:rFonts w:ascii="宋体" w:hAnsi="宋体" w:cs="宋体"/>
          <w:szCs w:val="21"/>
        </w:rPr>
      </w:pPr>
      <w:r>
        <w:rPr>
          <w:rFonts w:hint="eastAsia" w:ascii="宋体" w:hAnsi="宋体" w:cs="宋体"/>
          <w:szCs w:val="21"/>
        </w:rPr>
        <w:t>单位名称：                                   地址：</w:t>
      </w:r>
    </w:p>
    <w:p w14:paraId="12BBCCA2">
      <w:pPr>
        <w:spacing w:line="400" w:lineRule="exact"/>
        <w:rPr>
          <w:rFonts w:ascii="宋体" w:hAnsi="宋体" w:cs="宋体"/>
          <w:szCs w:val="21"/>
        </w:rPr>
      </w:pPr>
      <w:r>
        <w:rPr>
          <w:rFonts w:hint="eastAsia" w:ascii="宋体" w:hAnsi="宋体" w:cs="宋体"/>
          <w:szCs w:val="21"/>
        </w:rPr>
        <w:t>身份证号码：</w:t>
      </w:r>
    </w:p>
    <w:p w14:paraId="49A62084">
      <w:pPr>
        <w:spacing w:line="400" w:lineRule="exact"/>
        <w:rPr>
          <w:rFonts w:ascii="宋体" w:hAnsi="宋体" w:cs="宋体"/>
          <w:szCs w:val="21"/>
        </w:rPr>
      </w:pPr>
    </w:p>
    <w:p w14:paraId="053A549A">
      <w:pPr>
        <w:spacing w:line="400" w:lineRule="exact"/>
        <w:rPr>
          <w:rFonts w:ascii="宋体" w:hAnsi="宋体" w:cs="宋体"/>
          <w:szCs w:val="21"/>
        </w:rPr>
      </w:pPr>
      <w:r>
        <w:rPr>
          <w:rFonts w:hint="eastAsia" w:ascii="宋体" w:hAnsi="宋体" w:cs="宋体"/>
          <w:szCs w:val="21"/>
        </w:rPr>
        <w:t>委托代理人（被授权人）签字或盖章：           日期：</w:t>
      </w:r>
    </w:p>
    <w:p w14:paraId="29CC59F5">
      <w:pPr>
        <w:spacing w:line="400" w:lineRule="exact"/>
        <w:rPr>
          <w:rFonts w:ascii="宋体" w:hAnsi="宋体" w:cs="宋体"/>
          <w:szCs w:val="21"/>
        </w:rPr>
      </w:pPr>
      <w:r>
        <w:rPr>
          <w:rFonts w:hint="eastAsia" w:ascii="宋体" w:hAnsi="宋体" w:cs="宋体"/>
          <w:szCs w:val="21"/>
        </w:rPr>
        <w:t>职务：                                       联系电话：</w:t>
      </w:r>
    </w:p>
    <w:p w14:paraId="1FA3E6D2">
      <w:pPr>
        <w:spacing w:line="400" w:lineRule="exact"/>
        <w:rPr>
          <w:rFonts w:ascii="宋体" w:hAnsi="宋体" w:cs="宋体"/>
          <w:szCs w:val="21"/>
        </w:rPr>
      </w:pPr>
      <w:r>
        <w:rPr>
          <w:rFonts w:hint="eastAsia" w:ascii="宋体" w:hAnsi="宋体" w:cs="宋体"/>
          <w:szCs w:val="21"/>
        </w:rPr>
        <w:t>单位名称：                                   地址：</w:t>
      </w:r>
    </w:p>
    <w:p w14:paraId="6DDABF75">
      <w:pPr>
        <w:spacing w:line="400" w:lineRule="exact"/>
        <w:rPr>
          <w:rFonts w:ascii="宋体" w:hAnsi="宋体" w:cs="宋体"/>
          <w:szCs w:val="21"/>
        </w:rPr>
      </w:pPr>
      <w:r>
        <w:rPr>
          <w:rFonts w:hint="eastAsia" w:ascii="宋体" w:hAnsi="宋体" w:cs="宋体"/>
          <w:szCs w:val="21"/>
        </w:rPr>
        <w:t>身份证号码：</w:t>
      </w:r>
    </w:p>
    <w:p w14:paraId="7BEFDC0B">
      <w:pPr>
        <w:spacing w:line="400" w:lineRule="exact"/>
        <w:rPr>
          <w:rFonts w:ascii="宋体" w:hAnsi="宋体" w:cs="宋体"/>
          <w:szCs w:val="21"/>
        </w:rPr>
      </w:pPr>
    </w:p>
    <w:p w14:paraId="3BD98B9B">
      <w:pPr>
        <w:spacing w:line="400" w:lineRule="exact"/>
        <w:rPr>
          <w:rFonts w:ascii="宋体" w:hAnsi="宋体" w:cs="宋体"/>
          <w:szCs w:val="21"/>
        </w:rPr>
      </w:pPr>
      <w:r>
        <w:rPr>
          <w:rFonts w:hint="eastAsia" w:ascii="宋体" w:hAnsi="宋体" w:cs="宋体"/>
          <w:szCs w:val="21"/>
        </w:rPr>
        <w:t xml:space="preserve">供应商公章： </w:t>
      </w:r>
    </w:p>
    <w:p w14:paraId="23CD8BA8">
      <w:pPr>
        <w:spacing w:line="400" w:lineRule="exact"/>
        <w:rPr>
          <w:rFonts w:ascii="宋体" w:hAnsi="宋体" w:cs="宋体"/>
          <w:szCs w:val="21"/>
        </w:rPr>
      </w:pPr>
      <w:r>
        <w:rPr>
          <w:rFonts w:hint="eastAsia" w:ascii="宋体" w:hAnsi="宋体" w:cs="宋体"/>
          <w:szCs w:val="21"/>
        </w:rPr>
        <w:t>地址：                                       电话：</w:t>
      </w:r>
    </w:p>
    <w:p w14:paraId="1F737769">
      <w:pPr>
        <w:spacing w:line="400" w:lineRule="exact"/>
        <w:rPr>
          <w:rFonts w:ascii="宋体" w:hAnsi="宋体" w:cs="宋体"/>
          <w:szCs w:val="21"/>
        </w:rPr>
      </w:pPr>
      <w:r>
        <w:rPr>
          <w:rFonts w:hint="eastAsia" w:ascii="宋体" w:hAnsi="宋体" w:cs="宋体"/>
          <w:szCs w:val="21"/>
        </w:rPr>
        <w:t>传真：                                       邮编：</w:t>
      </w:r>
    </w:p>
    <w:p w14:paraId="2BB8C6A5">
      <w:pPr>
        <w:spacing w:line="400" w:lineRule="exact"/>
        <w:rPr>
          <w:rFonts w:ascii="宋体" w:hAnsi="宋体" w:cs="宋体"/>
          <w:szCs w:val="21"/>
        </w:rPr>
      </w:pPr>
      <w:r>
        <w:rPr>
          <w:rFonts w:hint="eastAsia" w:ascii="宋体" w:hAnsi="宋体" w:cs="宋体"/>
          <w:szCs w:val="21"/>
        </w:rPr>
        <w:t>开户行：</w:t>
      </w:r>
    </w:p>
    <w:p w14:paraId="6AA97710">
      <w:pPr>
        <w:spacing w:line="400" w:lineRule="exact"/>
        <w:rPr>
          <w:rFonts w:ascii="宋体" w:hAnsi="宋体" w:cs="宋体"/>
          <w:szCs w:val="21"/>
        </w:rPr>
      </w:pPr>
      <w:r>
        <w:rPr>
          <w:rFonts w:hint="eastAsia" w:ascii="宋体" w:hAnsi="宋体" w:cs="宋体"/>
          <w:szCs w:val="21"/>
        </w:rPr>
        <w:t>账号：</w:t>
      </w:r>
    </w:p>
    <w:p w14:paraId="024999D3">
      <w:pPr>
        <w:spacing w:line="400" w:lineRule="exact"/>
        <w:rPr>
          <w:rFonts w:ascii="宋体" w:hAnsi="宋体" w:cs="宋体"/>
          <w:szCs w:val="21"/>
        </w:rPr>
      </w:pPr>
    </w:p>
    <w:p w14:paraId="5C9EF48A">
      <w:pPr>
        <w:spacing w:line="400" w:lineRule="exact"/>
        <w:rPr>
          <w:rFonts w:ascii="宋体" w:hAnsi="宋体" w:cs="宋体"/>
          <w:szCs w:val="21"/>
        </w:rPr>
      </w:pPr>
      <w:r>
        <w:rPr>
          <w:rFonts w:hint="eastAsia" w:ascii="宋体" w:hAnsi="宋体" w:cs="宋体"/>
          <w:szCs w:val="21"/>
        </w:rPr>
        <w:t>代理人身份证</w:t>
      </w:r>
    </w:p>
    <w:p w14:paraId="59183783">
      <w:pPr>
        <w:spacing w:line="360" w:lineRule="auto"/>
        <w:rPr>
          <w:rFonts w:ascii="宋体" w:hAnsi="宋体" w:cs="宋体"/>
          <w:sz w:val="24"/>
          <w:szCs w:val="24"/>
        </w:rPr>
      </w:pPr>
      <w:r>
        <w:rPr>
          <w:rFonts w:hint="eastAsia" w:ascii="宋体" w:hAnsi="宋体" w:cs="宋体"/>
          <w:szCs w:val="21"/>
        </w:rPr>
        <w:t>（双面复印件）粘贴处</w:t>
      </w:r>
    </w:p>
    <w:p w14:paraId="11168438">
      <w:pPr>
        <w:spacing w:line="360" w:lineRule="auto"/>
        <w:rPr>
          <w:rFonts w:ascii="宋体" w:hAnsi="宋体" w:cs="宋体"/>
          <w:sz w:val="24"/>
          <w:szCs w:val="24"/>
        </w:rPr>
      </w:pPr>
    </w:p>
    <w:p w14:paraId="27DB13D7">
      <w:pPr>
        <w:pStyle w:val="8"/>
      </w:pPr>
    </w:p>
    <w:p w14:paraId="1A94DB20">
      <w:pPr>
        <w:spacing w:line="360" w:lineRule="auto"/>
        <w:rPr>
          <w:rFonts w:ascii="宋体" w:hAnsi="宋体" w:cs="宋体"/>
          <w:szCs w:val="21"/>
        </w:rPr>
      </w:pPr>
    </w:p>
    <w:p w14:paraId="5BA7210E">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5.报价一览表</w:t>
      </w:r>
    </w:p>
    <w:p w14:paraId="35AC0C66">
      <w:pPr>
        <w:jc w:val="center"/>
        <w:rPr>
          <w:rFonts w:ascii="宋体" w:hAnsi="宋体" w:cs="宋体"/>
          <w:b/>
          <w:color w:val="000000"/>
          <w:sz w:val="28"/>
          <w:szCs w:val="28"/>
        </w:rPr>
      </w:pPr>
      <w:r>
        <w:rPr>
          <w:rFonts w:hint="eastAsia" w:ascii="宋体" w:hAnsi="宋体" w:cs="宋体"/>
          <w:b/>
          <w:color w:val="000000"/>
          <w:sz w:val="28"/>
          <w:szCs w:val="28"/>
        </w:rPr>
        <w:t>报价一览表</w:t>
      </w:r>
    </w:p>
    <w:p w14:paraId="246477A1">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221B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3D4E1569">
            <w:pPr>
              <w:jc w:val="center"/>
              <w:rPr>
                <w:rFonts w:ascii="宋体" w:hAnsi="宋体" w:cs="宋体"/>
                <w:color w:val="000000"/>
                <w:szCs w:val="21"/>
              </w:rPr>
            </w:pPr>
            <w:r>
              <w:rPr>
                <w:rFonts w:hint="eastAsia" w:ascii="宋体" w:hAnsi="宋体" w:cs="宋体"/>
                <w:color w:val="000000"/>
                <w:szCs w:val="21"/>
              </w:rPr>
              <w:t>项目名称</w:t>
            </w:r>
          </w:p>
        </w:tc>
        <w:tc>
          <w:tcPr>
            <w:tcW w:w="6662" w:type="dxa"/>
          </w:tcPr>
          <w:p w14:paraId="77982047">
            <w:pPr>
              <w:widowControl/>
              <w:jc w:val="left"/>
              <w:rPr>
                <w:rFonts w:ascii="宋体" w:hAnsi="宋体" w:cs="宋体"/>
                <w:color w:val="000000"/>
                <w:szCs w:val="21"/>
              </w:rPr>
            </w:pPr>
          </w:p>
        </w:tc>
      </w:tr>
      <w:tr w14:paraId="1520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099C6FF1">
            <w:pPr>
              <w:jc w:val="center"/>
              <w:rPr>
                <w:rFonts w:ascii="宋体" w:hAnsi="宋体" w:cs="宋体"/>
                <w:color w:val="000000"/>
                <w:szCs w:val="21"/>
              </w:rPr>
            </w:pPr>
            <w:r>
              <w:rPr>
                <w:rFonts w:hint="eastAsia" w:ascii="宋体" w:hAnsi="宋体" w:cs="宋体"/>
                <w:color w:val="000000"/>
                <w:szCs w:val="21"/>
              </w:rPr>
              <w:t>项目编号</w:t>
            </w:r>
          </w:p>
        </w:tc>
        <w:tc>
          <w:tcPr>
            <w:tcW w:w="6662" w:type="dxa"/>
          </w:tcPr>
          <w:p w14:paraId="517F20F4">
            <w:pPr>
              <w:widowControl/>
              <w:jc w:val="left"/>
              <w:rPr>
                <w:rFonts w:ascii="宋体" w:hAnsi="宋体" w:cs="宋体"/>
                <w:color w:val="000000"/>
                <w:szCs w:val="21"/>
              </w:rPr>
            </w:pPr>
          </w:p>
        </w:tc>
      </w:tr>
      <w:tr w14:paraId="6D3D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0B330BDB">
            <w:pPr>
              <w:jc w:val="center"/>
              <w:rPr>
                <w:rFonts w:ascii="宋体" w:hAnsi="宋体" w:cs="宋体"/>
                <w:color w:val="000000"/>
                <w:szCs w:val="21"/>
              </w:rPr>
            </w:pPr>
            <w:r>
              <w:rPr>
                <w:rFonts w:hint="eastAsia" w:ascii="宋体" w:hAnsi="宋体" w:cs="宋体"/>
                <w:color w:val="000000"/>
                <w:szCs w:val="21"/>
              </w:rPr>
              <w:t>磋商总价</w:t>
            </w:r>
          </w:p>
        </w:tc>
        <w:tc>
          <w:tcPr>
            <w:tcW w:w="6662" w:type="dxa"/>
          </w:tcPr>
          <w:p w14:paraId="405A8F6C">
            <w:pPr>
              <w:widowControl/>
              <w:jc w:val="center"/>
              <w:rPr>
                <w:rFonts w:ascii="宋体" w:hAnsi="宋体" w:cs="宋体"/>
                <w:color w:val="000000"/>
                <w:szCs w:val="21"/>
              </w:rPr>
            </w:pPr>
          </w:p>
        </w:tc>
      </w:tr>
    </w:tbl>
    <w:p w14:paraId="59E6BC52">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03D376AD">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627C7900">
      <w:pPr>
        <w:spacing w:line="360" w:lineRule="exact"/>
        <w:rPr>
          <w:rFonts w:ascii="宋体" w:hAnsi="宋体" w:cs="宋体"/>
          <w:color w:val="000000"/>
          <w:szCs w:val="21"/>
        </w:rPr>
      </w:pPr>
      <w:r>
        <w:rPr>
          <w:rFonts w:hint="eastAsia" w:ascii="宋体" w:hAnsi="宋体" w:cs="宋体"/>
          <w:color w:val="000000"/>
          <w:szCs w:val="21"/>
        </w:rPr>
        <w:t>日期：      年  月   日</w:t>
      </w:r>
    </w:p>
    <w:p w14:paraId="5C3AF101">
      <w:pPr>
        <w:widowControl/>
        <w:jc w:val="left"/>
        <w:rPr>
          <w:rFonts w:ascii="宋体" w:hAnsi="宋体" w:cs="宋体"/>
          <w:b/>
          <w:sz w:val="28"/>
          <w:szCs w:val="28"/>
        </w:rPr>
      </w:pPr>
      <w:r>
        <w:rPr>
          <w:rFonts w:hint="eastAsia" w:ascii="宋体" w:hAnsi="宋体" w:cs="宋体"/>
          <w:b/>
          <w:sz w:val="28"/>
          <w:szCs w:val="28"/>
        </w:rPr>
        <w:br w:type="page"/>
      </w:r>
    </w:p>
    <w:p w14:paraId="5C3CA4CE">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6.磋商分项报价表</w:t>
      </w:r>
    </w:p>
    <w:p w14:paraId="1D8B4CD4">
      <w:pPr>
        <w:spacing w:line="360" w:lineRule="auto"/>
        <w:jc w:val="center"/>
        <w:rPr>
          <w:rFonts w:ascii="宋体" w:hAnsi="宋体" w:cs="宋体"/>
          <w:b/>
          <w:sz w:val="28"/>
          <w:szCs w:val="28"/>
        </w:rPr>
      </w:pPr>
      <w:r>
        <w:rPr>
          <w:rFonts w:hint="eastAsia" w:ascii="宋体" w:hAnsi="宋体" w:cs="宋体"/>
          <w:b/>
          <w:sz w:val="28"/>
          <w:szCs w:val="28"/>
        </w:rPr>
        <w:t>磋商分项报价表</w:t>
      </w:r>
    </w:p>
    <w:p w14:paraId="040F1A44">
      <w:pPr>
        <w:tabs>
          <w:tab w:val="left" w:pos="1800"/>
          <w:tab w:val="left" w:pos="5580"/>
        </w:tabs>
        <w:rPr>
          <w:color w:val="000000"/>
          <w:sz w:val="24"/>
        </w:rPr>
      </w:pPr>
      <w:r>
        <w:rPr>
          <w:color w:val="000000"/>
          <w:sz w:val="24"/>
        </w:rPr>
        <w:t>项目编号/包号：___________ 项目名称：__________报价单位：人民币元</w:t>
      </w:r>
    </w:p>
    <w:tbl>
      <w:tblPr>
        <w:tblStyle w:val="21"/>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881"/>
        <w:gridCol w:w="780"/>
        <w:gridCol w:w="1337"/>
        <w:gridCol w:w="1799"/>
        <w:gridCol w:w="613"/>
        <w:gridCol w:w="618"/>
        <w:gridCol w:w="919"/>
        <w:gridCol w:w="1072"/>
      </w:tblGrid>
      <w:tr w14:paraId="34AC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restart"/>
            <w:tcBorders>
              <w:top w:val="single" w:color="auto" w:sz="4" w:space="0"/>
              <w:left w:val="single" w:color="auto" w:sz="4" w:space="0"/>
              <w:bottom w:val="single" w:color="auto" w:sz="4" w:space="0"/>
              <w:right w:val="single" w:color="auto" w:sz="4" w:space="0"/>
            </w:tcBorders>
            <w:vAlign w:val="center"/>
          </w:tcPr>
          <w:p w14:paraId="526F4D7D">
            <w:pPr>
              <w:widowControl/>
              <w:snapToGrid w:val="0"/>
              <w:spacing w:line="360" w:lineRule="auto"/>
              <w:jc w:val="center"/>
              <w:rPr>
                <w:rFonts w:ascii="宋体" w:hAnsi="宋体" w:cs="Arial"/>
                <w:kern w:val="0"/>
                <w:sz w:val="24"/>
              </w:rPr>
            </w:pPr>
            <w:r>
              <w:rPr>
                <w:rFonts w:hint="eastAsia" w:ascii="宋体" w:hAnsi="宋体" w:cs="Arial"/>
                <w:kern w:val="0"/>
                <w:sz w:val="24"/>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14:paraId="12FC8363">
            <w:pPr>
              <w:widowControl/>
              <w:snapToGrid w:val="0"/>
              <w:spacing w:line="360" w:lineRule="auto"/>
              <w:jc w:val="center"/>
              <w:rPr>
                <w:rFonts w:ascii="宋体" w:hAnsi="宋体" w:cs="Arial"/>
                <w:kern w:val="0"/>
                <w:sz w:val="24"/>
              </w:rPr>
            </w:pPr>
            <w:r>
              <w:rPr>
                <w:rFonts w:hint="eastAsia" w:ascii="宋体" w:hAnsi="宋体" w:cs="Arial"/>
                <w:kern w:val="0"/>
                <w:sz w:val="24"/>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14:paraId="7C4931AC">
            <w:pPr>
              <w:widowControl/>
              <w:snapToGrid w:val="0"/>
              <w:spacing w:line="360" w:lineRule="auto"/>
              <w:jc w:val="center"/>
              <w:rPr>
                <w:rFonts w:ascii="宋体" w:hAnsi="宋体" w:cs="Arial"/>
                <w:kern w:val="0"/>
                <w:sz w:val="24"/>
              </w:rPr>
            </w:pPr>
            <w:r>
              <w:rPr>
                <w:rFonts w:hint="eastAsia" w:ascii="宋体" w:hAnsi="宋体" w:cs="Arial"/>
                <w:kern w:val="0"/>
                <w:sz w:val="24"/>
              </w:rPr>
              <w:t>品牌商标</w:t>
            </w:r>
          </w:p>
        </w:tc>
        <w:tc>
          <w:tcPr>
            <w:tcW w:w="1337" w:type="dxa"/>
            <w:vMerge w:val="restart"/>
            <w:tcBorders>
              <w:top w:val="single" w:color="auto" w:sz="4" w:space="0"/>
              <w:left w:val="single" w:color="auto" w:sz="4" w:space="0"/>
              <w:bottom w:val="single" w:color="auto" w:sz="4" w:space="0"/>
              <w:right w:val="single" w:color="auto" w:sz="4" w:space="0"/>
            </w:tcBorders>
            <w:vAlign w:val="center"/>
          </w:tcPr>
          <w:p w14:paraId="1F0382FB">
            <w:pPr>
              <w:widowControl/>
              <w:snapToGrid w:val="0"/>
              <w:spacing w:line="360" w:lineRule="auto"/>
              <w:jc w:val="center"/>
              <w:rPr>
                <w:rFonts w:ascii="宋体" w:hAnsi="宋体" w:cs="Arial"/>
                <w:kern w:val="0"/>
                <w:sz w:val="24"/>
              </w:rPr>
            </w:pPr>
            <w:r>
              <w:rPr>
                <w:rFonts w:hint="eastAsia" w:ascii="宋体" w:hAnsi="宋体" w:cs="Arial"/>
                <w:kern w:val="0"/>
                <w:sz w:val="24"/>
              </w:rPr>
              <w:t>规格型号</w:t>
            </w:r>
          </w:p>
        </w:tc>
        <w:tc>
          <w:tcPr>
            <w:tcW w:w="1799" w:type="dxa"/>
            <w:vMerge w:val="restart"/>
            <w:tcBorders>
              <w:top w:val="single" w:color="auto" w:sz="4" w:space="0"/>
              <w:left w:val="single" w:color="auto" w:sz="4" w:space="0"/>
              <w:bottom w:val="single" w:color="auto" w:sz="4" w:space="0"/>
              <w:right w:val="single" w:color="auto" w:sz="4" w:space="0"/>
            </w:tcBorders>
            <w:vAlign w:val="center"/>
          </w:tcPr>
          <w:p w14:paraId="64C49572">
            <w:pPr>
              <w:widowControl/>
              <w:snapToGrid w:val="0"/>
              <w:spacing w:line="360" w:lineRule="auto"/>
              <w:jc w:val="center"/>
              <w:rPr>
                <w:rFonts w:ascii="宋体" w:hAnsi="宋体" w:cs="Arial"/>
                <w:kern w:val="0"/>
                <w:sz w:val="24"/>
              </w:rPr>
            </w:pPr>
            <w:r>
              <w:rPr>
                <w:rFonts w:hint="eastAsia" w:ascii="宋体" w:hAnsi="宋体" w:cs="Arial"/>
                <w:kern w:val="0"/>
                <w:sz w:val="24"/>
              </w:rPr>
              <w:t>技术参数</w:t>
            </w:r>
          </w:p>
        </w:tc>
        <w:tc>
          <w:tcPr>
            <w:tcW w:w="613" w:type="dxa"/>
            <w:vMerge w:val="restart"/>
            <w:tcBorders>
              <w:top w:val="single" w:color="auto" w:sz="4" w:space="0"/>
              <w:left w:val="single" w:color="auto" w:sz="4" w:space="0"/>
              <w:bottom w:val="single" w:color="auto" w:sz="4" w:space="0"/>
              <w:right w:val="single" w:color="auto" w:sz="4" w:space="0"/>
            </w:tcBorders>
            <w:vAlign w:val="center"/>
          </w:tcPr>
          <w:p w14:paraId="64A63471">
            <w:pPr>
              <w:widowControl/>
              <w:snapToGrid w:val="0"/>
              <w:spacing w:line="360" w:lineRule="auto"/>
              <w:jc w:val="center"/>
              <w:rPr>
                <w:rFonts w:ascii="宋体" w:hAnsi="宋体" w:cs="Arial"/>
                <w:kern w:val="0"/>
                <w:sz w:val="24"/>
              </w:rPr>
            </w:pPr>
            <w:r>
              <w:rPr>
                <w:rFonts w:hint="eastAsia" w:ascii="宋体" w:hAnsi="宋体" w:cs="Arial"/>
                <w:kern w:val="0"/>
                <w:sz w:val="24"/>
              </w:rPr>
              <w:t>数量</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14:paraId="5736C0D2">
            <w:pPr>
              <w:widowControl/>
              <w:snapToGrid w:val="0"/>
              <w:spacing w:line="360" w:lineRule="auto"/>
              <w:jc w:val="center"/>
              <w:rPr>
                <w:rFonts w:ascii="宋体" w:hAnsi="宋体" w:cs="Arial"/>
                <w:kern w:val="0"/>
                <w:sz w:val="24"/>
              </w:rPr>
            </w:pPr>
            <w:r>
              <w:rPr>
                <w:rFonts w:hint="eastAsia" w:ascii="宋体" w:hAnsi="宋体" w:cs="Arial"/>
                <w:kern w:val="0"/>
                <w:sz w:val="24"/>
              </w:rPr>
              <w:t>单位</w:t>
            </w: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6A901619">
            <w:pPr>
              <w:widowControl/>
              <w:snapToGrid w:val="0"/>
              <w:spacing w:line="360" w:lineRule="auto"/>
              <w:jc w:val="center"/>
              <w:rPr>
                <w:rFonts w:ascii="宋体" w:hAnsi="宋体" w:cs="Arial"/>
                <w:kern w:val="0"/>
                <w:sz w:val="24"/>
              </w:rPr>
            </w:pPr>
            <w:r>
              <w:rPr>
                <w:rFonts w:hint="eastAsia" w:ascii="宋体" w:hAnsi="宋体" w:cs="Arial"/>
                <w:kern w:val="0"/>
                <w:sz w:val="24"/>
              </w:rPr>
              <w:t>投标价格</w:t>
            </w:r>
          </w:p>
        </w:tc>
      </w:tr>
      <w:tr w14:paraId="741F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69" w:type="dxa"/>
            <w:vMerge w:val="continue"/>
            <w:tcBorders>
              <w:top w:val="single" w:color="auto" w:sz="4" w:space="0"/>
              <w:left w:val="single" w:color="auto" w:sz="4" w:space="0"/>
              <w:bottom w:val="single" w:color="auto" w:sz="4" w:space="0"/>
              <w:right w:val="single" w:color="auto" w:sz="4" w:space="0"/>
            </w:tcBorders>
            <w:vAlign w:val="center"/>
          </w:tcPr>
          <w:p w14:paraId="5E8811FD">
            <w:pPr>
              <w:widowControl/>
              <w:jc w:val="left"/>
              <w:rPr>
                <w:rFonts w:ascii="宋体" w:hAnsi="宋体" w:cs="Arial"/>
                <w:kern w:val="0"/>
                <w:sz w:val="24"/>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14:paraId="2526F8FE">
            <w:pPr>
              <w:widowControl/>
              <w:jc w:val="left"/>
              <w:rPr>
                <w:rFonts w:ascii="宋体" w:hAnsi="宋体" w:cs="Arial"/>
                <w:kern w:val="0"/>
                <w:sz w:val="24"/>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14:paraId="632AF932">
            <w:pPr>
              <w:widowControl/>
              <w:jc w:val="left"/>
              <w:rPr>
                <w:rFonts w:ascii="宋体" w:hAnsi="宋体" w:cs="Arial"/>
                <w:kern w:val="0"/>
                <w:sz w:val="24"/>
              </w:rPr>
            </w:pPr>
          </w:p>
        </w:tc>
        <w:tc>
          <w:tcPr>
            <w:tcW w:w="1337" w:type="dxa"/>
            <w:vMerge w:val="continue"/>
            <w:tcBorders>
              <w:top w:val="single" w:color="auto" w:sz="4" w:space="0"/>
              <w:left w:val="single" w:color="auto" w:sz="4" w:space="0"/>
              <w:bottom w:val="single" w:color="auto" w:sz="4" w:space="0"/>
              <w:right w:val="single" w:color="auto" w:sz="4" w:space="0"/>
            </w:tcBorders>
            <w:vAlign w:val="center"/>
          </w:tcPr>
          <w:p w14:paraId="02A6D39A">
            <w:pPr>
              <w:widowControl/>
              <w:jc w:val="left"/>
              <w:rPr>
                <w:rFonts w:ascii="宋体" w:hAnsi="宋体" w:cs="Arial"/>
                <w:kern w:val="0"/>
                <w:sz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551065A7">
            <w:pPr>
              <w:widowControl/>
              <w:jc w:val="left"/>
              <w:rPr>
                <w:rFonts w:ascii="宋体" w:hAnsi="宋体" w:cs="Arial"/>
                <w:kern w:val="0"/>
                <w:sz w:val="24"/>
              </w:rPr>
            </w:pPr>
          </w:p>
        </w:tc>
        <w:tc>
          <w:tcPr>
            <w:tcW w:w="613" w:type="dxa"/>
            <w:vMerge w:val="continue"/>
            <w:tcBorders>
              <w:top w:val="single" w:color="auto" w:sz="4" w:space="0"/>
              <w:left w:val="single" w:color="auto" w:sz="4" w:space="0"/>
              <w:bottom w:val="single" w:color="auto" w:sz="4" w:space="0"/>
              <w:right w:val="single" w:color="auto" w:sz="4" w:space="0"/>
            </w:tcBorders>
            <w:vAlign w:val="center"/>
          </w:tcPr>
          <w:p w14:paraId="7118A609">
            <w:pPr>
              <w:widowControl/>
              <w:jc w:val="left"/>
              <w:rPr>
                <w:rFonts w:ascii="宋体" w:hAnsi="宋体" w:cs="Arial"/>
                <w:kern w:val="0"/>
                <w:sz w:val="24"/>
              </w:rPr>
            </w:pP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59A6AD77">
            <w:pPr>
              <w:widowControl/>
              <w:jc w:val="left"/>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6A59945B">
            <w:pPr>
              <w:widowControl/>
              <w:snapToGrid w:val="0"/>
              <w:spacing w:line="360" w:lineRule="auto"/>
              <w:jc w:val="center"/>
              <w:rPr>
                <w:rFonts w:ascii="宋体" w:hAnsi="宋体" w:cs="Arial"/>
                <w:kern w:val="0"/>
                <w:sz w:val="24"/>
              </w:rPr>
            </w:pPr>
            <w:r>
              <w:rPr>
                <w:rFonts w:hint="eastAsia" w:ascii="宋体" w:hAnsi="宋体" w:cs="Arial"/>
                <w:kern w:val="0"/>
                <w:sz w:val="24"/>
              </w:rPr>
              <w:t>单价</w:t>
            </w:r>
          </w:p>
        </w:tc>
        <w:tc>
          <w:tcPr>
            <w:tcW w:w="1072" w:type="dxa"/>
            <w:tcBorders>
              <w:top w:val="single" w:color="auto" w:sz="4" w:space="0"/>
              <w:left w:val="single" w:color="auto" w:sz="4" w:space="0"/>
              <w:bottom w:val="single" w:color="auto" w:sz="4" w:space="0"/>
              <w:right w:val="single" w:color="auto" w:sz="4" w:space="0"/>
            </w:tcBorders>
            <w:vAlign w:val="center"/>
          </w:tcPr>
          <w:p w14:paraId="099D5701">
            <w:pPr>
              <w:widowControl/>
              <w:snapToGrid w:val="0"/>
              <w:spacing w:line="360" w:lineRule="auto"/>
              <w:jc w:val="center"/>
              <w:rPr>
                <w:rFonts w:ascii="宋体" w:hAnsi="宋体" w:cs="Arial"/>
                <w:kern w:val="0"/>
                <w:sz w:val="24"/>
              </w:rPr>
            </w:pPr>
            <w:r>
              <w:rPr>
                <w:rFonts w:hint="eastAsia" w:ascii="宋体" w:hAnsi="宋体" w:cs="Arial"/>
                <w:kern w:val="0"/>
                <w:sz w:val="24"/>
              </w:rPr>
              <w:t>合价</w:t>
            </w:r>
          </w:p>
        </w:tc>
      </w:tr>
      <w:tr w14:paraId="3B3D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77F45534">
            <w:pPr>
              <w:widowControl/>
              <w:snapToGrid w:val="0"/>
              <w:spacing w:line="360" w:lineRule="auto"/>
              <w:jc w:val="center"/>
              <w:rPr>
                <w:rFonts w:ascii="宋体" w:hAnsi="宋体" w:cs="Arial"/>
                <w:kern w:val="0"/>
                <w:sz w:val="24"/>
              </w:rPr>
            </w:pPr>
            <w:r>
              <w:rPr>
                <w:rFonts w:hint="eastAsia" w:ascii="宋体" w:hAnsi="宋体" w:cs="Arial"/>
                <w:kern w:val="0"/>
                <w:sz w:val="24"/>
              </w:rPr>
              <w:t>1</w:t>
            </w:r>
          </w:p>
        </w:tc>
        <w:tc>
          <w:tcPr>
            <w:tcW w:w="881" w:type="dxa"/>
            <w:tcBorders>
              <w:top w:val="single" w:color="auto" w:sz="4" w:space="0"/>
              <w:left w:val="single" w:color="auto" w:sz="4" w:space="0"/>
              <w:bottom w:val="single" w:color="auto" w:sz="4" w:space="0"/>
              <w:right w:val="single" w:color="auto" w:sz="4" w:space="0"/>
            </w:tcBorders>
            <w:vAlign w:val="center"/>
          </w:tcPr>
          <w:p w14:paraId="73759BE8">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01EB0267">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2FC7EB48">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vAlign w:val="center"/>
          </w:tcPr>
          <w:p w14:paraId="2399F609">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vAlign w:val="center"/>
          </w:tcPr>
          <w:p w14:paraId="64808FAF">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vAlign w:val="center"/>
          </w:tcPr>
          <w:p w14:paraId="3315134D">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4A924BEF">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6977FD4B">
            <w:pPr>
              <w:widowControl/>
              <w:snapToGrid w:val="0"/>
              <w:spacing w:line="360" w:lineRule="auto"/>
              <w:jc w:val="center"/>
              <w:rPr>
                <w:rFonts w:ascii="宋体" w:hAnsi="宋体" w:cs="Arial"/>
                <w:kern w:val="0"/>
                <w:sz w:val="24"/>
              </w:rPr>
            </w:pPr>
          </w:p>
        </w:tc>
      </w:tr>
      <w:tr w14:paraId="3728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3063E4B5">
            <w:pPr>
              <w:widowControl/>
              <w:snapToGrid w:val="0"/>
              <w:spacing w:line="360" w:lineRule="auto"/>
              <w:jc w:val="center"/>
              <w:rPr>
                <w:rFonts w:ascii="宋体" w:hAnsi="宋体" w:cs="Arial"/>
                <w:kern w:val="0"/>
                <w:sz w:val="24"/>
              </w:rPr>
            </w:pPr>
            <w:r>
              <w:rPr>
                <w:rFonts w:hint="eastAsia" w:ascii="宋体" w:hAnsi="宋体" w:cs="Arial"/>
                <w:kern w:val="0"/>
                <w:sz w:val="24"/>
              </w:rPr>
              <w:t>2</w:t>
            </w:r>
          </w:p>
        </w:tc>
        <w:tc>
          <w:tcPr>
            <w:tcW w:w="881" w:type="dxa"/>
            <w:tcBorders>
              <w:top w:val="single" w:color="auto" w:sz="4" w:space="0"/>
              <w:left w:val="single" w:color="auto" w:sz="4" w:space="0"/>
              <w:bottom w:val="single" w:color="auto" w:sz="4" w:space="0"/>
              <w:right w:val="single" w:color="auto" w:sz="4" w:space="0"/>
            </w:tcBorders>
            <w:vAlign w:val="center"/>
          </w:tcPr>
          <w:p w14:paraId="0349B10D">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3D19E32A">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252C98E1">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vAlign w:val="center"/>
          </w:tcPr>
          <w:p w14:paraId="3AF1B952">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vAlign w:val="center"/>
          </w:tcPr>
          <w:p w14:paraId="665F4080">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vAlign w:val="center"/>
          </w:tcPr>
          <w:p w14:paraId="6F3A53CD">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2BADCF7E">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45FDDD87">
            <w:pPr>
              <w:widowControl/>
              <w:snapToGrid w:val="0"/>
              <w:spacing w:line="360" w:lineRule="auto"/>
              <w:jc w:val="center"/>
              <w:rPr>
                <w:rFonts w:ascii="宋体" w:hAnsi="宋体" w:cs="Arial"/>
                <w:kern w:val="0"/>
                <w:sz w:val="24"/>
              </w:rPr>
            </w:pPr>
          </w:p>
        </w:tc>
      </w:tr>
      <w:tr w14:paraId="58D4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24CB8013">
            <w:pPr>
              <w:widowControl/>
              <w:snapToGrid w:val="0"/>
              <w:spacing w:line="360" w:lineRule="auto"/>
              <w:jc w:val="center"/>
              <w:rPr>
                <w:rFonts w:ascii="宋体" w:hAnsi="宋体" w:cs="Arial"/>
                <w:kern w:val="0"/>
                <w:sz w:val="24"/>
              </w:rPr>
            </w:pPr>
            <w:r>
              <w:rPr>
                <w:rFonts w:hint="eastAsia" w:ascii="宋体" w:hAnsi="宋体" w:cs="Arial"/>
                <w:kern w:val="0"/>
                <w:sz w:val="24"/>
              </w:rPr>
              <w:t>3</w:t>
            </w:r>
          </w:p>
        </w:tc>
        <w:tc>
          <w:tcPr>
            <w:tcW w:w="881" w:type="dxa"/>
            <w:tcBorders>
              <w:top w:val="single" w:color="auto" w:sz="4" w:space="0"/>
              <w:left w:val="single" w:color="auto" w:sz="4" w:space="0"/>
              <w:bottom w:val="single" w:color="auto" w:sz="4" w:space="0"/>
              <w:right w:val="single" w:color="auto" w:sz="4" w:space="0"/>
            </w:tcBorders>
            <w:vAlign w:val="center"/>
          </w:tcPr>
          <w:p w14:paraId="2DFD1E70">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628577BE">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354F91AF">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vAlign w:val="center"/>
          </w:tcPr>
          <w:p w14:paraId="4894C25C">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vAlign w:val="center"/>
          </w:tcPr>
          <w:p w14:paraId="0DF130D2">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vAlign w:val="center"/>
          </w:tcPr>
          <w:p w14:paraId="78EAA341">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5C85F2F1">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19C5EAFC">
            <w:pPr>
              <w:widowControl/>
              <w:snapToGrid w:val="0"/>
              <w:spacing w:line="360" w:lineRule="auto"/>
              <w:jc w:val="center"/>
              <w:rPr>
                <w:rFonts w:ascii="宋体" w:hAnsi="宋体" w:cs="Arial"/>
                <w:kern w:val="0"/>
                <w:sz w:val="24"/>
              </w:rPr>
            </w:pPr>
          </w:p>
        </w:tc>
      </w:tr>
      <w:tr w14:paraId="0909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6A6A4A64">
            <w:pPr>
              <w:widowControl/>
              <w:snapToGrid w:val="0"/>
              <w:spacing w:line="360" w:lineRule="auto"/>
              <w:jc w:val="center"/>
              <w:rPr>
                <w:rFonts w:ascii="宋体" w:hAnsi="宋体" w:cs="Arial"/>
                <w:kern w:val="0"/>
                <w:sz w:val="24"/>
              </w:rPr>
            </w:pPr>
            <w:r>
              <w:rPr>
                <w:rFonts w:hint="eastAsia" w:ascii="宋体" w:hAnsi="宋体" w:cs="Arial"/>
                <w:kern w:val="0"/>
                <w:sz w:val="24"/>
              </w:rPr>
              <w:t>4</w:t>
            </w:r>
          </w:p>
        </w:tc>
        <w:tc>
          <w:tcPr>
            <w:tcW w:w="881" w:type="dxa"/>
            <w:tcBorders>
              <w:top w:val="single" w:color="auto" w:sz="4" w:space="0"/>
              <w:left w:val="single" w:color="auto" w:sz="4" w:space="0"/>
              <w:bottom w:val="single" w:color="auto" w:sz="4" w:space="0"/>
              <w:right w:val="single" w:color="auto" w:sz="4" w:space="0"/>
            </w:tcBorders>
            <w:vAlign w:val="center"/>
          </w:tcPr>
          <w:p w14:paraId="0AB4DC83">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577C3C92">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542C829B">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vAlign w:val="center"/>
          </w:tcPr>
          <w:p w14:paraId="4A9B5EC8">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vAlign w:val="center"/>
          </w:tcPr>
          <w:p w14:paraId="458FFCC4">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vAlign w:val="center"/>
          </w:tcPr>
          <w:p w14:paraId="3FE0CA70">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2DC2FF5C">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2CCB29A4">
            <w:pPr>
              <w:widowControl/>
              <w:snapToGrid w:val="0"/>
              <w:spacing w:line="360" w:lineRule="auto"/>
              <w:jc w:val="center"/>
              <w:rPr>
                <w:rFonts w:ascii="宋体" w:hAnsi="宋体" w:cs="Arial"/>
                <w:kern w:val="0"/>
                <w:sz w:val="24"/>
              </w:rPr>
            </w:pPr>
          </w:p>
        </w:tc>
      </w:tr>
      <w:tr w14:paraId="5B3E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42392C3F">
            <w:pPr>
              <w:widowControl/>
              <w:snapToGrid w:val="0"/>
              <w:spacing w:line="360" w:lineRule="auto"/>
              <w:jc w:val="center"/>
              <w:rPr>
                <w:rFonts w:ascii="宋体" w:hAnsi="宋体" w:cs="Arial"/>
                <w:kern w:val="0"/>
                <w:sz w:val="24"/>
              </w:rPr>
            </w:pPr>
            <w:r>
              <w:rPr>
                <w:rFonts w:hint="eastAsia" w:ascii="宋体" w:hAnsi="宋体" w:cs="Arial"/>
                <w:kern w:val="0"/>
                <w:sz w:val="24"/>
              </w:rPr>
              <w:t>5</w:t>
            </w:r>
          </w:p>
        </w:tc>
        <w:tc>
          <w:tcPr>
            <w:tcW w:w="881" w:type="dxa"/>
            <w:tcBorders>
              <w:top w:val="single" w:color="auto" w:sz="4" w:space="0"/>
              <w:left w:val="single" w:color="auto" w:sz="4" w:space="0"/>
              <w:bottom w:val="single" w:color="auto" w:sz="4" w:space="0"/>
              <w:right w:val="single" w:color="auto" w:sz="4" w:space="0"/>
            </w:tcBorders>
            <w:vAlign w:val="center"/>
          </w:tcPr>
          <w:p w14:paraId="26634574">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496C4171">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59175EC5">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vAlign w:val="center"/>
          </w:tcPr>
          <w:p w14:paraId="709B99C9">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vAlign w:val="center"/>
          </w:tcPr>
          <w:p w14:paraId="1C679547">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vAlign w:val="center"/>
          </w:tcPr>
          <w:p w14:paraId="4CD695F1">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5F430D86">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2A6AB8C1">
            <w:pPr>
              <w:widowControl/>
              <w:snapToGrid w:val="0"/>
              <w:spacing w:line="360" w:lineRule="auto"/>
              <w:jc w:val="center"/>
              <w:rPr>
                <w:rFonts w:ascii="宋体" w:hAnsi="宋体" w:cs="Arial"/>
                <w:kern w:val="0"/>
                <w:sz w:val="24"/>
              </w:rPr>
            </w:pPr>
          </w:p>
        </w:tc>
      </w:tr>
      <w:tr w14:paraId="4866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14:paraId="09BD6828">
            <w:pPr>
              <w:widowControl/>
              <w:snapToGrid w:val="0"/>
              <w:spacing w:line="360" w:lineRule="auto"/>
              <w:jc w:val="center"/>
              <w:rPr>
                <w:rFonts w:ascii="宋体" w:hAnsi="宋体" w:cs="Arial"/>
                <w:kern w:val="0"/>
                <w:sz w:val="24"/>
              </w:rPr>
            </w:pPr>
            <w:r>
              <w:rPr>
                <w:rFonts w:hint="eastAsia" w:ascii="宋体" w:hAnsi="宋体" w:cs="Arial"/>
                <w:kern w:val="0"/>
                <w:sz w:val="24"/>
              </w:rPr>
              <w:t>……</w:t>
            </w:r>
          </w:p>
        </w:tc>
        <w:tc>
          <w:tcPr>
            <w:tcW w:w="881" w:type="dxa"/>
            <w:tcBorders>
              <w:top w:val="single" w:color="auto" w:sz="4" w:space="0"/>
              <w:left w:val="single" w:color="auto" w:sz="4" w:space="0"/>
              <w:bottom w:val="single" w:color="auto" w:sz="4" w:space="0"/>
              <w:right w:val="single" w:color="auto" w:sz="4" w:space="0"/>
            </w:tcBorders>
            <w:vAlign w:val="center"/>
          </w:tcPr>
          <w:p w14:paraId="425177D6">
            <w:pPr>
              <w:widowControl/>
              <w:snapToGrid w:val="0"/>
              <w:spacing w:line="360" w:lineRule="auto"/>
              <w:jc w:val="center"/>
              <w:rPr>
                <w:rFonts w:ascii="宋体" w:hAnsi="宋体" w:cs="Arial"/>
                <w:b/>
                <w:bCs/>
                <w:kern w:val="0"/>
                <w:sz w:val="24"/>
              </w:rPr>
            </w:pPr>
          </w:p>
        </w:tc>
        <w:tc>
          <w:tcPr>
            <w:tcW w:w="780" w:type="dxa"/>
            <w:tcBorders>
              <w:top w:val="single" w:color="auto" w:sz="4" w:space="0"/>
              <w:left w:val="single" w:color="auto" w:sz="4" w:space="0"/>
              <w:bottom w:val="single" w:color="auto" w:sz="4" w:space="0"/>
              <w:right w:val="single" w:color="auto" w:sz="4" w:space="0"/>
            </w:tcBorders>
            <w:vAlign w:val="center"/>
          </w:tcPr>
          <w:p w14:paraId="4A6F1426">
            <w:pPr>
              <w:widowControl/>
              <w:snapToGrid w:val="0"/>
              <w:spacing w:line="360" w:lineRule="auto"/>
              <w:jc w:val="center"/>
              <w:rPr>
                <w:rFonts w:ascii="宋体" w:hAnsi="宋体" w:cs="Arial"/>
                <w:kern w:val="0"/>
                <w:sz w:val="24"/>
              </w:rPr>
            </w:pPr>
          </w:p>
        </w:tc>
        <w:tc>
          <w:tcPr>
            <w:tcW w:w="1337" w:type="dxa"/>
            <w:tcBorders>
              <w:top w:val="single" w:color="auto" w:sz="4" w:space="0"/>
              <w:left w:val="single" w:color="auto" w:sz="4" w:space="0"/>
              <w:bottom w:val="single" w:color="auto" w:sz="4" w:space="0"/>
              <w:right w:val="single" w:color="auto" w:sz="4" w:space="0"/>
            </w:tcBorders>
            <w:vAlign w:val="center"/>
          </w:tcPr>
          <w:p w14:paraId="2264D39E">
            <w:pPr>
              <w:widowControl/>
              <w:snapToGrid w:val="0"/>
              <w:spacing w:line="360" w:lineRule="auto"/>
              <w:jc w:val="center"/>
              <w:rPr>
                <w:rFonts w:ascii="宋体" w:hAnsi="宋体" w:cs="Arial"/>
                <w:kern w:val="0"/>
                <w:sz w:val="24"/>
              </w:rPr>
            </w:pPr>
          </w:p>
        </w:tc>
        <w:tc>
          <w:tcPr>
            <w:tcW w:w="1799" w:type="dxa"/>
            <w:tcBorders>
              <w:top w:val="single" w:color="auto" w:sz="4" w:space="0"/>
              <w:left w:val="single" w:color="auto" w:sz="4" w:space="0"/>
              <w:bottom w:val="single" w:color="auto" w:sz="4" w:space="0"/>
              <w:right w:val="single" w:color="auto" w:sz="4" w:space="0"/>
            </w:tcBorders>
            <w:vAlign w:val="center"/>
          </w:tcPr>
          <w:p w14:paraId="111717C3">
            <w:pPr>
              <w:widowControl/>
              <w:snapToGrid w:val="0"/>
              <w:spacing w:line="360" w:lineRule="auto"/>
              <w:jc w:val="center"/>
              <w:rPr>
                <w:rFonts w:ascii="宋体" w:hAnsi="宋体" w:cs="Arial"/>
                <w:kern w:val="0"/>
                <w:sz w:val="24"/>
              </w:rPr>
            </w:pPr>
          </w:p>
        </w:tc>
        <w:tc>
          <w:tcPr>
            <w:tcW w:w="613" w:type="dxa"/>
            <w:tcBorders>
              <w:top w:val="single" w:color="auto" w:sz="4" w:space="0"/>
              <w:left w:val="single" w:color="auto" w:sz="4" w:space="0"/>
              <w:bottom w:val="single" w:color="auto" w:sz="4" w:space="0"/>
              <w:right w:val="single" w:color="auto" w:sz="4" w:space="0"/>
            </w:tcBorders>
            <w:vAlign w:val="center"/>
          </w:tcPr>
          <w:p w14:paraId="3DF752A1">
            <w:pPr>
              <w:widowControl/>
              <w:snapToGrid w:val="0"/>
              <w:spacing w:line="360" w:lineRule="auto"/>
              <w:jc w:val="center"/>
              <w:rPr>
                <w:rFonts w:ascii="宋体" w:hAnsi="宋体" w:cs="Arial"/>
                <w:kern w:val="0"/>
                <w:sz w:val="24"/>
              </w:rPr>
            </w:pPr>
          </w:p>
        </w:tc>
        <w:tc>
          <w:tcPr>
            <w:tcW w:w="618" w:type="dxa"/>
            <w:tcBorders>
              <w:top w:val="single" w:color="auto" w:sz="4" w:space="0"/>
              <w:left w:val="single" w:color="auto" w:sz="4" w:space="0"/>
              <w:bottom w:val="single" w:color="auto" w:sz="4" w:space="0"/>
              <w:right w:val="single" w:color="auto" w:sz="4" w:space="0"/>
            </w:tcBorders>
            <w:vAlign w:val="center"/>
          </w:tcPr>
          <w:p w14:paraId="5429CC92">
            <w:pPr>
              <w:widowControl/>
              <w:snapToGrid w:val="0"/>
              <w:spacing w:line="360" w:lineRule="auto"/>
              <w:jc w:val="center"/>
              <w:rPr>
                <w:rFonts w:ascii="宋体" w:hAnsi="宋体" w:cs="Arial"/>
                <w:kern w:val="0"/>
                <w:sz w:val="24"/>
              </w:rPr>
            </w:pPr>
          </w:p>
        </w:tc>
        <w:tc>
          <w:tcPr>
            <w:tcW w:w="919" w:type="dxa"/>
            <w:tcBorders>
              <w:top w:val="single" w:color="auto" w:sz="4" w:space="0"/>
              <w:left w:val="single" w:color="auto" w:sz="4" w:space="0"/>
              <w:bottom w:val="single" w:color="auto" w:sz="4" w:space="0"/>
              <w:right w:val="single" w:color="auto" w:sz="4" w:space="0"/>
            </w:tcBorders>
            <w:vAlign w:val="center"/>
          </w:tcPr>
          <w:p w14:paraId="6299CDF6">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417F36CD">
            <w:pPr>
              <w:widowControl/>
              <w:snapToGrid w:val="0"/>
              <w:spacing w:line="360" w:lineRule="auto"/>
              <w:jc w:val="center"/>
              <w:rPr>
                <w:rFonts w:ascii="宋体" w:hAnsi="宋体" w:cs="Arial"/>
                <w:kern w:val="0"/>
                <w:sz w:val="24"/>
              </w:rPr>
            </w:pPr>
          </w:p>
        </w:tc>
      </w:tr>
      <w:tr w14:paraId="03AF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97" w:type="dxa"/>
            <w:gridSpan w:val="7"/>
            <w:tcBorders>
              <w:top w:val="single" w:color="auto" w:sz="4" w:space="0"/>
              <w:left w:val="single" w:color="auto" w:sz="4" w:space="0"/>
              <w:bottom w:val="single" w:color="auto" w:sz="4" w:space="0"/>
              <w:right w:val="single" w:color="auto" w:sz="4" w:space="0"/>
            </w:tcBorders>
            <w:vAlign w:val="center"/>
          </w:tcPr>
          <w:p w14:paraId="1207EDDE">
            <w:pPr>
              <w:widowControl/>
              <w:snapToGrid w:val="0"/>
              <w:spacing w:line="360" w:lineRule="auto"/>
              <w:jc w:val="center"/>
              <w:rPr>
                <w:rFonts w:ascii="宋体" w:hAnsi="宋体" w:cs="Arial"/>
                <w:kern w:val="0"/>
                <w:sz w:val="24"/>
              </w:rPr>
            </w:pPr>
            <w:r>
              <w:rPr>
                <w:rFonts w:hint="eastAsia" w:ascii="宋体" w:hAnsi="宋体" w:cs="Arial"/>
                <w:kern w:val="0"/>
                <w:sz w:val="24"/>
              </w:rPr>
              <w:t>合     计</w:t>
            </w:r>
          </w:p>
        </w:tc>
        <w:tc>
          <w:tcPr>
            <w:tcW w:w="919" w:type="dxa"/>
            <w:tcBorders>
              <w:top w:val="single" w:color="auto" w:sz="4" w:space="0"/>
              <w:left w:val="single" w:color="auto" w:sz="4" w:space="0"/>
              <w:bottom w:val="single" w:color="auto" w:sz="4" w:space="0"/>
              <w:right w:val="single" w:color="auto" w:sz="4" w:space="0"/>
            </w:tcBorders>
            <w:vAlign w:val="center"/>
          </w:tcPr>
          <w:p w14:paraId="553D267A">
            <w:pPr>
              <w:widowControl/>
              <w:snapToGrid w:val="0"/>
              <w:spacing w:line="360" w:lineRule="auto"/>
              <w:jc w:val="center"/>
              <w:rPr>
                <w:rFonts w:ascii="宋体" w:hAnsi="宋体" w:cs="Arial"/>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25FA0571">
            <w:pPr>
              <w:widowControl/>
              <w:snapToGrid w:val="0"/>
              <w:spacing w:line="360" w:lineRule="auto"/>
              <w:jc w:val="center"/>
              <w:rPr>
                <w:rFonts w:ascii="宋体" w:hAnsi="宋体" w:cs="Arial"/>
                <w:kern w:val="0"/>
                <w:sz w:val="24"/>
              </w:rPr>
            </w:pPr>
          </w:p>
        </w:tc>
      </w:tr>
    </w:tbl>
    <w:p w14:paraId="7F14DB03">
      <w:pPr>
        <w:tabs>
          <w:tab w:val="left" w:pos="1800"/>
          <w:tab w:val="left" w:pos="5580"/>
        </w:tabs>
        <w:jc w:val="left"/>
        <w:rPr>
          <w:color w:val="000000"/>
          <w:sz w:val="24"/>
        </w:rPr>
      </w:pPr>
    </w:p>
    <w:p w14:paraId="5E22EDFC">
      <w:pPr>
        <w:autoSpaceDE w:val="0"/>
        <w:autoSpaceDN w:val="0"/>
        <w:adjustRightInd w:val="0"/>
        <w:snapToGrid w:val="0"/>
        <w:spacing w:before="25" w:after="25" w:line="360" w:lineRule="auto"/>
        <w:rPr>
          <w:color w:val="000000"/>
          <w:sz w:val="24"/>
        </w:rPr>
      </w:pPr>
    </w:p>
    <w:p w14:paraId="7D10CBF6">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086DA065">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70AEF843">
      <w:pPr>
        <w:spacing w:line="360" w:lineRule="exact"/>
        <w:rPr>
          <w:rFonts w:ascii="宋体" w:hAnsi="宋体" w:cs="宋体"/>
          <w:color w:val="000000"/>
          <w:szCs w:val="21"/>
        </w:rPr>
      </w:pPr>
      <w:r>
        <w:rPr>
          <w:rFonts w:hint="eastAsia" w:ascii="宋体" w:hAnsi="宋体" w:cs="宋体"/>
          <w:color w:val="000000"/>
          <w:szCs w:val="21"/>
        </w:rPr>
        <w:t>日期：      年  月   日</w:t>
      </w:r>
    </w:p>
    <w:p w14:paraId="03771DAD">
      <w:pPr>
        <w:adjustRightInd w:val="0"/>
        <w:snapToGrid w:val="0"/>
        <w:spacing w:before="312" w:beforeLines="100" w:after="312" w:afterLines="100"/>
        <w:jc w:val="left"/>
        <w:rPr>
          <w:b/>
          <w:i/>
          <w:color w:val="FF0000"/>
          <w:sz w:val="24"/>
        </w:rPr>
      </w:pPr>
    </w:p>
    <w:p w14:paraId="0BBA28BA"/>
    <w:p w14:paraId="7FB927DB">
      <w:r>
        <w:br w:type="page"/>
      </w:r>
    </w:p>
    <w:p w14:paraId="7D3AF6EA"/>
    <w:p w14:paraId="5A1F60AC">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7.偏离表</w:t>
      </w:r>
    </w:p>
    <w:p w14:paraId="00CC9575">
      <w:pPr>
        <w:jc w:val="center"/>
        <w:rPr>
          <w:rFonts w:ascii="宋体" w:hAnsi="宋体" w:cs="宋体"/>
          <w:b/>
          <w:sz w:val="28"/>
          <w:szCs w:val="28"/>
        </w:rPr>
      </w:pPr>
      <w:r>
        <w:rPr>
          <w:rFonts w:hint="eastAsia" w:ascii="宋体" w:hAnsi="宋体" w:cs="宋体"/>
          <w:b/>
          <w:sz w:val="28"/>
          <w:szCs w:val="28"/>
        </w:rPr>
        <w:t>偏 离 表</w:t>
      </w:r>
    </w:p>
    <w:p w14:paraId="438E5D5B">
      <w:pPr>
        <w:ind w:firstLine="420" w:firstLineChars="200"/>
        <w:rPr>
          <w:rFonts w:ascii="宋体" w:hAnsi="宋体" w:cs="宋体"/>
          <w:szCs w:val="21"/>
        </w:rPr>
      </w:pPr>
      <w:r>
        <w:rPr>
          <w:rFonts w:hint="eastAsia" w:ascii="宋体" w:hAnsi="宋体" w:cs="宋体"/>
          <w:szCs w:val="21"/>
        </w:rPr>
        <w:t>供应商应对磋商文件中规定的商务及技术部分给予充分的考虑。为了评审的需要，供应商应将这些条款的异议逐条提出或根据以下要求的格式提出偏离。</w:t>
      </w:r>
    </w:p>
    <w:p w14:paraId="47A03A36">
      <w:pPr>
        <w:ind w:firstLine="420" w:firstLineChars="200"/>
        <w:rPr>
          <w:rFonts w:ascii="宋体" w:hAnsi="宋体" w:cs="宋体"/>
          <w:szCs w:val="21"/>
        </w:rPr>
      </w:pPr>
      <w:r>
        <w:rPr>
          <w:rFonts w:hint="eastAsia" w:ascii="宋体" w:hAnsi="宋体" w:cs="宋体"/>
          <w:szCs w:val="21"/>
        </w:rPr>
        <w:t>如无偏离，请在本页上写“无”，并附在磋商响应文件中。</w:t>
      </w:r>
    </w:p>
    <w:p w14:paraId="68E5F9DD">
      <w:pPr>
        <w:ind w:firstLine="420" w:firstLineChars="200"/>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403B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132" w:type="dxa"/>
            <w:vAlign w:val="center"/>
          </w:tcPr>
          <w:p w14:paraId="59AF81BA">
            <w:pPr>
              <w:jc w:val="center"/>
              <w:rPr>
                <w:rFonts w:ascii="宋体" w:hAnsi="宋体" w:cs="宋体"/>
                <w:szCs w:val="21"/>
              </w:rPr>
            </w:pPr>
            <w:r>
              <w:rPr>
                <w:rFonts w:hint="eastAsia" w:ascii="宋体" w:hAnsi="宋体" w:cs="宋体"/>
                <w:szCs w:val="21"/>
              </w:rPr>
              <w:t>章节号</w:t>
            </w:r>
          </w:p>
        </w:tc>
        <w:tc>
          <w:tcPr>
            <w:tcW w:w="2132" w:type="dxa"/>
            <w:vAlign w:val="center"/>
          </w:tcPr>
          <w:p w14:paraId="3D10B2BC">
            <w:pPr>
              <w:jc w:val="center"/>
              <w:rPr>
                <w:rFonts w:ascii="宋体" w:hAnsi="宋体" w:cs="宋体"/>
                <w:szCs w:val="21"/>
              </w:rPr>
            </w:pPr>
            <w:r>
              <w:rPr>
                <w:rFonts w:hint="eastAsia" w:ascii="宋体" w:hAnsi="宋体" w:cs="宋体"/>
                <w:szCs w:val="21"/>
              </w:rPr>
              <w:t>供应商的偏离</w:t>
            </w:r>
          </w:p>
        </w:tc>
        <w:tc>
          <w:tcPr>
            <w:tcW w:w="3044" w:type="dxa"/>
            <w:vAlign w:val="center"/>
          </w:tcPr>
          <w:p w14:paraId="44A59AEE">
            <w:pPr>
              <w:jc w:val="center"/>
              <w:rPr>
                <w:rFonts w:ascii="宋体" w:hAnsi="宋体" w:cs="宋体"/>
                <w:szCs w:val="21"/>
              </w:rPr>
            </w:pPr>
            <w:r>
              <w:rPr>
                <w:rFonts w:hint="eastAsia" w:ascii="宋体" w:hAnsi="宋体" w:cs="宋体"/>
                <w:szCs w:val="21"/>
              </w:rPr>
              <w:t>供应商偏离的理由</w:t>
            </w:r>
          </w:p>
        </w:tc>
        <w:tc>
          <w:tcPr>
            <w:tcW w:w="1440" w:type="dxa"/>
            <w:vAlign w:val="center"/>
          </w:tcPr>
          <w:p w14:paraId="203584FD">
            <w:pPr>
              <w:jc w:val="center"/>
              <w:rPr>
                <w:rFonts w:ascii="宋体" w:hAnsi="宋体" w:cs="宋体"/>
                <w:szCs w:val="21"/>
              </w:rPr>
            </w:pPr>
            <w:r>
              <w:rPr>
                <w:rFonts w:hint="eastAsia" w:ascii="宋体" w:hAnsi="宋体" w:cs="宋体"/>
                <w:szCs w:val="21"/>
              </w:rPr>
              <w:t>备注</w:t>
            </w:r>
          </w:p>
        </w:tc>
      </w:tr>
      <w:tr w14:paraId="4F0E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4A815AE7">
            <w:pPr>
              <w:rPr>
                <w:rFonts w:ascii="宋体" w:hAnsi="宋体" w:cs="宋体"/>
                <w:szCs w:val="21"/>
              </w:rPr>
            </w:pPr>
          </w:p>
        </w:tc>
        <w:tc>
          <w:tcPr>
            <w:tcW w:w="2132" w:type="dxa"/>
          </w:tcPr>
          <w:p w14:paraId="5F891AD8">
            <w:pPr>
              <w:rPr>
                <w:rFonts w:ascii="宋体" w:hAnsi="宋体" w:cs="宋体"/>
                <w:szCs w:val="21"/>
              </w:rPr>
            </w:pPr>
          </w:p>
        </w:tc>
        <w:tc>
          <w:tcPr>
            <w:tcW w:w="3044" w:type="dxa"/>
          </w:tcPr>
          <w:p w14:paraId="29D7C2E3">
            <w:pPr>
              <w:rPr>
                <w:rFonts w:ascii="宋体" w:hAnsi="宋体" w:cs="宋体"/>
                <w:szCs w:val="21"/>
              </w:rPr>
            </w:pPr>
          </w:p>
        </w:tc>
        <w:tc>
          <w:tcPr>
            <w:tcW w:w="1440" w:type="dxa"/>
          </w:tcPr>
          <w:p w14:paraId="555C3FF4">
            <w:pPr>
              <w:rPr>
                <w:rFonts w:ascii="宋体" w:hAnsi="宋体" w:cs="宋体"/>
                <w:szCs w:val="21"/>
              </w:rPr>
            </w:pPr>
          </w:p>
        </w:tc>
      </w:tr>
      <w:tr w14:paraId="3F0B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15509A6">
            <w:pPr>
              <w:rPr>
                <w:rFonts w:ascii="宋体" w:hAnsi="宋体" w:cs="宋体"/>
                <w:szCs w:val="21"/>
              </w:rPr>
            </w:pPr>
          </w:p>
        </w:tc>
        <w:tc>
          <w:tcPr>
            <w:tcW w:w="2132" w:type="dxa"/>
          </w:tcPr>
          <w:p w14:paraId="66601339">
            <w:pPr>
              <w:rPr>
                <w:rFonts w:ascii="宋体" w:hAnsi="宋体" w:cs="宋体"/>
                <w:szCs w:val="21"/>
              </w:rPr>
            </w:pPr>
          </w:p>
        </w:tc>
        <w:tc>
          <w:tcPr>
            <w:tcW w:w="3044" w:type="dxa"/>
          </w:tcPr>
          <w:p w14:paraId="0ECE5D88">
            <w:pPr>
              <w:rPr>
                <w:rFonts w:ascii="宋体" w:hAnsi="宋体" w:cs="宋体"/>
                <w:szCs w:val="21"/>
              </w:rPr>
            </w:pPr>
          </w:p>
        </w:tc>
        <w:tc>
          <w:tcPr>
            <w:tcW w:w="1440" w:type="dxa"/>
          </w:tcPr>
          <w:p w14:paraId="1DE6EC7F">
            <w:pPr>
              <w:rPr>
                <w:rFonts w:ascii="宋体" w:hAnsi="宋体" w:cs="宋体"/>
                <w:szCs w:val="21"/>
              </w:rPr>
            </w:pPr>
          </w:p>
        </w:tc>
      </w:tr>
      <w:tr w14:paraId="4ADE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7294600">
            <w:pPr>
              <w:rPr>
                <w:rFonts w:ascii="宋体" w:hAnsi="宋体" w:cs="宋体"/>
                <w:szCs w:val="21"/>
              </w:rPr>
            </w:pPr>
          </w:p>
        </w:tc>
        <w:tc>
          <w:tcPr>
            <w:tcW w:w="2132" w:type="dxa"/>
          </w:tcPr>
          <w:p w14:paraId="456F388E">
            <w:pPr>
              <w:rPr>
                <w:rFonts w:ascii="宋体" w:hAnsi="宋体" w:cs="宋体"/>
                <w:szCs w:val="21"/>
              </w:rPr>
            </w:pPr>
          </w:p>
        </w:tc>
        <w:tc>
          <w:tcPr>
            <w:tcW w:w="3044" w:type="dxa"/>
          </w:tcPr>
          <w:p w14:paraId="56D96F29">
            <w:pPr>
              <w:rPr>
                <w:rFonts w:ascii="宋体" w:hAnsi="宋体" w:cs="宋体"/>
                <w:szCs w:val="21"/>
              </w:rPr>
            </w:pPr>
          </w:p>
        </w:tc>
        <w:tc>
          <w:tcPr>
            <w:tcW w:w="1440" w:type="dxa"/>
          </w:tcPr>
          <w:p w14:paraId="6E8A4DFC">
            <w:pPr>
              <w:rPr>
                <w:rFonts w:ascii="宋体" w:hAnsi="宋体" w:cs="宋体"/>
                <w:szCs w:val="21"/>
              </w:rPr>
            </w:pPr>
          </w:p>
        </w:tc>
      </w:tr>
    </w:tbl>
    <w:p w14:paraId="5C49D6F3">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17C80A23">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70399CBB">
      <w:pPr>
        <w:spacing w:line="360" w:lineRule="exact"/>
        <w:rPr>
          <w:rFonts w:ascii="宋体" w:hAnsi="宋体" w:cs="宋体"/>
          <w:color w:val="000000"/>
          <w:szCs w:val="21"/>
        </w:rPr>
      </w:pPr>
      <w:r>
        <w:rPr>
          <w:rFonts w:hint="eastAsia" w:ascii="宋体" w:hAnsi="宋体" w:cs="宋体"/>
          <w:color w:val="000000"/>
          <w:szCs w:val="21"/>
        </w:rPr>
        <w:t>日期：      年  月   日</w:t>
      </w:r>
    </w:p>
    <w:p w14:paraId="6D3E9EBA">
      <w:pPr>
        <w:pStyle w:val="5"/>
        <w:overflowPunct w:val="0"/>
        <w:spacing w:line="500" w:lineRule="exact"/>
        <w:ind w:firstLine="0"/>
        <w:rPr>
          <w:rFonts w:hAnsi="宋体" w:cs="宋体"/>
          <w:b/>
          <w:sz w:val="28"/>
          <w:szCs w:val="28"/>
        </w:rPr>
      </w:pPr>
    </w:p>
    <w:p w14:paraId="165C3BE3">
      <w:pPr>
        <w:pStyle w:val="5"/>
        <w:overflowPunct w:val="0"/>
        <w:spacing w:line="500" w:lineRule="exact"/>
        <w:ind w:firstLine="0"/>
        <w:rPr>
          <w:rFonts w:hAnsi="宋体" w:cs="宋体"/>
          <w:b/>
          <w:sz w:val="28"/>
          <w:szCs w:val="28"/>
        </w:rPr>
      </w:pPr>
    </w:p>
    <w:p w14:paraId="6B721FBF">
      <w:pPr>
        <w:pStyle w:val="2"/>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8.服务承诺书</w:t>
      </w:r>
    </w:p>
    <w:p w14:paraId="1438C9A4">
      <w:pPr>
        <w:jc w:val="center"/>
        <w:rPr>
          <w:rFonts w:ascii="宋体" w:hAnsi="宋体" w:cs="宋体"/>
          <w:b/>
          <w:sz w:val="28"/>
          <w:szCs w:val="28"/>
        </w:rPr>
      </w:pPr>
      <w:r>
        <w:rPr>
          <w:rFonts w:hint="eastAsia" w:ascii="宋体" w:hAnsi="宋体" w:cs="宋体"/>
          <w:b/>
          <w:sz w:val="28"/>
          <w:szCs w:val="28"/>
        </w:rPr>
        <w:t>服务承诺书</w:t>
      </w:r>
    </w:p>
    <w:p w14:paraId="619C57BE">
      <w:pPr>
        <w:spacing w:line="360" w:lineRule="auto"/>
        <w:rPr>
          <w:rFonts w:ascii="宋体" w:hAnsi="宋体" w:cs="宋体"/>
          <w:sz w:val="24"/>
          <w:szCs w:val="24"/>
        </w:rPr>
      </w:pPr>
    </w:p>
    <w:p w14:paraId="45DEF295">
      <w:pPr>
        <w:spacing w:line="360" w:lineRule="auto"/>
        <w:rPr>
          <w:rFonts w:ascii="宋体" w:hAnsi="宋体" w:cs="宋体"/>
          <w:sz w:val="24"/>
          <w:szCs w:val="24"/>
        </w:rPr>
      </w:pPr>
      <w:r>
        <w:rPr>
          <w:rFonts w:hint="eastAsia" w:ascii="宋体" w:hAnsi="宋体" w:cs="宋体"/>
          <w:sz w:val="24"/>
          <w:szCs w:val="24"/>
        </w:rPr>
        <w:t>服务承诺如下：</w:t>
      </w:r>
    </w:p>
    <w:p w14:paraId="150D20D0">
      <w:pPr>
        <w:spacing w:line="360" w:lineRule="auto"/>
        <w:rPr>
          <w:rFonts w:ascii="宋体" w:hAnsi="宋体" w:cs="宋体"/>
          <w:sz w:val="24"/>
          <w:szCs w:val="24"/>
        </w:rPr>
      </w:pPr>
    </w:p>
    <w:p w14:paraId="33B08782">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14:paraId="164B45B2">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60BD6B5E">
      <w:pPr>
        <w:spacing w:line="360" w:lineRule="exact"/>
        <w:rPr>
          <w:rFonts w:ascii="宋体" w:hAnsi="宋体" w:cs="宋体"/>
          <w:sz w:val="24"/>
          <w:szCs w:val="24"/>
        </w:rPr>
      </w:pPr>
      <w:r>
        <w:rPr>
          <w:rFonts w:hint="eastAsia" w:ascii="宋体" w:hAnsi="宋体" w:cs="宋体"/>
          <w:color w:val="000000"/>
          <w:szCs w:val="21"/>
        </w:rPr>
        <w:t>日期：      年  月   日</w:t>
      </w:r>
    </w:p>
    <w:p w14:paraId="5DCCEDB5">
      <w:pPr>
        <w:rPr>
          <w:rFonts w:ascii="宋体" w:hAnsi="宋体" w:cs="宋体"/>
          <w:sz w:val="24"/>
          <w:szCs w:val="24"/>
        </w:rPr>
      </w:pPr>
    </w:p>
    <w:p w14:paraId="19C81C90">
      <w:pPr>
        <w:widowControl/>
        <w:spacing w:line="360" w:lineRule="atLeast"/>
        <w:jc w:val="left"/>
        <w:rPr>
          <w:rFonts w:ascii="宋体" w:hAnsi="宋体" w:cs="宋体"/>
          <w:bCs/>
          <w:szCs w:val="21"/>
        </w:rPr>
      </w:pPr>
    </w:p>
    <w:p w14:paraId="2CFC71B1">
      <w:pPr>
        <w:widowControl/>
        <w:spacing w:line="360" w:lineRule="atLeast"/>
        <w:jc w:val="left"/>
        <w:rPr>
          <w:rFonts w:ascii="宋体" w:hAnsi="宋体" w:cs="宋体"/>
          <w:bCs/>
          <w:szCs w:val="21"/>
        </w:rPr>
      </w:pPr>
    </w:p>
    <w:p w14:paraId="6BA261AC">
      <w:pPr>
        <w:widowControl/>
        <w:spacing w:line="360" w:lineRule="atLeast"/>
        <w:jc w:val="left"/>
        <w:rPr>
          <w:rFonts w:ascii="宋体" w:hAnsi="宋体" w:cs="宋体"/>
          <w:bCs/>
          <w:szCs w:val="21"/>
        </w:rPr>
      </w:pPr>
    </w:p>
    <w:p w14:paraId="4F8A0389">
      <w:pPr>
        <w:widowControl/>
        <w:spacing w:line="360" w:lineRule="atLeast"/>
        <w:jc w:val="left"/>
        <w:rPr>
          <w:rFonts w:ascii="宋体" w:hAnsi="宋体" w:cs="宋体"/>
          <w:bCs/>
          <w:szCs w:val="21"/>
        </w:rPr>
      </w:pPr>
    </w:p>
    <w:p w14:paraId="7CB688F1">
      <w:pPr>
        <w:widowControl/>
        <w:spacing w:line="360" w:lineRule="atLeast"/>
        <w:jc w:val="left"/>
        <w:rPr>
          <w:rFonts w:ascii="宋体" w:hAnsi="宋体" w:cs="宋体"/>
          <w:bCs/>
          <w:szCs w:val="21"/>
        </w:rPr>
      </w:pPr>
    </w:p>
    <w:p w14:paraId="01B06E28">
      <w:pPr>
        <w:widowControl/>
        <w:spacing w:line="360" w:lineRule="atLeast"/>
        <w:jc w:val="center"/>
        <w:rPr>
          <w:rFonts w:ascii="宋体" w:hAnsi="宋体" w:cs="宋体"/>
          <w:bCs/>
          <w:szCs w:val="21"/>
        </w:rPr>
      </w:pPr>
      <w:r>
        <w:rPr>
          <w:rFonts w:hint="eastAsia" w:ascii="宋体" w:hAnsi="宋体" w:cs="宋体"/>
          <w:bCs/>
          <w:szCs w:val="21"/>
        </w:rPr>
        <w:t>本磋商文件的最终解释权归常州市城投建设工程招标有限公司所有。</w:t>
      </w:r>
    </w:p>
    <w:p w14:paraId="687E9785">
      <w:pPr>
        <w:widowControl/>
        <w:spacing w:line="360" w:lineRule="atLeast"/>
        <w:jc w:val="center"/>
        <w:rPr>
          <w:rFonts w:ascii="宋体" w:hAnsi="宋体" w:cs="宋体"/>
        </w:rPr>
      </w:pPr>
      <w:r>
        <w:rPr>
          <w:rFonts w:hint="eastAsia" w:ascii="宋体" w:hAnsi="宋体" w:cs="宋体"/>
          <w:b/>
          <w:sz w:val="32"/>
        </w:rPr>
        <w:t>（全文完）</w:t>
      </w:r>
    </w:p>
    <w:sectPr>
      <w:headerReference r:id="rId8" w:type="first"/>
      <w:headerReference r:id="rId7" w:type="even"/>
      <w:footerReference r:id="rId9"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entury">
    <w:altName w:val="Nyala"/>
    <w:panose1 w:val="02040603050705020303"/>
    <w:charset w:val="00"/>
    <w:family w:val="roman"/>
    <w:pitch w:val="default"/>
    <w:sig w:usb0="00000000"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1B462">
    <w:pPr>
      <w:pStyle w:val="15"/>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5</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31</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3E739">
    <w:pPr>
      <w:pStyle w:val="15"/>
      <w:framePr w:wrap="around" w:vAnchor="text" w:hAnchor="margin" w:xAlign="outside" w:y="1"/>
      <w:rPr>
        <w:rStyle w:val="52"/>
      </w:rPr>
    </w:pPr>
    <w:r>
      <w:fldChar w:fldCharType="begin"/>
    </w:r>
    <w:r>
      <w:rPr>
        <w:rStyle w:val="52"/>
      </w:rPr>
      <w:instrText xml:space="preserve">PAGE  </w:instrText>
    </w:r>
    <w:r>
      <w:fldChar w:fldCharType="end"/>
    </w:r>
  </w:p>
  <w:p w14:paraId="658A3997">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A6A9">
    <w:pPr>
      <w:pStyle w:val="16"/>
      <w:tabs>
        <w:tab w:val="right" w:pos="8306"/>
        <w:tab w:val="clear" w:pos="8307"/>
      </w:tabs>
      <w:jc w:val="right"/>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7" name="WordPictureWatermark638813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6388133"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r>
      <w:t>常州市城投建设工程招标有限公司</w:t>
    </w:r>
    <w:r>
      <w:rPr>
        <w:rFonts w:hint="eastAsia"/>
      </w:rPr>
      <w:t>竞争性磋商</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3C9E">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6" name="WordPictureWatermark638813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6388132"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F396">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 name="WordPictureWatermark638813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1"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B7E55">
    <w:pPr>
      <w:pStyle w:val="1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401310" cy="5401310"/>
          <wp:effectExtent l="0" t="0" r="8890" b="8890"/>
          <wp:wrapNone/>
          <wp:docPr id="2"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42BD6">
    <w:pPr>
      <w:pStyle w:val="1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8890" b="8890"/>
          <wp:wrapNone/>
          <wp:docPr id="3"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07ACD"/>
    <w:multiLevelType w:val="singleLevel"/>
    <w:tmpl w:val="BC707ACD"/>
    <w:lvl w:ilvl="0" w:tentative="0">
      <w:start w:val="2"/>
      <w:numFmt w:val="chineseCounting"/>
      <w:suff w:val="nothing"/>
      <w:lvlText w:val="%1、"/>
      <w:lvlJc w:val="left"/>
      <w:rPr>
        <w:rFonts w:hint="eastAsia"/>
      </w:rPr>
    </w:lvl>
  </w:abstractNum>
  <w:abstractNum w:abstractNumId="1">
    <w:nsid w:val="44B62C1B"/>
    <w:multiLevelType w:val="multilevel"/>
    <w:tmpl w:val="44B62C1B"/>
    <w:lvl w:ilvl="0" w:tentative="0">
      <w:start w:val="2"/>
      <w:numFmt w:val="japaneseCounting"/>
      <w:lvlText w:val="%1、"/>
      <w:lvlJc w:val="left"/>
      <w:pPr>
        <w:ind w:left="872" w:hanging="450"/>
      </w:pPr>
      <w:rPr>
        <w:rFonts w:hint="default"/>
        <w:b/>
        <w:sz w:val="21"/>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CE"/>
    <w:rsid w:val="0000020E"/>
    <w:rsid w:val="0000087D"/>
    <w:rsid w:val="000062CC"/>
    <w:rsid w:val="0000798A"/>
    <w:rsid w:val="0001056E"/>
    <w:rsid w:val="00010F5E"/>
    <w:rsid w:val="00011BA4"/>
    <w:rsid w:val="00011D53"/>
    <w:rsid w:val="00013E93"/>
    <w:rsid w:val="0001465B"/>
    <w:rsid w:val="00014697"/>
    <w:rsid w:val="00015726"/>
    <w:rsid w:val="00016174"/>
    <w:rsid w:val="00021A28"/>
    <w:rsid w:val="000223FC"/>
    <w:rsid w:val="000237EB"/>
    <w:rsid w:val="00025AD8"/>
    <w:rsid w:val="00026B65"/>
    <w:rsid w:val="00027113"/>
    <w:rsid w:val="000309E8"/>
    <w:rsid w:val="000312B3"/>
    <w:rsid w:val="000400AF"/>
    <w:rsid w:val="000401EB"/>
    <w:rsid w:val="0004175C"/>
    <w:rsid w:val="00043F2D"/>
    <w:rsid w:val="00052763"/>
    <w:rsid w:val="0005295F"/>
    <w:rsid w:val="00052D7C"/>
    <w:rsid w:val="000530A2"/>
    <w:rsid w:val="00054DD8"/>
    <w:rsid w:val="0005783A"/>
    <w:rsid w:val="0006059F"/>
    <w:rsid w:val="00060771"/>
    <w:rsid w:val="00061F14"/>
    <w:rsid w:val="00074403"/>
    <w:rsid w:val="00074642"/>
    <w:rsid w:val="00074A8C"/>
    <w:rsid w:val="000762A6"/>
    <w:rsid w:val="000773BD"/>
    <w:rsid w:val="00080D25"/>
    <w:rsid w:val="00080E6F"/>
    <w:rsid w:val="0008162C"/>
    <w:rsid w:val="00082FBD"/>
    <w:rsid w:val="00084262"/>
    <w:rsid w:val="00085198"/>
    <w:rsid w:val="00086B32"/>
    <w:rsid w:val="0008775F"/>
    <w:rsid w:val="00091073"/>
    <w:rsid w:val="00091737"/>
    <w:rsid w:val="00094183"/>
    <w:rsid w:val="00094B97"/>
    <w:rsid w:val="00096808"/>
    <w:rsid w:val="000A2CB2"/>
    <w:rsid w:val="000A46C6"/>
    <w:rsid w:val="000B4D5F"/>
    <w:rsid w:val="000C3581"/>
    <w:rsid w:val="000C649D"/>
    <w:rsid w:val="000D25CF"/>
    <w:rsid w:val="000D3694"/>
    <w:rsid w:val="000D3930"/>
    <w:rsid w:val="000D7DF9"/>
    <w:rsid w:val="000E43AC"/>
    <w:rsid w:val="000E5F5A"/>
    <w:rsid w:val="000F1F44"/>
    <w:rsid w:val="000F5B78"/>
    <w:rsid w:val="000F6FE1"/>
    <w:rsid w:val="000F75F5"/>
    <w:rsid w:val="00101B0F"/>
    <w:rsid w:val="00102F06"/>
    <w:rsid w:val="00103D1A"/>
    <w:rsid w:val="0011051D"/>
    <w:rsid w:val="00110C86"/>
    <w:rsid w:val="00111BE9"/>
    <w:rsid w:val="001132EE"/>
    <w:rsid w:val="00113BC7"/>
    <w:rsid w:val="00121D1D"/>
    <w:rsid w:val="00125EDF"/>
    <w:rsid w:val="001260CA"/>
    <w:rsid w:val="001306E3"/>
    <w:rsid w:val="0014220C"/>
    <w:rsid w:val="00142315"/>
    <w:rsid w:val="001545E8"/>
    <w:rsid w:val="00154E35"/>
    <w:rsid w:val="00155A44"/>
    <w:rsid w:val="00166978"/>
    <w:rsid w:val="001673E7"/>
    <w:rsid w:val="00167974"/>
    <w:rsid w:val="00167E08"/>
    <w:rsid w:val="001718A3"/>
    <w:rsid w:val="00171A88"/>
    <w:rsid w:val="00172903"/>
    <w:rsid w:val="00172EAC"/>
    <w:rsid w:val="0017352F"/>
    <w:rsid w:val="00177792"/>
    <w:rsid w:val="00177845"/>
    <w:rsid w:val="00182F4F"/>
    <w:rsid w:val="001842F4"/>
    <w:rsid w:val="00186AD9"/>
    <w:rsid w:val="00193673"/>
    <w:rsid w:val="00197043"/>
    <w:rsid w:val="00197081"/>
    <w:rsid w:val="001A0A97"/>
    <w:rsid w:val="001A280E"/>
    <w:rsid w:val="001B14C8"/>
    <w:rsid w:val="001B19F7"/>
    <w:rsid w:val="001B4E59"/>
    <w:rsid w:val="001C399C"/>
    <w:rsid w:val="001C3A68"/>
    <w:rsid w:val="001C764D"/>
    <w:rsid w:val="001D1055"/>
    <w:rsid w:val="001D450E"/>
    <w:rsid w:val="001D7A92"/>
    <w:rsid w:val="001D7DD3"/>
    <w:rsid w:val="001E0EEA"/>
    <w:rsid w:val="001E2FEF"/>
    <w:rsid w:val="001E391E"/>
    <w:rsid w:val="001E47DC"/>
    <w:rsid w:val="001F14FA"/>
    <w:rsid w:val="001F1C79"/>
    <w:rsid w:val="001F29A4"/>
    <w:rsid w:val="001F6B74"/>
    <w:rsid w:val="001F7348"/>
    <w:rsid w:val="002023D2"/>
    <w:rsid w:val="00202527"/>
    <w:rsid w:val="002072DF"/>
    <w:rsid w:val="00207EB6"/>
    <w:rsid w:val="0022129E"/>
    <w:rsid w:val="00232AF7"/>
    <w:rsid w:val="0023309A"/>
    <w:rsid w:val="002368E4"/>
    <w:rsid w:val="00247710"/>
    <w:rsid w:val="002523F9"/>
    <w:rsid w:val="00261A56"/>
    <w:rsid w:val="0026338C"/>
    <w:rsid w:val="00266CFA"/>
    <w:rsid w:val="00267669"/>
    <w:rsid w:val="002719FF"/>
    <w:rsid w:val="00271FF1"/>
    <w:rsid w:val="0027283D"/>
    <w:rsid w:val="00273D4E"/>
    <w:rsid w:val="00276597"/>
    <w:rsid w:val="0027765F"/>
    <w:rsid w:val="00281E9B"/>
    <w:rsid w:val="002835BF"/>
    <w:rsid w:val="00284DA7"/>
    <w:rsid w:val="002927E3"/>
    <w:rsid w:val="00294E3A"/>
    <w:rsid w:val="002A6B32"/>
    <w:rsid w:val="002C3694"/>
    <w:rsid w:val="002C484D"/>
    <w:rsid w:val="002D1E5D"/>
    <w:rsid w:val="002D55FF"/>
    <w:rsid w:val="002D6116"/>
    <w:rsid w:val="002F220D"/>
    <w:rsid w:val="002F3E3D"/>
    <w:rsid w:val="002F61FB"/>
    <w:rsid w:val="002F6774"/>
    <w:rsid w:val="00300F46"/>
    <w:rsid w:val="00303C56"/>
    <w:rsid w:val="003067BC"/>
    <w:rsid w:val="00306CBD"/>
    <w:rsid w:val="00307B30"/>
    <w:rsid w:val="00314DAB"/>
    <w:rsid w:val="0032111D"/>
    <w:rsid w:val="003221C2"/>
    <w:rsid w:val="00324022"/>
    <w:rsid w:val="00324A9A"/>
    <w:rsid w:val="00327DB0"/>
    <w:rsid w:val="00333A63"/>
    <w:rsid w:val="00333E17"/>
    <w:rsid w:val="00334015"/>
    <w:rsid w:val="003361C6"/>
    <w:rsid w:val="00340031"/>
    <w:rsid w:val="0034261A"/>
    <w:rsid w:val="00345DA0"/>
    <w:rsid w:val="00347E49"/>
    <w:rsid w:val="003513FF"/>
    <w:rsid w:val="0035675A"/>
    <w:rsid w:val="00360D50"/>
    <w:rsid w:val="0036786B"/>
    <w:rsid w:val="003714F9"/>
    <w:rsid w:val="0037441D"/>
    <w:rsid w:val="00382054"/>
    <w:rsid w:val="0038612A"/>
    <w:rsid w:val="0039207C"/>
    <w:rsid w:val="0039247B"/>
    <w:rsid w:val="00393019"/>
    <w:rsid w:val="00393771"/>
    <w:rsid w:val="003943D6"/>
    <w:rsid w:val="00394D9C"/>
    <w:rsid w:val="003A3B67"/>
    <w:rsid w:val="003A4285"/>
    <w:rsid w:val="003B18FB"/>
    <w:rsid w:val="003B7968"/>
    <w:rsid w:val="003C2855"/>
    <w:rsid w:val="003C4CB7"/>
    <w:rsid w:val="003D201F"/>
    <w:rsid w:val="003D3407"/>
    <w:rsid w:val="003D7FEA"/>
    <w:rsid w:val="003E2BA7"/>
    <w:rsid w:val="003F446E"/>
    <w:rsid w:val="003F7B77"/>
    <w:rsid w:val="0040022F"/>
    <w:rsid w:val="004009F5"/>
    <w:rsid w:val="0041101E"/>
    <w:rsid w:val="004120F2"/>
    <w:rsid w:val="004137F3"/>
    <w:rsid w:val="0041439B"/>
    <w:rsid w:val="0041456D"/>
    <w:rsid w:val="00414FF4"/>
    <w:rsid w:val="00415602"/>
    <w:rsid w:val="00417A79"/>
    <w:rsid w:val="00417C25"/>
    <w:rsid w:val="0042030E"/>
    <w:rsid w:val="0042044F"/>
    <w:rsid w:val="00426F8F"/>
    <w:rsid w:val="00427FA8"/>
    <w:rsid w:val="00432E6F"/>
    <w:rsid w:val="00432E72"/>
    <w:rsid w:val="004356C1"/>
    <w:rsid w:val="00440396"/>
    <w:rsid w:val="00440EF1"/>
    <w:rsid w:val="00442648"/>
    <w:rsid w:val="0044448A"/>
    <w:rsid w:val="00450C37"/>
    <w:rsid w:val="00451792"/>
    <w:rsid w:val="00451D36"/>
    <w:rsid w:val="0045338C"/>
    <w:rsid w:val="00453C8D"/>
    <w:rsid w:val="00454B03"/>
    <w:rsid w:val="00455054"/>
    <w:rsid w:val="00460B64"/>
    <w:rsid w:val="00460D7E"/>
    <w:rsid w:val="0047598B"/>
    <w:rsid w:val="00481FCC"/>
    <w:rsid w:val="004853EF"/>
    <w:rsid w:val="00486911"/>
    <w:rsid w:val="00490E88"/>
    <w:rsid w:val="0049562B"/>
    <w:rsid w:val="004A0D56"/>
    <w:rsid w:val="004A0DE3"/>
    <w:rsid w:val="004A2F9B"/>
    <w:rsid w:val="004A7C9A"/>
    <w:rsid w:val="004B5036"/>
    <w:rsid w:val="004B6EDE"/>
    <w:rsid w:val="004B756D"/>
    <w:rsid w:val="004C33B9"/>
    <w:rsid w:val="004C56AE"/>
    <w:rsid w:val="004C6EA5"/>
    <w:rsid w:val="004C7D51"/>
    <w:rsid w:val="004D3C0E"/>
    <w:rsid w:val="004D5780"/>
    <w:rsid w:val="004E6EF8"/>
    <w:rsid w:val="004F27A1"/>
    <w:rsid w:val="004F4E90"/>
    <w:rsid w:val="004F544B"/>
    <w:rsid w:val="00502F78"/>
    <w:rsid w:val="005058A3"/>
    <w:rsid w:val="00511965"/>
    <w:rsid w:val="005174B7"/>
    <w:rsid w:val="005275F3"/>
    <w:rsid w:val="005368C7"/>
    <w:rsid w:val="00536E25"/>
    <w:rsid w:val="00540835"/>
    <w:rsid w:val="005438AE"/>
    <w:rsid w:val="00545C0A"/>
    <w:rsid w:val="0054726A"/>
    <w:rsid w:val="00552008"/>
    <w:rsid w:val="005541D4"/>
    <w:rsid w:val="005547E2"/>
    <w:rsid w:val="00556099"/>
    <w:rsid w:val="005564D4"/>
    <w:rsid w:val="00556514"/>
    <w:rsid w:val="005643A2"/>
    <w:rsid w:val="00566AA1"/>
    <w:rsid w:val="00571084"/>
    <w:rsid w:val="005718F3"/>
    <w:rsid w:val="00571CB0"/>
    <w:rsid w:val="00574D38"/>
    <w:rsid w:val="005756EF"/>
    <w:rsid w:val="0057623B"/>
    <w:rsid w:val="0057795C"/>
    <w:rsid w:val="005866EE"/>
    <w:rsid w:val="005908EB"/>
    <w:rsid w:val="00590EB4"/>
    <w:rsid w:val="00593FC3"/>
    <w:rsid w:val="005959ED"/>
    <w:rsid w:val="005A2B73"/>
    <w:rsid w:val="005A4A4A"/>
    <w:rsid w:val="005B043C"/>
    <w:rsid w:val="005B2C04"/>
    <w:rsid w:val="005B4DD9"/>
    <w:rsid w:val="005B5784"/>
    <w:rsid w:val="005C1399"/>
    <w:rsid w:val="005C2F13"/>
    <w:rsid w:val="005C610B"/>
    <w:rsid w:val="005E777C"/>
    <w:rsid w:val="005F21C4"/>
    <w:rsid w:val="005F302E"/>
    <w:rsid w:val="005F54C8"/>
    <w:rsid w:val="005F6BB0"/>
    <w:rsid w:val="005F6F76"/>
    <w:rsid w:val="005F7930"/>
    <w:rsid w:val="0060158F"/>
    <w:rsid w:val="00601A32"/>
    <w:rsid w:val="00604050"/>
    <w:rsid w:val="006042E9"/>
    <w:rsid w:val="0060539E"/>
    <w:rsid w:val="00606B5A"/>
    <w:rsid w:val="006074CE"/>
    <w:rsid w:val="00612619"/>
    <w:rsid w:val="006135DC"/>
    <w:rsid w:val="00613637"/>
    <w:rsid w:val="00613828"/>
    <w:rsid w:val="00616321"/>
    <w:rsid w:val="006228D2"/>
    <w:rsid w:val="00624DD4"/>
    <w:rsid w:val="006338D3"/>
    <w:rsid w:val="00642DDC"/>
    <w:rsid w:val="00643685"/>
    <w:rsid w:val="00650674"/>
    <w:rsid w:val="00651A01"/>
    <w:rsid w:val="00656913"/>
    <w:rsid w:val="00660559"/>
    <w:rsid w:val="006627CB"/>
    <w:rsid w:val="00667D1C"/>
    <w:rsid w:val="00671E79"/>
    <w:rsid w:val="006747E0"/>
    <w:rsid w:val="006763C4"/>
    <w:rsid w:val="00682E83"/>
    <w:rsid w:val="0069184F"/>
    <w:rsid w:val="00692769"/>
    <w:rsid w:val="0069306A"/>
    <w:rsid w:val="00695B63"/>
    <w:rsid w:val="006A208D"/>
    <w:rsid w:val="006B0D1B"/>
    <w:rsid w:val="006B2ABE"/>
    <w:rsid w:val="006B3C52"/>
    <w:rsid w:val="006B7994"/>
    <w:rsid w:val="006B7D84"/>
    <w:rsid w:val="006B7DC3"/>
    <w:rsid w:val="006C4E64"/>
    <w:rsid w:val="006C6F94"/>
    <w:rsid w:val="006C7F82"/>
    <w:rsid w:val="006D0312"/>
    <w:rsid w:val="006D0C23"/>
    <w:rsid w:val="006D103A"/>
    <w:rsid w:val="006D13C6"/>
    <w:rsid w:val="006D32D6"/>
    <w:rsid w:val="006D4A46"/>
    <w:rsid w:val="006D65E4"/>
    <w:rsid w:val="006D6FCB"/>
    <w:rsid w:val="006E612B"/>
    <w:rsid w:val="006E63FE"/>
    <w:rsid w:val="006E6F11"/>
    <w:rsid w:val="006E7C8D"/>
    <w:rsid w:val="006F3ECF"/>
    <w:rsid w:val="006F62D8"/>
    <w:rsid w:val="00703916"/>
    <w:rsid w:val="0070615B"/>
    <w:rsid w:val="007079B2"/>
    <w:rsid w:val="00711167"/>
    <w:rsid w:val="0071123F"/>
    <w:rsid w:val="00712C37"/>
    <w:rsid w:val="007146CB"/>
    <w:rsid w:val="00715FA8"/>
    <w:rsid w:val="0072290A"/>
    <w:rsid w:val="00723B11"/>
    <w:rsid w:val="0072442D"/>
    <w:rsid w:val="00731B9B"/>
    <w:rsid w:val="00734418"/>
    <w:rsid w:val="0073477E"/>
    <w:rsid w:val="007348B4"/>
    <w:rsid w:val="007364B5"/>
    <w:rsid w:val="00736AEB"/>
    <w:rsid w:val="00744983"/>
    <w:rsid w:val="00744C88"/>
    <w:rsid w:val="00755803"/>
    <w:rsid w:val="00756D15"/>
    <w:rsid w:val="007575BA"/>
    <w:rsid w:val="007602FF"/>
    <w:rsid w:val="007626A0"/>
    <w:rsid w:val="00762F1E"/>
    <w:rsid w:val="00765EC9"/>
    <w:rsid w:val="00770320"/>
    <w:rsid w:val="00776049"/>
    <w:rsid w:val="007765C1"/>
    <w:rsid w:val="00776729"/>
    <w:rsid w:val="00776A38"/>
    <w:rsid w:val="00777AE2"/>
    <w:rsid w:val="007860B7"/>
    <w:rsid w:val="00790294"/>
    <w:rsid w:val="0079178C"/>
    <w:rsid w:val="007A25EB"/>
    <w:rsid w:val="007A2C2F"/>
    <w:rsid w:val="007A3C0A"/>
    <w:rsid w:val="007A6DDA"/>
    <w:rsid w:val="007A7B99"/>
    <w:rsid w:val="007B24A1"/>
    <w:rsid w:val="007B4F3B"/>
    <w:rsid w:val="007B59D1"/>
    <w:rsid w:val="007C5AF7"/>
    <w:rsid w:val="007C5CF8"/>
    <w:rsid w:val="007C7D91"/>
    <w:rsid w:val="007D0ED1"/>
    <w:rsid w:val="007D1267"/>
    <w:rsid w:val="007D23C6"/>
    <w:rsid w:val="007D278C"/>
    <w:rsid w:val="007D3EC0"/>
    <w:rsid w:val="007D6999"/>
    <w:rsid w:val="007E0F98"/>
    <w:rsid w:val="007E442B"/>
    <w:rsid w:val="007E73CA"/>
    <w:rsid w:val="007F02D7"/>
    <w:rsid w:val="007F0579"/>
    <w:rsid w:val="007F0EA6"/>
    <w:rsid w:val="007F3FAB"/>
    <w:rsid w:val="007F4133"/>
    <w:rsid w:val="007F448B"/>
    <w:rsid w:val="007F7FFE"/>
    <w:rsid w:val="00807DF8"/>
    <w:rsid w:val="00815B34"/>
    <w:rsid w:val="008177C8"/>
    <w:rsid w:val="0082199C"/>
    <w:rsid w:val="0082255C"/>
    <w:rsid w:val="00823E68"/>
    <w:rsid w:val="00831972"/>
    <w:rsid w:val="00834C83"/>
    <w:rsid w:val="008428F1"/>
    <w:rsid w:val="00842EFC"/>
    <w:rsid w:val="00844506"/>
    <w:rsid w:val="008459D0"/>
    <w:rsid w:val="00850D25"/>
    <w:rsid w:val="00851E04"/>
    <w:rsid w:val="0085390A"/>
    <w:rsid w:val="00853BCA"/>
    <w:rsid w:val="008558C7"/>
    <w:rsid w:val="0085607E"/>
    <w:rsid w:val="00861F92"/>
    <w:rsid w:val="00862591"/>
    <w:rsid w:val="00872B6C"/>
    <w:rsid w:val="00873065"/>
    <w:rsid w:val="00876030"/>
    <w:rsid w:val="008808CB"/>
    <w:rsid w:val="00882A19"/>
    <w:rsid w:val="00882C01"/>
    <w:rsid w:val="008831DC"/>
    <w:rsid w:val="0088339D"/>
    <w:rsid w:val="008860D8"/>
    <w:rsid w:val="00886DA1"/>
    <w:rsid w:val="00891280"/>
    <w:rsid w:val="00892429"/>
    <w:rsid w:val="008949C6"/>
    <w:rsid w:val="00895ADF"/>
    <w:rsid w:val="008A3A0C"/>
    <w:rsid w:val="008A487B"/>
    <w:rsid w:val="008A7020"/>
    <w:rsid w:val="008B2D42"/>
    <w:rsid w:val="008B2E33"/>
    <w:rsid w:val="008B4251"/>
    <w:rsid w:val="008B49E6"/>
    <w:rsid w:val="008B6C2A"/>
    <w:rsid w:val="008C0B52"/>
    <w:rsid w:val="008C1FFB"/>
    <w:rsid w:val="008C5C2E"/>
    <w:rsid w:val="008D566B"/>
    <w:rsid w:val="008E351E"/>
    <w:rsid w:val="008E4EBC"/>
    <w:rsid w:val="008E61CE"/>
    <w:rsid w:val="008E6938"/>
    <w:rsid w:val="008F0F7E"/>
    <w:rsid w:val="008F1B90"/>
    <w:rsid w:val="00902F97"/>
    <w:rsid w:val="00903F97"/>
    <w:rsid w:val="00904884"/>
    <w:rsid w:val="00910F27"/>
    <w:rsid w:val="00914313"/>
    <w:rsid w:val="00915016"/>
    <w:rsid w:val="009275A0"/>
    <w:rsid w:val="0093016C"/>
    <w:rsid w:val="00930953"/>
    <w:rsid w:val="00933167"/>
    <w:rsid w:val="00934CB5"/>
    <w:rsid w:val="009409F9"/>
    <w:rsid w:val="00941997"/>
    <w:rsid w:val="00941EA9"/>
    <w:rsid w:val="00942124"/>
    <w:rsid w:val="00943B14"/>
    <w:rsid w:val="00952A6C"/>
    <w:rsid w:val="0095451F"/>
    <w:rsid w:val="00954DB6"/>
    <w:rsid w:val="00956B86"/>
    <w:rsid w:val="00960256"/>
    <w:rsid w:val="00963220"/>
    <w:rsid w:val="00965319"/>
    <w:rsid w:val="00970AC7"/>
    <w:rsid w:val="00971765"/>
    <w:rsid w:val="00974096"/>
    <w:rsid w:val="00976EEC"/>
    <w:rsid w:val="00981F98"/>
    <w:rsid w:val="00982BB8"/>
    <w:rsid w:val="009847A3"/>
    <w:rsid w:val="00991658"/>
    <w:rsid w:val="00993315"/>
    <w:rsid w:val="0099532B"/>
    <w:rsid w:val="00995AEA"/>
    <w:rsid w:val="009960A6"/>
    <w:rsid w:val="00996B1D"/>
    <w:rsid w:val="00996E35"/>
    <w:rsid w:val="009A15E2"/>
    <w:rsid w:val="009A1A5F"/>
    <w:rsid w:val="009A1FD8"/>
    <w:rsid w:val="009B1E2B"/>
    <w:rsid w:val="009B5F04"/>
    <w:rsid w:val="009C03D1"/>
    <w:rsid w:val="009C61DF"/>
    <w:rsid w:val="009C6A85"/>
    <w:rsid w:val="009C7DFE"/>
    <w:rsid w:val="009D1018"/>
    <w:rsid w:val="009D3105"/>
    <w:rsid w:val="009E3A8E"/>
    <w:rsid w:val="009E3D18"/>
    <w:rsid w:val="009E535C"/>
    <w:rsid w:val="009F501D"/>
    <w:rsid w:val="00A000A5"/>
    <w:rsid w:val="00A030F0"/>
    <w:rsid w:val="00A051E1"/>
    <w:rsid w:val="00A054A4"/>
    <w:rsid w:val="00A05649"/>
    <w:rsid w:val="00A06395"/>
    <w:rsid w:val="00A12A0F"/>
    <w:rsid w:val="00A1398D"/>
    <w:rsid w:val="00A13BE0"/>
    <w:rsid w:val="00A159F3"/>
    <w:rsid w:val="00A210FC"/>
    <w:rsid w:val="00A303BB"/>
    <w:rsid w:val="00A32AD2"/>
    <w:rsid w:val="00A371CF"/>
    <w:rsid w:val="00A41D87"/>
    <w:rsid w:val="00A44B7C"/>
    <w:rsid w:val="00A477E5"/>
    <w:rsid w:val="00A54AD4"/>
    <w:rsid w:val="00A557FF"/>
    <w:rsid w:val="00A61053"/>
    <w:rsid w:val="00A61861"/>
    <w:rsid w:val="00A61C0E"/>
    <w:rsid w:val="00A70995"/>
    <w:rsid w:val="00A71723"/>
    <w:rsid w:val="00A727DE"/>
    <w:rsid w:val="00A734E5"/>
    <w:rsid w:val="00A8259B"/>
    <w:rsid w:val="00A9069B"/>
    <w:rsid w:val="00A908A0"/>
    <w:rsid w:val="00AA3097"/>
    <w:rsid w:val="00AB15A7"/>
    <w:rsid w:val="00AB4132"/>
    <w:rsid w:val="00AB6346"/>
    <w:rsid w:val="00AB7EE9"/>
    <w:rsid w:val="00AC15CA"/>
    <w:rsid w:val="00AC4E0E"/>
    <w:rsid w:val="00AD1B05"/>
    <w:rsid w:val="00AD4763"/>
    <w:rsid w:val="00AD4C39"/>
    <w:rsid w:val="00AD78AF"/>
    <w:rsid w:val="00AE1000"/>
    <w:rsid w:val="00AE161A"/>
    <w:rsid w:val="00AE49C9"/>
    <w:rsid w:val="00AE68FB"/>
    <w:rsid w:val="00AE6C71"/>
    <w:rsid w:val="00AF2C0A"/>
    <w:rsid w:val="00B05B38"/>
    <w:rsid w:val="00B06014"/>
    <w:rsid w:val="00B106C1"/>
    <w:rsid w:val="00B1119D"/>
    <w:rsid w:val="00B123C7"/>
    <w:rsid w:val="00B13E27"/>
    <w:rsid w:val="00B144D2"/>
    <w:rsid w:val="00B16CBB"/>
    <w:rsid w:val="00B224B3"/>
    <w:rsid w:val="00B26522"/>
    <w:rsid w:val="00B336BF"/>
    <w:rsid w:val="00B35EFF"/>
    <w:rsid w:val="00B42EF7"/>
    <w:rsid w:val="00B51649"/>
    <w:rsid w:val="00B5677F"/>
    <w:rsid w:val="00B601B1"/>
    <w:rsid w:val="00B63A6E"/>
    <w:rsid w:val="00B63F5C"/>
    <w:rsid w:val="00B67CC8"/>
    <w:rsid w:val="00B705B2"/>
    <w:rsid w:val="00B71CDD"/>
    <w:rsid w:val="00B741E8"/>
    <w:rsid w:val="00B743B4"/>
    <w:rsid w:val="00B77603"/>
    <w:rsid w:val="00B84568"/>
    <w:rsid w:val="00B936B9"/>
    <w:rsid w:val="00B943DE"/>
    <w:rsid w:val="00B958DC"/>
    <w:rsid w:val="00BA404F"/>
    <w:rsid w:val="00BA6303"/>
    <w:rsid w:val="00BB2020"/>
    <w:rsid w:val="00BC01AF"/>
    <w:rsid w:val="00BC2F12"/>
    <w:rsid w:val="00BC2FAB"/>
    <w:rsid w:val="00BC4835"/>
    <w:rsid w:val="00BD044C"/>
    <w:rsid w:val="00BD415B"/>
    <w:rsid w:val="00BF2E7F"/>
    <w:rsid w:val="00BF3041"/>
    <w:rsid w:val="00BF4719"/>
    <w:rsid w:val="00C014F1"/>
    <w:rsid w:val="00C023F9"/>
    <w:rsid w:val="00C060B1"/>
    <w:rsid w:val="00C106E4"/>
    <w:rsid w:val="00C179AF"/>
    <w:rsid w:val="00C17A86"/>
    <w:rsid w:val="00C208FC"/>
    <w:rsid w:val="00C24E09"/>
    <w:rsid w:val="00C25BEB"/>
    <w:rsid w:val="00C3035A"/>
    <w:rsid w:val="00C3105D"/>
    <w:rsid w:val="00C31D2F"/>
    <w:rsid w:val="00C3611D"/>
    <w:rsid w:val="00C40DA3"/>
    <w:rsid w:val="00C4281C"/>
    <w:rsid w:val="00C46989"/>
    <w:rsid w:val="00C53B0F"/>
    <w:rsid w:val="00C53B3B"/>
    <w:rsid w:val="00C53E8E"/>
    <w:rsid w:val="00C55252"/>
    <w:rsid w:val="00C6050B"/>
    <w:rsid w:val="00C609D5"/>
    <w:rsid w:val="00C63946"/>
    <w:rsid w:val="00C64B94"/>
    <w:rsid w:val="00C6597B"/>
    <w:rsid w:val="00C7530C"/>
    <w:rsid w:val="00C7632C"/>
    <w:rsid w:val="00C772FE"/>
    <w:rsid w:val="00C81B43"/>
    <w:rsid w:val="00C823A3"/>
    <w:rsid w:val="00C82999"/>
    <w:rsid w:val="00C83DDA"/>
    <w:rsid w:val="00C85891"/>
    <w:rsid w:val="00C85B24"/>
    <w:rsid w:val="00C87324"/>
    <w:rsid w:val="00C87F49"/>
    <w:rsid w:val="00C9009E"/>
    <w:rsid w:val="00C909C8"/>
    <w:rsid w:val="00C929CA"/>
    <w:rsid w:val="00C93F3E"/>
    <w:rsid w:val="00C957F6"/>
    <w:rsid w:val="00C96776"/>
    <w:rsid w:val="00CA1A33"/>
    <w:rsid w:val="00CA2EF7"/>
    <w:rsid w:val="00CA414A"/>
    <w:rsid w:val="00CA4AA1"/>
    <w:rsid w:val="00CA53F1"/>
    <w:rsid w:val="00CB11AE"/>
    <w:rsid w:val="00CB2444"/>
    <w:rsid w:val="00CB304E"/>
    <w:rsid w:val="00CC2B9A"/>
    <w:rsid w:val="00CC5845"/>
    <w:rsid w:val="00CC786F"/>
    <w:rsid w:val="00CD0AC2"/>
    <w:rsid w:val="00CD48F9"/>
    <w:rsid w:val="00CD4E64"/>
    <w:rsid w:val="00CD5233"/>
    <w:rsid w:val="00CD58BE"/>
    <w:rsid w:val="00CE4B63"/>
    <w:rsid w:val="00CE4CEC"/>
    <w:rsid w:val="00CE61A6"/>
    <w:rsid w:val="00CE63BB"/>
    <w:rsid w:val="00CE66CB"/>
    <w:rsid w:val="00CF2016"/>
    <w:rsid w:val="00D0091C"/>
    <w:rsid w:val="00D00941"/>
    <w:rsid w:val="00D038A0"/>
    <w:rsid w:val="00D0652B"/>
    <w:rsid w:val="00D1202C"/>
    <w:rsid w:val="00D17F5F"/>
    <w:rsid w:val="00D223F3"/>
    <w:rsid w:val="00D22570"/>
    <w:rsid w:val="00D23004"/>
    <w:rsid w:val="00D235C8"/>
    <w:rsid w:val="00D271E5"/>
    <w:rsid w:val="00D30280"/>
    <w:rsid w:val="00D30F41"/>
    <w:rsid w:val="00D314A6"/>
    <w:rsid w:val="00D3501A"/>
    <w:rsid w:val="00D35C07"/>
    <w:rsid w:val="00D372A5"/>
    <w:rsid w:val="00D37EC7"/>
    <w:rsid w:val="00D426E3"/>
    <w:rsid w:val="00D42AD5"/>
    <w:rsid w:val="00D42DB7"/>
    <w:rsid w:val="00D506FC"/>
    <w:rsid w:val="00D50A40"/>
    <w:rsid w:val="00D5398A"/>
    <w:rsid w:val="00D55837"/>
    <w:rsid w:val="00D640FC"/>
    <w:rsid w:val="00D67829"/>
    <w:rsid w:val="00D703FE"/>
    <w:rsid w:val="00D73719"/>
    <w:rsid w:val="00D762A7"/>
    <w:rsid w:val="00D77CBD"/>
    <w:rsid w:val="00D90CEF"/>
    <w:rsid w:val="00D91E0F"/>
    <w:rsid w:val="00D92601"/>
    <w:rsid w:val="00DA22E9"/>
    <w:rsid w:val="00DA2977"/>
    <w:rsid w:val="00DA47D4"/>
    <w:rsid w:val="00DA61BD"/>
    <w:rsid w:val="00DA6612"/>
    <w:rsid w:val="00DA69EE"/>
    <w:rsid w:val="00DB227A"/>
    <w:rsid w:val="00DB2C4B"/>
    <w:rsid w:val="00DC0446"/>
    <w:rsid w:val="00DC3A43"/>
    <w:rsid w:val="00DC4CBE"/>
    <w:rsid w:val="00DC6044"/>
    <w:rsid w:val="00DD0FE2"/>
    <w:rsid w:val="00DD37E5"/>
    <w:rsid w:val="00DD3C96"/>
    <w:rsid w:val="00DD3DF3"/>
    <w:rsid w:val="00DD40B8"/>
    <w:rsid w:val="00DD5B3E"/>
    <w:rsid w:val="00DD6A00"/>
    <w:rsid w:val="00DD70B7"/>
    <w:rsid w:val="00DE2416"/>
    <w:rsid w:val="00DE2650"/>
    <w:rsid w:val="00DE3B3F"/>
    <w:rsid w:val="00DE66FC"/>
    <w:rsid w:val="00DE6C37"/>
    <w:rsid w:val="00DF0A2C"/>
    <w:rsid w:val="00DF10A7"/>
    <w:rsid w:val="00DF1C42"/>
    <w:rsid w:val="00DF7246"/>
    <w:rsid w:val="00DF7395"/>
    <w:rsid w:val="00DF7920"/>
    <w:rsid w:val="00E01970"/>
    <w:rsid w:val="00E02CC6"/>
    <w:rsid w:val="00E03D41"/>
    <w:rsid w:val="00E13369"/>
    <w:rsid w:val="00E17766"/>
    <w:rsid w:val="00E240D6"/>
    <w:rsid w:val="00E27F56"/>
    <w:rsid w:val="00E3083D"/>
    <w:rsid w:val="00E31285"/>
    <w:rsid w:val="00E33168"/>
    <w:rsid w:val="00E3545A"/>
    <w:rsid w:val="00E35CB9"/>
    <w:rsid w:val="00E40968"/>
    <w:rsid w:val="00E41B85"/>
    <w:rsid w:val="00E42057"/>
    <w:rsid w:val="00E453A8"/>
    <w:rsid w:val="00E45D9D"/>
    <w:rsid w:val="00E5716A"/>
    <w:rsid w:val="00E62F06"/>
    <w:rsid w:val="00E630C8"/>
    <w:rsid w:val="00E65C4F"/>
    <w:rsid w:val="00E67C76"/>
    <w:rsid w:val="00E70D3D"/>
    <w:rsid w:val="00E713A4"/>
    <w:rsid w:val="00E71403"/>
    <w:rsid w:val="00E72259"/>
    <w:rsid w:val="00E72FF2"/>
    <w:rsid w:val="00E7313C"/>
    <w:rsid w:val="00E74886"/>
    <w:rsid w:val="00E757CB"/>
    <w:rsid w:val="00E761E9"/>
    <w:rsid w:val="00E77139"/>
    <w:rsid w:val="00E8002B"/>
    <w:rsid w:val="00E80CF2"/>
    <w:rsid w:val="00E84993"/>
    <w:rsid w:val="00E86A79"/>
    <w:rsid w:val="00E87DF1"/>
    <w:rsid w:val="00E91D2B"/>
    <w:rsid w:val="00E91E03"/>
    <w:rsid w:val="00E937CE"/>
    <w:rsid w:val="00E94D6F"/>
    <w:rsid w:val="00E94E00"/>
    <w:rsid w:val="00EA039B"/>
    <w:rsid w:val="00EA0CE9"/>
    <w:rsid w:val="00EA2C0C"/>
    <w:rsid w:val="00EA4F1C"/>
    <w:rsid w:val="00EA7253"/>
    <w:rsid w:val="00EB7F61"/>
    <w:rsid w:val="00EC49BF"/>
    <w:rsid w:val="00ED08E1"/>
    <w:rsid w:val="00ED1847"/>
    <w:rsid w:val="00ED3F42"/>
    <w:rsid w:val="00EE0433"/>
    <w:rsid w:val="00EE1BF4"/>
    <w:rsid w:val="00EE392E"/>
    <w:rsid w:val="00EE5DDD"/>
    <w:rsid w:val="00F03675"/>
    <w:rsid w:val="00F109C0"/>
    <w:rsid w:val="00F14787"/>
    <w:rsid w:val="00F16D31"/>
    <w:rsid w:val="00F17686"/>
    <w:rsid w:val="00F256C5"/>
    <w:rsid w:val="00F26CB6"/>
    <w:rsid w:val="00F3337D"/>
    <w:rsid w:val="00F34D07"/>
    <w:rsid w:val="00F34E4C"/>
    <w:rsid w:val="00F36549"/>
    <w:rsid w:val="00F371B5"/>
    <w:rsid w:val="00F41705"/>
    <w:rsid w:val="00F44834"/>
    <w:rsid w:val="00F515CE"/>
    <w:rsid w:val="00F52542"/>
    <w:rsid w:val="00F538CB"/>
    <w:rsid w:val="00F53D00"/>
    <w:rsid w:val="00F55D80"/>
    <w:rsid w:val="00F5688B"/>
    <w:rsid w:val="00F60734"/>
    <w:rsid w:val="00F63B65"/>
    <w:rsid w:val="00F66DB8"/>
    <w:rsid w:val="00F67543"/>
    <w:rsid w:val="00F73EC9"/>
    <w:rsid w:val="00F75580"/>
    <w:rsid w:val="00F76F0B"/>
    <w:rsid w:val="00F803D6"/>
    <w:rsid w:val="00F8189C"/>
    <w:rsid w:val="00F9203D"/>
    <w:rsid w:val="00F92A3D"/>
    <w:rsid w:val="00F9355B"/>
    <w:rsid w:val="00F94C19"/>
    <w:rsid w:val="00F96561"/>
    <w:rsid w:val="00F970D1"/>
    <w:rsid w:val="00FA01B6"/>
    <w:rsid w:val="00FA4279"/>
    <w:rsid w:val="00FB0DE5"/>
    <w:rsid w:val="00FB4C55"/>
    <w:rsid w:val="00FB6619"/>
    <w:rsid w:val="00FC169E"/>
    <w:rsid w:val="00FC6C2C"/>
    <w:rsid w:val="00FC7246"/>
    <w:rsid w:val="00FD354C"/>
    <w:rsid w:val="00FD3CDA"/>
    <w:rsid w:val="00FD46F6"/>
    <w:rsid w:val="00FE1762"/>
    <w:rsid w:val="00FE3BEB"/>
    <w:rsid w:val="00FF1023"/>
    <w:rsid w:val="00FF4956"/>
    <w:rsid w:val="00FF5702"/>
    <w:rsid w:val="01D566D2"/>
    <w:rsid w:val="069E07AC"/>
    <w:rsid w:val="0FA176C8"/>
    <w:rsid w:val="14A007B4"/>
    <w:rsid w:val="16300DDB"/>
    <w:rsid w:val="1A8B2833"/>
    <w:rsid w:val="1B3C77DE"/>
    <w:rsid w:val="1B47747B"/>
    <w:rsid w:val="1B515FA0"/>
    <w:rsid w:val="1D9A7BA2"/>
    <w:rsid w:val="1E0B2E42"/>
    <w:rsid w:val="24C5715F"/>
    <w:rsid w:val="2CD30B30"/>
    <w:rsid w:val="2E586260"/>
    <w:rsid w:val="2EFD008C"/>
    <w:rsid w:val="2F4A28EA"/>
    <w:rsid w:val="3295171E"/>
    <w:rsid w:val="33822C8E"/>
    <w:rsid w:val="35436994"/>
    <w:rsid w:val="370C0ADF"/>
    <w:rsid w:val="3E091DE7"/>
    <w:rsid w:val="41EC670C"/>
    <w:rsid w:val="421E0A5F"/>
    <w:rsid w:val="424F7D8F"/>
    <w:rsid w:val="42B07218"/>
    <w:rsid w:val="42DF0A26"/>
    <w:rsid w:val="43476085"/>
    <w:rsid w:val="45257F6C"/>
    <w:rsid w:val="46085DC1"/>
    <w:rsid w:val="4B2B0B52"/>
    <w:rsid w:val="4C22487C"/>
    <w:rsid w:val="4CAC1F43"/>
    <w:rsid w:val="4CAE676A"/>
    <w:rsid w:val="4CB80E4F"/>
    <w:rsid w:val="4F9A09BD"/>
    <w:rsid w:val="50BE7150"/>
    <w:rsid w:val="51CB3718"/>
    <w:rsid w:val="527B6AF5"/>
    <w:rsid w:val="550704D3"/>
    <w:rsid w:val="62AA171A"/>
    <w:rsid w:val="641D0C51"/>
    <w:rsid w:val="6F0E6756"/>
    <w:rsid w:val="70A16213"/>
    <w:rsid w:val="735E534E"/>
    <w:rsid w:val="73DA6ECA"/>
    <w:rsid w:val="756141E1"/>
    <w:rsid w:val="77B447F0"/>
    <w:rsid w:val="77C16711"/>
    <w:rsid w:val="790D7A83"/>
    <w:rsid w:val="7A8916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link w:val="27"/>
    <w:qFormat/>
    <w:uiPriority w:val="0"/>
    <w:pPr>
      <w:keepNext/>
      <w:jc w:val="center"/>
      <w:outlineLvl w:val="0"/>
    </w:pPr>
    <w:rPr>
      <w:rFonts w:ascii="黑体" w:hAnsi="Times New Roman" w:eastAsia="宋体" w:cs="Times New Roman"/>
      <w:b/>
      <w:kern w:val="2"/>
      <w:sz w:val="32"/>
      <w:szCs w:val="24"/>
      <w:lang w:val="en-US" w:eastAsia="zh-CN" w:bidi="ar-SA"/>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29"/>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link w:val="55"/>
    <w:qFormat/>
    <w:uiPriority w:val="99"/>
    <w:pPr>
      <w:autoSpaceDE w:val="0"/>
      <w:autoSpaceDN w:val="0"/>
      <w:adjustRightInd w:val="0"/>
      <w:ind w:firstLine="420"/>
    </w:pPr>
    <w:rPr>
      <w:rFonts w:ascii="宋体"/>
      <w:sz w:val="24"/>
    </w:rPr>
  </w:style>
  <w:style w:type="paragraph" w:styleId="6">
    <w:name w:val="Document Map"/>
    <w:basedOn w:val="1"/>
    <w:link w:val="36"/>
    <w:unhideWhenUsed/>
    <w:qFormat/>
    <w:uiPriority w:val="99"/>
    <w:rPr>
      <w:rFonts w:ascii="宋体" w:hAnsiTheme="minorHAnsi" w:cstheme="minorBidi"/>
      <w:sz w:val="18"/>
      <w:szCs w:val="18"/>
    </w:rPr>
  </w:style>
  <w:style w:type="paragraph" w:styleId="7">
    <w:name w:val="annotation text"/>
    <w:basedOn w:val="1"/>
    <w:link w:val="37"/>
    <w:unhideWhenUsed/>
    <w:qFormat/>
    <w:uiPriority w:val="0"/>
    <w:pPr>
      <w:jc w:val="left"/>
    </w:pPr>
  </w:style>
  <w:style w:type="paragraph" w:styleId="8">
    <w:name w:val="Body Text"/>
    <w:basedOn w:val="1"/>
    <w:next w:val="1"/>
    <w:link w:val="39"/>
    <w:qFormat/>
    <w:uiPriority w:val="0"/>
    <w:pPr>
      <w:spacing w:after="120"/>
    </w:pPr>
    <w:rPr>
      <w:szCs w:val="24"/>
    </w:rPr>
  </w:style>
  <w:style w:type="paragraph" w:styleId="9">
    <w:name w:val="Body Text Indent"/>
    <w:next w:val="1"/>
    <w:link w:val="40"/>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link w:val="41"/>
    <w:qFormat/>
    <w:uiPriority w:val="99"/>
    <w:rPr>
      <w:rFonts w:ascii="宋体" w:hAnsi="宋体" w:eastAsiaTheme="minorEastAsia" w:cstheme="minorBidi"/>
      <w:sz w:val="26"/>
      <w:szCs w:val="22"/>
    </w:rPr>
  </w:style>
  <w:style w:type="paragraph" w:styleId="12">
    <w:name w:val="Date"/>
    <w:next w:val="1"/>
    <w:link w:val="42"/>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3"/>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4"/>
    <w:unhideWhenUsed/>
    <w:qFormat/>
    <w:uiPriority w:val="99"/>
    <w:rPr>
      <w:rFonts w:asciiTheme="minorHAnsi" w:hAnsiTheme="minorHAnsi" w:cstheme="minorBidi"/>
      <w:sz w:val="18"/>
      <w:szCs w:val="18"/>
    </w:rPr>
  </w:style>
  <w:style w:type="paragraph" w:styleId="15">
    <w:name w:val="footer"/>
    <w:basedOn w:val="1"/>
    <w:link w:val="45"/>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6"/>
    <w:qFormat/>
    <w:uiPriority w:val="0"/>
    <w:pPr>
      <w:pBdr>
        <w:bottom w:val="single" w:color="auto" w:sz="6" w:space="1"/>
      </w:pBdr>
      <w:tabs>
        <w:tab w:val="center" w:pos="4153"/>
        <w:tab w:val="right" w:pos="8307"/>
      </w:tabs>
      <w:snapToGrid w:val="0"/>
      <w:jc w:val="center"/>
    </w:pPr>
    <w:rPr>
      <w:sz w:val="18"/>
    </w:rPr>
  </w:style>
  <w:style w:type="paragraph" w:styleId="17">
    <w:name w:val="toc 1"/>
    <w:basedOn w:val="1"/>
    <w:next w:val="1"/>
    <w:unhideWhenUsed/>
    <w:qFormat/>
    <w:uiPriority w:val="39"/>
    <w:pPr>
      <w:tabs>
        <w:tab w:val="right" w:leader="dot" w:pos="8296"/>
      </w:tabs>
      <w:spacing w:line="720" w:lineRule="auto"/>
    </w:pPr>
  </w:style>
  <w:style w:type="paragraph" w:styleId="18">
    <w:name w:val="toc 4"/>
    <w:basedOn w:val="1"/>
    <w:next w:val="1"/>
    <w:qFormat/>
    <w:uiPriority w:val="0"/>
    <w:pPr>
      <w:ind w:left="1260"/>
    </w:pPr>
  </w:style>
  <w:style w:type="paragraph" w:styleId="19">
    <w:name w:val="Normal (Web)"/>
    <w:basedOn w:val="1"/>
    <w:qFormat/>
    <w:uiPriority w:val="0"/>
    <w:pPr>
      <w:spacing w:before="100" w:beforeAutospacing="1" w:after="100" w:afterAutospacing="1"/>
      <w:jc w:val="left"/>
    </w:pPr>
    <w:rPr>
      <w:rFonts w:ascii="Calibri" w:hAnsi="Calibri"/>
      <w:kern w:val="0"/>
      <w:sz w:val="24"/>
      <w:szCs w:val="24"/>
    </w:rPr>
  </w:style>
  <w:style w:type="paragraph" w:styleId="20">
    <w:name w:val="annotation subject"/>
    <w:basedOn w:val="7"/>
    <w:next w:val="7"/>
    <w:link w:val="38"/>
    <w:unhideWhenUsed/>
    <w:qFormat/>
    <w:uiPriority w:val="99"/>
    <w:rPr>
      <w:rFonts w:asciiTheme="minorHAnsi" w:hAnsiTheme="minorHAnsi" w:cstheme="minorBidi"/>
      <w:b/>
      <w:bCs/>
      <w:szCs w:val="22"/>
    </w:rPr>
  </w:style>
  <w:style w:type="table" w:styleId="22">
    <w:name w:val="Table Grid"/>
    <w:basedOn w:val="2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annotation reference"/>
    <w:unhideWhenUsed/>
    <w:qFormat/>
    <w:uiPriority w:val="0"/>
    <w:rPr>
      <w:sz w:val="21"/>
      <w:szCs w:val="21"/>
    </w:rPr>
  </w:style>
  <w:style w:type="character" w:customStyle="1" w:styleId="27">
    <w:name w:val="标题 1 字符"/>
    <w:basedOn w:val="23"/>
    <w:link w:val="2"/>
    <w:qFormat/>
    <w:uiPriority w:val="0"/>
    <w:rPr>
      <w:rFonts w:ascii="黑体" w:hAnsi="Times New Roman" w:eastAsia="宋体" w:cs="Times New Roman"/>
      <w:b/>
      <w:kern w:val="2"/>
      <w:sz w:val="32"/>
      <w:szCs w:val="24"/>
    </w:rPr>
  </w:style>
  <w:style w:type="character" w:customStyle="1" w:styleId="28">
    <w:name w:val="标题 2 字符"/>
    <w:basedOn w:val="23"/>
    <w:link w:val="3"/>
    <w:qFormat/>
    <w:uiPriority w:val="0"/>
    <w:rPr>
      <w:rFonts w:ascii="Arial" w:hAnsi="Arial" w:eastAsia="黑体" w:cs="Times New Roman"/>
      <w:b/>
      <w:sz w:val="32"/>
      <w:szCs w:val="20"/>
    </w:rPr>
  </w:style>
  <w:style w:type="character" w:customStyle="1" w:styleId="29">
    <w:name w:val="标题 3 字符"/>
    <w:basedOn w:val="23"/>
    <w:link w:val="4"/>
    <w:qFormat/>
    <w:uiPriority w:val="0"/>
    <w:rPr>
      <w:rFonts w:ascii="Times New Roman" w:hAnsi="Times New Roman" w:eastAsia="宋体" w:cs="Times New Roman"/>
      <w:b/>
      <w:sz w:val="32"/>
      <w:szCs w:val="20"/>
    </w:rPr>
  </w:style>
  <w:style w:type="character" w:customStyle="1" w:styleId="30">
    <w:name w:val="批注框文本 Char"/>
    <w:qFormat/>
    <w:uiPriority w:val="99"/>
    <w:rPr>
      <w:rFonts w:eastAsia="宋体"/>
      <w:sz w:val="18"/>
      <w:szCs w:val="18"/>
    </w:rPr>
  </w:style>
  <w:style w:type="character" w:customStyle="1" w:styleId="31">
    <w:name w:val="批注主题 Char"/>
    <w:qFormat/>
    <w:uiPriority w:val="99"/>
    <w:rPr>
      <w:rFonts w:eastAsia="宋体"/>
      <w:b/>
      <w:bCs/>
    </w:rPr>
  </w:style>
  <w:style w:type="character" w:customStyle="1" w:styleId="32">
    <w:name w:val="文档结构图 Char"/>
    <w:qFormat/>
    <w:uiPriority w:val="99"/>
    <w:rPr>
      <w:rFonts w:ascii="宋体" w:eastAsia="宋体"/>
      <w:sz w:val="18"/>
      <w:szCs w:val="18"/>
    </w:rPr>
  </w:style>
  <w:style w:type="character" w:customStyle="1" w:styleId="33">
    <w:name w:val="批注文字 Char"/>
    <w:semiHidden/>
    <w:qFormat/>
    <w:uiPriority w:val="99"/>
    <w:rPr>
      <w:rFonts w:eastAsia="宋体"/>
      <w:kern w:val="2"/>
      <w:sz w:val="21"/>
    </w:rPr>
  </w:style>
  <w:style w:type="character" w:customStyle="1" w:styleId="34">
    <w:name w:val="页脚 Char"/>
    <w:qFormat/>
    <w:uiPriority w:val="0"/>
    <w:rPr>
      <w:rFonts w:eastAsia="宋体"/>
      <w:sz w:val="18"/>
    </w:rPr>
  </w:style>
  <w:style w:type="character" w:customStyle="1" w:styleId="35">
    <w:name w:val="纯文本 Char"/>
    <w:qFormat/>
    <w:uiPriority w:val="0"/>
    <w:rPr>
      <w:rFonts w:ascii="宋体" w:hAnsi="宋体"/>
      <w:sz w:val="26"/>
    </w:rPr>
  </w:style>
  <w:style w:type="character" w:customStyle="1" w:styleId="36">
    <w:name w:val="文档结构图 字符"/>
    <w:basedOn w:val="23"/>
    <w:link w:val="6"/>
    <w:semiHidden/>
    <w:qFormat/>
    <w:uiPriority w:val="99"/>
    <w:rPr>
      <w:rFonts w:ascii="宋体" w:hAnsi="Times New Roman" w:eastAsia="宋体" w:cs="Times New Roman"/>
      <w:sz w:val="18"/>
      <w:szCs w:val="18"/>
    </w:rPr>
  </w:style>
  <w:style w:type="character" w:customStyle="1" w:styleId="37">
    <w:name w:val="批注文字 字符"/>
    <w:basedOn w:val="23"/>
    <w:link w:val="7"/>
    <w:qFormat/>
    <w:uiPriority w:val="99"/>
    <w:rPr>
      <w:rFonts w:ascii="Times New Roman" w:hAnsi="Times New Roman" w:eastAsia="宋体" w:cs="Times New Roman"/>
      <w:szCs w:val="20"/>
    </w:rPr>
  </w:style>
  <w:style w:type="character" w:customStyle="1" w:styleId="38">
    <w:name w:val="批注主题 字符"/>
    <w:basedOn w:val="37"/>
    <w:link w:val="20"/>
    <w:semiHidden/>
    <w:qFormat/>
    <w:uiPriority w:val="99"/>
    <w:rPr>
      <w:rFonts w:ascii="Times New Roman" w:hAnsi="Times New Roman" w:eastAsia="宋体" w:cs="Times New Roman"/>
      <w:b/>
      <w:bCs/>
      <w:szCs w:val="20"/>
    </w:rPr>
  </w:style>
  <w:style w:type="character" w:customStyle="1" w:styleId="39">
    <w:name w:val="正文文本 字符"/>
    <w:basedOn w:val="23"/>
    <w:link w:val="8"/>
    <w:qFormat/>
    <w:uiPriority w:val="0"/>
    <w:rPr>
      <w:rFonts w:ascii="Times New Roman" w:hAnsi="Times New Roman" w:eastAsia="宋体" w:cs="Times New Roman"/>
      <w:szCs w:val="24"/>
    </w:rPr>
  </w:style>
  <w:style w:type="character" w:customStyle="1" w:styleId="40">
    <w:name w:val="正文文本缩进 字符"/>
    <w:basedOn w:val="23"/>
    <w:link w:val="9"/>
    <w:qFormat/>
    <w:uiPriority w:val="0"/>
    <w:rPr>
      <w:rFonts w:ascii="宋体" w:hAnsi="Times New Roman" w:eastAsia="宋体" w:cs="Century"/>
      <w:spacing w:val="2"/>
      <w:szCs w:val="24"/>
    </w:rPr>
  </w:style>
  <w:style w:type="character" w:customStyle="1" w:styleId="41">
    <w:name w:val="纯文本 字符"/>
    <w:basedOn w:val="23"/>
    <w:link w:val="11"/>
    <w:qFormat/>
    <w:uiPriority w:val="99"/>
    <w:rPr>
      <w:rFonts w:ascii="宋体" w:hAnsi="Courier New" w:eastAsia="宋体" w:cs="Courier New"/>
      <w:szCs w:val="21"/>
    </w:rPr>
  </w:style>
  <w:style w:type="character" w:customStyle="1" w:styleId="42">
    <w:name w:val="日期 字符"/>
    <w:basedOn w:val="23"/>
    <w:link w:val="12"/>
    <w:qFormat/>
    <w:uiPriority w:val="0"/>
    <w:rPr>
      <w:rFonts w:ascii="宋体" w:hAnsi="宋体" w:eastAsia="宋体" w:cs="Times New Roman"/>
      <w:sz w:val="24"/>
      <w:szCs w:val="20"/>
    </w:rPr>
  </w:style>
  <w:style w:type="character" w:customStyle="1" w:styleId="43">
    <w:name w:val="正文文本缩进 2 字符"/>
    <w:basedOn w:val="23"/>
    <w:link w:val="13"/>
    <w:qFormat/>
    <w:uiPriority w:val="0"/>
    <w:rPr>
      <w:rFonts w:ascii="Times New Roman" w:hAnsi="Times New Roman" w:eastAsia="宋体" w:cs="Times New Roman"/>
      <w:szCs w:val="24"/>
    </w:rPr>
  </w:style>
  <w:style w:type="character" w:customStyle="1" w:styleId="44">
    <w:name w:val="批注框文本 字符"/>
    <w:basedOn w:val="23"/>
    <w:link w:val="14"/>
    <w:semiHidden/>
    <w:qFormat/>
    <w:uiPriority w:val="99"/>
    <w:rPr>
      <w:rFonts w:ascii="Times New Roman" w:hAnsi="Times New Roman" w:eastAsia="宋体" w:cs="Times New Roman"/>
      <w:sz w:val="18"/>
      <w:szCs w:val="18"/>
    </w:rPr>
  </w:style>
  <w:style w:type="character" w:customStyle="1" w:styleId="45">
    <w:name w:val="页脚 字符"/>
    <w:basedOn w:val="23"/>
    <w:link w:val="15"/>
    <w:semiHidden/>
    <w:qFormat/>
    <w:uiPriority w:val="99"/>
    <w:rPr>
      <w:rFonts w:ascii="Times New Roman" w:hAnsi="Times New Roman" w:eastAsia="宋体" w:cs="Times New Roman"/>
      <w:sz w:val="18"/>
      <w:szCs w:val="18"/>
    </w:rPr>
  </w:style>
  <w:style w:type="character" w:customStyle="1" w:styleId="46">
    <w:name w:val="页眉 字符"/>
    <w:basedOn w:val="23"/>
    <w:link w:val="16"/>
    <w:qFormat/>
    <w:uiPriority w:val="0"/>
    <w:rPr>
      <w:rFonts w:ascii="Times New Roman" w:hAnsi="Times New Roman" w:eastAsia="宋体" w:cs="Times New Roman"/>
      <w:sz w:val="18"/>
      <w:szCs w:val="20"/>
    </w:rPr>
  </w:style>
  <w:style w:type="paragraph" w:customStyle="1" w:styleId="47">
    <w:name w:val="列出段落1"/>
    <w:basedOn w:val="1"/>
    <w:qFormat/>
    <w:uiPriority w:val="34"/>
    <w:pPr>
      <w:ind w:firstLine="420" w:firstLineChars="200"/>
    </w:pPr>
  </w:style>
  <w:style w:type="paragraph" w:customStyle="1" w:styleId="48">
    <w:name w:val="纯文本1"/>
    <w:next w:val="18"/>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49">
    <w:name w:val="列出段落11"/>
    <w:basedOn w:val="1"/>
    <w:qFormat/>
    <w:uiPriority w:val="99"/>
    <w:pPr>
      <w:ind w:firstLine="420" w:firstLineChars="200"/>
    </w:pPr>
  </w:style>
  <w:style w:type="paragraph" w:customStyle="1" w:styleId="50">
    <w:name w:val="正文文本缩进1"/>
    <w:basedOn w:val="1"/>
    <w:qFormat/>
    <w:uiPriority w:val="0"/>
    <w:pPr>
      <w:spacing w:line="200" w:lineRule="exact"/>
      <w:ind w:firstLine="301"/>
    </w:pPr>
    <w:rPr>
      <w:rFonts w:ascii="宋体" w:hAnsi="Courier New"/>
      <w:spacing w:val="-4"/>
      <w:sz w:val="18"/>
    </w:rPr>
  </w:style>
  <w:style w:type="paragraph" w:customStyle="1" w:styleId="51">
    <w:name w:val="正文文本缩进2"/>
    <w:basedOn w:val="1"/>
    <w:qFormat/>
    <w:uiPriority w:val="0"/>
    <w:pPr>
      <w:spacing w:line="200" w:lineRule="exact"/>
      <w:ind w:firstLine="301"/>
    </w:pPr>
    <w:rPr>
      <w:rFonts w:ascii="宋体" w:hAnsi="Courier New"/>
      <w:spacing w:val="-4"/>
      <w:kern w:val="0"/>
      <w:sz w:val="18"/>
    </w:rPr>
  </w:style>
  <w:style w:type="character" w:customStyle="1" w:styleId="52">
    <w:name w:val="页码1"/>
    <w:basedOn w:val="23"/>
    <w:qFormat/>
    <w:uiPriority w:val="0"/>
  </w:style>
  <w:style w:type="paragraph" w:customStyle="1" w:styleId="53">
    <w:name w:val="正文文本缩进21"/>
    <w:basedOn w:val="1"/>
    <w:qFormat/>
    <w:uiPriority w:val="0"/>
    <w:pPr>
      <w:spacing w:line="200" w:lineRule="exact"/>
      <w:ind w:firstLine="301"/>
    </w:pPr>
    <w:rPr>
      <w:rFonts w:ascii="宋体" w:hAnsi="Courier New"/>
      <w:spacing w:val="-4"/>
      <w:kern w:val="0"/>
      <w:sz w:val="18"/>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正文缩进 字符"/>
    <w:link w:val="5"/>
    <w:qFormat/>
    <w:uiPriority w:val="99"/>
    <w:rPr>
      <w:rFonts w:ascii="宋体" w:hAnsi="Times New Roman" w:eastAsia="宋体" w:cs="Times New Roman"/>
      <w:kern w:val="2"/>
      <w:sz w:val="24"/>
    </w:rPr>
  </w:style>
  <w:style w:type="paragraph" w:customStyle="1" w:styleId="56">
    <w:name w:val="Í¼±íÕýÎÄ"/>
    <w:basedOn w:val="1"/>
    <w:next w:val="5"/>
    <w:qFormat/>
    <w:uiPriority w:val="0"/>
    <w:pPr>
      <w:ind w:firstLine="420" w:firstLineChars="200"/>
    </w:pPr>
    <w:rPr>
      <w:sz w:val="24"/>
    </w:rPr>
  </w:style>
  <w:style w:type="paragraph" w:styleId="57">
    <w:name w:val="List Paragraph"/>
    <w:basedOn w:val="1"/>
    <w:qFormat/>
    <w:uiPriority w:val="34"/>
    <w:pPr>
      <w:ind w:firstLine="420" w:firstLineChars="200"/>
    </w:pPr>
    <w:rPr>
      <w:rFonts w:ascii="Calibri" w:hAnsi="Calibri"/>
      <w:szCs w:val="22"/>
    </w:rPr>
  </w:style>
  <w:style w:type="character" w:customStyle="1" w:styleId="58">
    <w:name w:val="font01"/>
    <w:qFormat/>
    <w:uiPriority w:val="0"/>
    <w:rPr>
      <w:rFonts w:hint="eastAsia" w:ascii="宋体" w:hAnsi="宋体" w:eastAsia="宋体" w:cs="宋体"/>
      <w:color w:val="000000"/>
      <w:sz w:val="24"/>
      <w:szCs w:val="24"/>
      <w:u w:val="none"/>
    </w:rPr>
  </w:style>
  <w:style w:type="paragraph" w:customStyle="1" w:styleId="59">
    <w:name w:val="纯文本2"/>
    <w:next w:val="18"/>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paragraph" w:customStyle="1" w:styleId="60">
    <w:name w:val="TOC 标题1"/>
    <w:basedOn w:val="2"/>
    <w:next w:val="1"/>
    <w:semiHidden/>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61">
    <w:name w:val="修订2"/>
    <w:hidden/>
    <w:semiHidden/>
    <w:unhideWhenUsed/>
    <w:qFormat/>
    <w:uiPriority w:val="99"/>
    <w:rPr>
      <w:rFonts w:ascii="Times New Roman" w:hAnsi="Times New Roman" w:eastAsia="宋体" w:cs="Times New Roman"/>
      <w:kern w:val="2"/>
      <w:sz w:val="21"/>
      <w:lang w:val="en-US" w:eastAsia="zh-CN" w:bidi="ar-SA"/>
    </w:rPr>
  </w:style>
  <w:style w:type="paragraph" w:customStyle="1" w:styleId="62">
    <w:name w:val="成文日期"/>
    <w:basedOn w:val="1"/>
    <w:link w:val="63"/>
    <w:qFormat/>
    <w:uiPriority w:val="0"/>
    <w:pPr>
      <w:spacing w:line="570" w:lineRule="exact"/>
      <w:ind w:right="400" w:rightChars="400" w:firstLine="200" w:firstLineChars="200"/>
      <w:jc w:val="right"/>
    </w:pPr>
    <w:rPr>
      <w:rFonts w:ascii="仿宋_GB2312" w:eastAsia="仿宋_GB2312"/>
      <w:sz w:val="32"/>
      <w:lang w:val="zh-CN"/>
    </w:rPr>
  </w:style>
  <w:style w:type="character" w:customStyle="1" w:styleId="63">
    <w:name w:val="成文日期 Char"/>
    <w:link w:val="62"/>
    <w:qFormat/>
    <w:uiPriority w:val="0"/>
    <w:rPr>
      <w:rFonts w:ascii="仿宋_GB2312" w:hAnsi="Times New Roman" w:eastAsia="仿宋_GB2312" w:cs="Times New Roman"/>
      <w:kern w:val="2"/>
      <w:sz w:val="32"/>
      <w:lang w:val="zh-CN" w:eastAsia="zh-CN"/>
    </w:rPr>
  </w:style>
  <w:style w:type="paragraph" w:customStyle="1" w:styleId="64">
    <w:name w:val="材料标题"/>
    <w:basedOn w:val="1"/>
    <w:link w:val="65"/>
    <w:qFormat/>
    <w:uiPriority w:val="0"/>
    <w:pPr>
      <w:adjustRightInd w:val="0"/>
      <w:snapToGrid w:val="0"/>
      <w:spacing w:line="700" w:lineRule="exact"/>
      <w:jc w:val="center"/>
    </w:pPr>
    <w:rPr>
      <w:rFonts w:ascii="方正小标宋简体" w:eastAsia="方正小标宋简体"/>
      <w:color w:val="000000"/>
      <w:sz w:val="44"/>
      <w:szCs w:val="44"/>
    </w:rPr>
  </w:style>
  <w:style w:type="character" w:customStyle="1" w:styleId="65">
    <w:name w:val="材料标题 Char"/>
    <w:link w:val="64"/>
    <w:qFormat/>
    <w:uiPriority w:val="0"/>
    <w:rPr>
      <w:rFonts w:ascii="方正小标宋简体" w:hAnsi="Times New Roman" w:eastAsia="方正小标宋简体" w:cs="Times New Roman"/>
      <w:color w:val="000000"/>
      <w:kern w:val="2"/>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4E329-902A-461E-B06A-9D37D9713A78}">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31</Pages>
  <Words>15859</Words>
  <Characters>17021</Characters>
  <Lines>140</Lines>
  <Paragraphs>39</Paragraphs>
  <TotalTime>60</TotalTime>
  <ScaleCrop>false</ScaleCrop>
  <LinksUpToDate>false</LinksUpToDate>
  <CharactersWithSpaces>18497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Administrator</cp:lastModifiedBy>
  <cp:lastPrinted>2025-03-20T02:07:00Z</cp:lastPrinted>
  <dcterms:modified xsi:type="dcterms:W3CDTF">2025-04-02T00:36:27Z</dcterms:modified>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E316CD75C94E48CD98E92237791560F4_13</vt:lpwstr>
  </property>
  <property fmtid="{D5CDD505-2E9C-101B-9397-08002B2CF9AE}" pid="4" name="KSOTemplateDocerSaveRecord">
    <vt:lpwstr>eyJoZGlkIjoiNTlmZjkwOGIyNzNkZDAwZTczOWIxMWU1Nzk4ZjJlMzQiLCJ1c2VySWQiOiIyNzYwMTEwNDMifQ==</vt:lpwstr>
  </property>
</Properties>
</file>