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2</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w:t>
            </w:r>
            <w:bookmarkStart w:id="0" w:name="_GoBack"/>
            <w:bookmarkEnd w:id="0"/>
            <w:r>
              <w:rPr>
                <w:rFonts w:hint="default" w:ascii="Arial" w:hAnsi="Arial" w:eastAsia="宋体" w:cs="Arial"/>
                <w:i w:val="0"/>
                <w:iCs w:val="0"/>
                <w:color w:val="000000"/>
                <w:kern w:val="0"/>
                <w:sz w:val="20"/>
                <w:szCs w:val="20"/>
                <w:u w:val="none"/>
                <w:lang w:val="en-US" w:eastAsia="zh-CN" w:bidi="ar"/>
              </w:rPr>
              <w:t>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yF8rgeyvSs0vEdQGEEyu/DEL0tY=" w:salt="5vXPjyi3q/ByoPJZHgFcp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5EE41020"/>
    <w:rsid w:val="60BD3BA3"/>
    <w:rsid w:val="62AC3ECF"/>
    <w:rsid w:val="63045E00"/>
    <w:rsid w:val="66973907"/>
    <w:rsid w:val="669D33A5"/>
    <w:rsid w:val="6B5170C3"/>
    <w:rsid w:val="6E2149B7"/>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6</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2025-03-12T03:22:25Z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F0D2B99555B546AC86F11A76656E9909_13</vt:lpwstr>
  </property>
</Properties>
</file>