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常州市武进区教育局（本级）</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（一）统筹教育系统党的建设工作。负责局属单位领导班子、干部队伍建设，负责直属党组织党的建设工作，指导教育系统党的建设工作。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（二）负责教育系统宣传思想文化工作。主要包括思想理论建设、宣传舆论阵地建设、校园文化建设和精神文明建设。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（三）指导学校安全风险防控体系建设。指导、协调教育系统维护稳定以及学校安全保卫工作，指导协调学校做好重大安全事件处置工作。指导学校后勤管理与改革工作。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（四）贯彻党和国家的教育方针、政策，落实国家有关教育的法律法规，拟订教育改革和发展的政策和规划。落实立德树人根本任务，发展素质教育。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（五）负责各级各类教育的统筹规划和协调管理，指导各级各类学校建设和发展，负责全区教育基本信息的统计、分析和发布。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提出由区统筹使用的教育经费安排计划，会同有关部门拟订教育经费筹措、教育拨款、教育收费和教育基建投资等方面的政策，统筹管理本部门的教育经费和上级下达的专项经费，统筹管理对本区的教育援助和教育贷款，对教育经费实行审计监督，负责直属单位国有资产管理，负责统计全区教育经费投入情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（七）指导学校德育、智育、体育卫生与艺术教育、劳动教育以及国防教育工作。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（八）综合管理全区基础教育、职业教育、终身教育和社会力量办学等工作。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（九）指导全区教师工作，组织、指导实施教师资格制度，组织、指导教育系统专业技术职务评审聘任工作，指导、协调教育系统人才队伍建设、人事分配制度改革工作。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（十）负责全区高等教育和中等教育的招生考试工作，负责全区高等教育自学考试及其他有关教育考试的管理工作。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（十一）统筹管理中等及以下教育的对外交流与合作工作。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（十二）统筹管理和指导协调全区语言文字工作。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（十三）指导教育系统统战与群众团体工作。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（十四）指导全区教育督导工作，负责组织和指导各级各类教育的督导检查和评估验收工作，组织、指导基础教育发展水平、质量的监测工作。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办公室、组织人事科、发展规划与财务科、基础教育科（学前教育科）、职业教育与社会教育科（安全生产监督管理科）、教育督导室（政策法规科）、监督审计科。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紧扣大局、狠抓落实，高质量推进党建工作。一是深化理论学习。全面贯彻党的二十大及二十届二中、三中全会精神，巩固拓展主题教育成果，扎实组织开展党纪学习教育，推进群众身边的不正之风专项整治。继续推进中小学校党组织领导的校长负责制，二是健全党建工作机制。进一步规范学校党政领导班子的决策行为，进一步加强党组织书记、党组织副书记和党务干事三支队伍培训，继续开展基层学校党组织“强基之星”建设，推动基层学校党组织标准化规范化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精心布局、扎实推进，高效率开展资源建设。进一步优化教育规划布局，充分预测各学段学生数变化趋势，加快推进学校新建、改扩建等项目建设。确保常州市高级职业技术学校实训楼新建项目2025年秋学期竣工投用。武进第二高级中学教学楼宿舍楼新建、前黄实验高中改造将于2025年顺利开工，预计增加学位6480个。此外，将加快推进前黄实验学校宿舍楼建设和老武高修缮项目。进一步补充教育资源，保障资源供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德为先、夯实专业，高标准打造教师队伍。进一步提升教师队伍建设水平，大力弘扬教育家精神。坚持师德师风为第一标准，挖掘树立典型，加强师德师风督查。完善“区管校聘”人事制度改革，做好教师交流轮岗工作考核继续实施多层次的教师公开招聘制度，全面分析教师队伍情况，精准配置各学段学科教师。健全教师培养体系，加强人才引育，继续推进“吾有优师”行动，重点实施领航名师、骨干教师、新任教师三项培育工程，提升我区教师队伍专业能力。确保区内高层次人才在全市“第一方阵”的地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深耕内涵、提质培优，高水平发展基础教育。全力争创“全国学前教育普及普惠区”，助推教育高质量发展。坚持立德树人，强化“五育并举”全面发展。高标准建设好常州市第七批教科研基地和武进区2024-2027年度教科研基地。深化集团化办学，继续推进常州市新优质学校，省市“优质幼儿园”“省中小学实验教学示范区”创建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稳字当头、筑牢防线，高要求保障校园安全。全面推进教育系统安全生产治本攻坚三年行动，围绕2025年重点任务，进一步健全安全工作机制，完善安全监管网络，加强校园及周边治安综合治理，继续推进重大事故隐患动态清零行动，持续深化校车及交通安全管理提升行动和“生命至上，隐患必除”消防安全专项行动。深化食堂专项治理成果。全面开展市、区级平安校园创建，不断提升校园安全保障能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常州市武进区教育局（本级）</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常州市武进区教育局（本级）</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91,399.79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7,311.02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98,266.99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130.56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20.20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293.06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98,710.81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98,710.81</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98,710.81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98,710.81</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98,710.81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98,710.81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91,399.79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7,311.02</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118001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常州市武进区教育局（本级）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98,710.81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98,710.81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91,399.79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7,311.02</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98,710.81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974.82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97,735.99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98,266.99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97,735.99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329.31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3,680.47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3,680.47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高中教育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8,444.14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8,444.14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8,444.14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8,444.14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85,229.37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85,229.37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85,229.37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85,229.37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常州市武进区教育局（本级）</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91,399.79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91,399.79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91,399.79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90,955.97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130.56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293.06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91,399.79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91,399.79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91,399.79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974.82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937.85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90,424.97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90,955.97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90,424.97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860.31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329.31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3,680.47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中等职业教育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8,444.14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8,444.14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8,444.14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8,444.14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77,918.35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77,918.35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77,918.35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77,918.35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常州市武进区教育局（本级）</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974.82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937.85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91,399.79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974.82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937.85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90,424.97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90,955.97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90,424.97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329.31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3,680.47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3,680.47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中等职业教育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8,444.14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8,444.14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8,444.14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8,444.14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77,918.35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77,918.35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77,918.35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77,918.35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974.82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937.85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893.40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常州市武进区教育局（本级）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2025-2027专项业务经费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常州市武进区教育局（本级）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2025-2027专项业务经费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2025-2027专项业务经费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义务教育质量监测</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创建全国学前教育普及普惠区专项经费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常州市武进区教育局（本级）2025年度收入、支出预算总计98,710.81万元，与上年相比收、支预算总计各减少41,605.84万元，减少29.65%。其中：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（一）收入预算总计98,710.81万元。包括：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1．本年收入合计98,710.81万元。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（1）一般公共预算拨款收入91,399.79万元，与上年相比减少28,753.77万元，减少23.93%。主要原因是由一般公共预算安排的乡镇学校教育经费等项目经费减少。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（2）政府性基金预算拨款收入0万元，与上年相比减少16,442.69万元，减少100%。主要原因是科教城学校建设项目已完成。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（4）财政专户管理资金收入7,311.02万元，与上年相比增加3,590.62万元，增长96.51%。主要原因是由财政专户管理资金安排的项目经费增加。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（二）支出预算总计98,710.81万元。包括：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1．本年支出合计98,710.81万元。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（1）教育支出（类）支出98,266.99万元，主要用于教育局本级及学校教育经费。与上年相比减少25,204.48万元，减少20.41%。主要原因是由一般公共预算安排的乡镇学校教育经费等项目经费减少。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（2）社会保障和就业支出（类）支出130.56万元，主要用于局本级在职人员养老保险、职业年金缴费支出以及离退休人员离退休经费支出。与上年相比增加16.83万元，增长14.8%。主要原因是去年养老保险基数调整。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（3）卫生健康支出（类）支出20.2万元，主要用于局本级医疗经费支出。与上年相比增加4.27万元，增长26.8%。主要原因是2025年人员增加。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（4）城乡社区支出（类）支出0万元，与上年相比减少16,442.69万元，减少100%。主要原因是科教城学校建设项目已完成。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（5）住房保障支出（类）支出293.06万元，主要用于局本级人员住房保障方面支出。与上年相比增加20.23万元，增长7.41%。主要原因是2025年人员增加。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常州市武进区教育局（本级）2025年收入预算合计98,710.81万元，包括本年收入98,710.81万元，上年结转结余0万元。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本年一般公共预算收入91,399.79万元，占92.59%；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本年财政专户管理资金7,311.02万元，占7.41%；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常州市武进区教育局（本级）2025年支出预算合计98,710.81万元，其中：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基本支出974.82万元，占0.99%；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项目支出97,735.99万元，占99.01%；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度财政拨款收、支总预算91,399.79万元。与上年相比，财政拨款收、支总计各减少45,196.46万元，减少33.09%。主要原因是由一般公共预算安排的乡镇学校教育经费等项目经费减少，科教城学校建设项目已完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财政拨款预算支出91,399.79万元，占本年支出合计的92.59%。与上年相比，财政拨款支出减少45,196.46万元，减少33.09%。主要原因是由一般公共预算安排的乡镇学校教育经费等项目经费减少，科教城学校建设项目已完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1.教育管理事务（款）行政运行（项）支出532.08万元，与上年相比增加80.15万元，增长17.74%。主要原因是2025年人员增加。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2.教育管理事务（款）一般行政管理事务（项）支出328.23万元，与上年相比减少18.48万元，减少5.33%。主要原因是局本级项目经费减少。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3.普通教育（款）学前教育（项）支出2,240.22万元，与上年相比增加115.75万元，增长5.45%。主要原因是镇属学前教育专项补助经费增加。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4.普通教育（款）小学教育（项）支出447万元，与上年相比减少2,138.17万元，减少82.71%。主要原因是镇属小学教育专项补助经费减少。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5.普通教育（款）初中教育（项）支出299万元，与上年相比减少1,326.98万元，减少81.61%。主要原因是镇属初中教育专项补助经费减少。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6.普通教育（款）高中教育（项）支出694.25万元，与上年相比增加507.98万元，增长272.71%。主要原因是镇属高中教育专项补助经费增加。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7.职业教育（款）中等职业教育（项）支出52.7万元，与上年相比减少3万元，减少5.39%。主要原因是职中技能大赛项目经费预算减少。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8.教育费附加安排的支出（款）其他教育费附加安排的支出（项）支出8,444.14万元，与上年相比减少14,156.47万元，减少62.64%。主要原因是由教育费附加安排的乡镇学校基建工程补助等项目经费减少。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9.其他教育支出（款）其他教育支出（项）支出77,918.35万元，与上年相比减少11,855.88万元，减少13.21%。主要原因是由其他教育支出安排的乡镇学校教育经费等项目经费减少。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1.行政事业单位养老支出（款）行政单位离退休（项）支出20.82万元，与上年预算数相同。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2.行政事业单位养老支出（款）机关事业单位基本养老保险缴费支出（项）支出73.16万元，与上年相比增加11.22万元，增长18.11%。主要原因是去年养老保险基数调整。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3.行政事业单位养老支出（款）机关事业单位职业年金缴费支出（项）支出36.58万元，与上年相比增加5.61万元，增长18.11%。主要原因是去年职业年金基数调整。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1.行政事业单位医疗（款）行政单位医疗（项）支出15万元，与上年相比增加3.67万元，增长32.39%。主要原因是2025年人员增加。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2.行政事业单位医疗（款）公务员医疗补助（项）支出5.2万元，与上年相比增加0.6万元，增长13.04%。主要原因是2025年人员增加。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国有土地使用权出让收入安排的支出（款）城市建设支出（项）支出0万元，与上年相比减少16,442.69万元，减少100%。主要原因是科教城学校建设项目已完成。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1.住房改革支出（款）住房公积金（项）支出67.99万元，与上年相比增加6.39万元，增长10.37%。主要原因是2025年人员增加。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2.住房改革支出（款）提租补贴（项）支出149.13万元，与上年预算数相同。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3.住房改革支出（款）购房补贴（项）支出75.94万元，与上年相比增加13.84万元，增长22.29%。主要原因是2025年人员增加。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常州市武进区教育局（本级）2025年度财政拨款基本支出预算974.82万元，其中：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937.85万元。主要包括：基本工资、津贴补贴、奖金、机关事业单位基本养老保险缴费、职业年金缴费、职工基本医疗保险缴费、公务员医疗补助缴费、其他社会保障缴费、住房公积金、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（二）公用经费36.97万元。主要包括：办公费、邮电费、差旅费、培训费、公务接待费、工会经费、福利费、其他商品和服务支出。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常州市武进区教育局（本级）2025年一般公共预算财政拨款支出预算91,399.79万元，与上年相比减少28,753.77万元，减少23.93%。主要原因是由一般公共预算安排的乡镇学校教育经费等项目经费减少。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常州市武进区教育局（本级）2025年度一般公共预算财政拨款基本支出预算974.82万元，其中：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937.85万元。主要包括：基本工资、津贴补贴、奖金、机关事业单位基本养老保险缴费、职业年金缴费、职工基本医疗保险缴费、公务员医疗补助缴费、其他社会保障缴费、住房公积金、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（二）公用经费36.97万元。主要包括：办公费、邮电费、差旅费、培训费、公务接待费、工会经费、福利费、其他商品和服务支出。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度一般公共预算拨款安排的“三公”经费支出预算3万元，比上年预算减少2.4万元，变动原因厉行节约。其中，因公出国（境）费支出0万元，占“三公”经费的0%；公务用车购置及运行维护费支出0万元，占“三公”经费的0%；公务接待费支出3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3．公务接待费预算支出3万元，比上年预算减少2.4万元，主要原因是厉行节约。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常州市武进区教育局（本级）2025年度一般公共预算拨款安排的会议费预算支出0万元，比上年预算减少18万元，主要原因是2025年预算未安排会议费。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常州市武进区教育局（本级）2025年度一般公共预算拨款安排的培训费预算支出893.4万元，比上年预算增加793.4万元，主要原因是武进区教育人才奖励经费、师资队伍梯队建设经费纳入培训费预算。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常州市武进区教育局（本级）2025年政府性基金支出预算支出0万元。与上年相比减少16,442.69万元，减少100%。主要原因是科教城学校建设项目已完成。</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2025年本单位一般公共预算机关运行经费预算支出36.97万元，与上年相比增加3.32万元，增长9.87%。主要原因是2025年新增公务员导致机关运行经费增加。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2025年度政府采购支出预算总额32.2万元，其中：拟采购货物支出1.2万元、拟采购工程支出0万元、拟采购服务支出31万元。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98,710.81万元；本单位共66个项目纳入绩效目标管理，涉及财政性资金合计97,735.99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八、教育支出(类)教育管理事务(款)行政运行(项)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十三、教育支出(类)普通教育(款)高中教育(项)</w:t>
      </w:r>
      <w:r>
        <w:rPr>
          <w:rFonts w:ascii="仿宋" w:hAnsi="仿宋" w:cs="仿宋" w:eastAsia="仿宋"/>
          <w:b w:val="true"/>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常州市武进区教育局（本级）</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