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55DA5">
      <w:pPr>
        <w:widowControl/>
        <w:jc w:val="center"/>
        <w:rPr>
          <w:rFonts w:hint="eastAsia" w:ascii="宋体" w:hAnsi="宋体" w:eastAsia="宋体" w:cs="宋体"/>
          <w:b/>
          <w:color w:val="000000"/>
          <w:kern w:val="0"/>
          <w:sz w:val="32"/>
          <w:szCs w:val="44"/>
        </w:rPr>
      </w:pPr>
      <w:r>
        <w:rPr>
          <w:rFonts w:hint="eastAsia" w:ascii="宋体" w:hAnsi="宋体" w:eastAsia="宋体" w:cs="宋体"/>
          <w:b/>
          <w:color w:val="000000"/>
          <w:kern w:val="0"/>
          <w:sz w:val="32"/>
          <w:szCs w:val="44"/>
        </w:rPr>
        <w:t>武进区</w:t>
      </w:r>
      <w:r>
        <w:rPr>
          <w:rFonts w:ascii="宋体" w:hAnsi="宋体" w:eastAsia="宋体" w:cs="宋体"/>
          <w:b/>
          <w:color w:val="000000"/>
          <w:kern w:val="0"/>
          <w:sz w:val="32"/>
          <w:szCs w:val="44"/>
        </w:rPr>
        <w:t>2023-06号礼嘉镇龙逸路南青洋路西工业片区（CP320412-2023-06-03）调整方案（征求意见稿）</w:t>
      </w:r>
    </w:p>
    <w:p w14:paraId="16663D8A">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为满足城市发展用地需求，规范征地程序，保障被征地农民合法权益，根据《中华人民共和国土地管理法》（2019年）、</w:t>
      </w:r>
      <w:r>
        <w:rPr>
          <w:rFonts w:hint="eastAsia" w:ascii="Times New Roman" w:hAnsi="Times New Roman" w:eastAsia="仿宋_GB2312" w:cs="Times New Roman"/>
          <w:color w:val="000000"/>
          <w:kern w:val="0"/>
          <w:sz w:val="32"/>
          <w:szCs w:val="32"/>
        </w:rPr>
        <w:t>《自然资源部关于印发</w:t>
      </w:r>
      <w:r>
        <w:rPr>
          <w:rFonts w:ascii="Times New Roman" w:hAnsi="Times New Roman" w:eastAsia="仿宋_GB2312" w:cs="Times New Roman"/>
          <w:color w:val="000000"/>
          <w:kern w:val="0"/>
          <w:sz w:val="32"/>
          <w:szCs w:val="32"/>
        </w:rPr>
        <w:t>&lt;土地征收成片开发标准&gt;的通知》（自然资规〔2023〕7号）、《江苏省自然资源厅关于开展土地征收成片开发方案编制工作的通知》（苏自然资函〔2021〕15号）、《江苏省自然资源厅关于加快推进土地征收成片开发方案编制工作的通知》（苏自然资发〔2021〕138号）、《省政府关于印发江苏省被征地农民社会保障办法的通知》（苏政发〔2021〕87号）、《省政府关于重新公布江苏省征地区片综合地价最低标准的通知》（苏政规〔2023〕12号）</w:t>
      </w:r>
      <w:r>
        <w:rPr>
          <w:rFonts w:hint="eastAsia" w:ascii="Times New Roman" w:hAnsi="Times New Roman" w:eastAsia="仿宋_GB2312" w:cs="Times New Roman"/>
          <w:color w:val="000000"/>
          <w:kern w:val="0"/>
          <w:sz w:val="32"/>
          <w:szCs w:val="32"/>
        </w:rPr>
        <w:t>、《市政府关于重新公布常州市所辖各县（市、区）征地区片综合地价执行标准的通知》（常政规〔</w:t>
      </w:r>
      <w:r>
        <w:rPr>
          <w:rFonts w:ascii="Times New Roman" w:hAnsi="Times New Roman" w:eastAsia="仿宋_GB2312" w:cs="Times New Roman"/>
          <w:color w:val="000000"/>
          <w:kern w:val="0"/>
          <w:sz w:val="32"/>
          <w:szCs w:val="32"/>
        </w:rPr>
        <w:t>2023〕6号）等政策规定，常州市武进区人民政府组织编制了《</w:t>
      </w:r>
      <w:r>
        <w:rPr>
          <w:rFonts w:hint="eastAsia" w:ascii="Times New Roman" w:hAnsi="Times New Roman" w:eastAsia="仿宋_GB2312" w:cs="Times New Roman"/>
          <w:color w:val="000000"/>
          <w:kern w:val="0"/>
          <w:sz w:val="32"/>
          <w:szCs w:val="32"/>
        </w:rPr>
        <w:t>武进区</w:t>
      </w:r>
      <w:r>
        <w:rPr>
          <w:rFonts w:ascii="Times New Roman" w:hAnsi="Times New Roman" w:eastAsia="仿宋_GB2312" w:cs="Times New Roman"/>
          <w:color w:val="000000"/>
          <w:kern w:val="0"/>
          <w:sz w:val="32"/>
          <w:szCs w:val="32"/>
        </w:rPr>
        <w:t>2023-06号礼嘉镇龙逸路南青洋路西工业片区（CP320412-2023-06-03）调整方案》。现公示如下：</w:t>
      </w:r>
    </w:p>
    <w:p w14:paraId="6B538C41">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一、片区基本情况</w:t>
      </w:r>
    </w:p>
    <w:p w14:paraId="7F38917F">
      <w:pPr>
        <w:widowControl/>
        <w:spacing w:line="360" w:lineRule="auto"/>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已批复的武进区2023-06号土地征收成片开发方案（常政复〔2024〕24号）共划定6个片区，本次调整方案涉及其中1个片区，片区名称及片区编号为：</w:t>
      </w:r>
      <w:r>
        <w:rPr>
          <w:rFonts w:ascii="Times New Roman" w:hAnsi="Times New Roman" w:eastAsia="仿宋_GB2312" w:cs="Times New Roman"/>
          <w:color w:val="000000"/>
          <w:kern w:val="0"/>
          <w:sz w:val="32"/>
          <w:szCs w:val="32"/>
        </w:rPr>
        <w:t>礼嘉镇龙逸路南青洋路西工业片区（CP320412-2023-06-03）</w:t>
      </w:r>
      <w:r>
        <w:rPr>
          <w:rFonts w:hint="eastAsia" w:ascii="Times New Roman" w:hAnsi="Times New Roman" w:eastAsia="仿宋_GB2312" w:cs="Times New Roman"/>
          <w:color w:val="000000"/>
          <w:kern w:val="0"/>
          <w:sz w:val="32"/>
          <w:szCs w:val="32"/>
        </w:rPr>
        <w:t>，片区位于武进区礼嘉镇，调整前片区范围总面积为24.1140公顷，调整后片区总面积不变。</w:t>
      </w:r>
      <w:r>
        <w:rPr>
          <w:rFonts w:ascii="Times New Roman" w:hAnsi="Times New Roman" w:eastAsia="仿宋_GB2312" w:cs="Times New Roman"/>
          <w:sz w:val="32"/>
          <w:szCs w:val="32"/>
        </w:rPr>
        <w:t>（成片开发范围及面积以最终批复为准）</w:t>
      </w:r>
    </w:p>
    <w:p w14:paraId="3832A6F4">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二、成片开发的必要性</w:t>
      </w:r>
    </w:p>
    <w:p w14:paraId="0A3BB530">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2FA29E0C">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三、实施计划</w:t>
      </w:r>
    </w:p>
    <w:p w14:paraId="0C960143">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成片开发范围内拟建设项目以产业项目为主，配套建设基础设施项目，大部分地块根据年度实施方案在2024至2028年分批次完成土地征收和供地工作。</w:t>
      </w:r>
    </w:p>
    <w:p w14:paraId="71BB2514">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四、规划符合情况</w:t>
      </w:r>
    </w:p>
    <w:p w14:paraId="338A63E2">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国民经济和社会发展规划、年度计划</w:t>
      </w:r>
    </w:p>
    <w:p w14:paraId="5F269311">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本方案符合武进区现行国民经济和社会发展规划，拟定的年度实施计划和开发时序符合国民经济和社会发展年度计划。</w:t>
      </w:r>
    </w:p>
    <w:p w14:paraId="65E4D554">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符合国土空间规划情况</w:t>
      </w:r>
    </w:p>
    <w:p w14:paraId="16D8F5C6">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14:paraId="1C5962E1">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公益性用地比例</w:t>
      </w:r>
    </w:p>
    <w:p w14:paraId="2C332330">
      <w:pPr>
        <w:widowControl/>
        <w:spacing w:line="360" w:lineRule="auto"/>
        <w:ind w:firstLine="640" w:firstLineChars="200"/>
        <w:rPr>
          <w:rFonts w:ascii="Times New Roman" w:hAnsi="Times New Roman" w:eastAsia="宋体" w:cs="Times New Roman"/>
          <w:color w:val="000000"/>
          <w:kern w:val="0"/>
          <w:sz w:val="30"/>
          <w:szCs w:val="30"/>
        </w:rPr>
      </w:pPr>
      <w:r>
        <w:rPr>
          <w:rFonts w:ascii="Times New Roman" w:hAnsi="Times New Roman" w:eastAsia="仿宋_GB2312" w:cs="Times New Roman"/>
          <w:kern w:val="0"/>
          <w:sz w:val="32"/>
          <w:szCs w:val="32"/>
        </w:rPr>
        <w:t>根据用途分区和建设项目安排，开发片区规划建设用地总面积</w:t>
      </w:r>
      <w:r>
        <w:rPr>
          <w:rFonts w:hint="eastAsia" w:ascii="Times New Roman" w:hAnsi="Times New Roman" w:eastAsia="仿宋_GB2312" w:cs="Times New Roman"/>
          <w:kern w:val="0"/>
          <w:sz w:val="32"/>
          <w:szCs w:val="32"/>
        </w:rPr>
        <w:t>38.5295</w:t>
      </w:r>
      <w:r>
        <w:rPr>
          <w:rFonts w:ascii="Times New Roman" w:hAnsi="Times New Roman" w:eastAsia="仿宋_GB2312" w:cs="Times New Roman"/>
          <w:kern w:val="0"/>
          <w:sz w:val="32"/>
          <w:szCs w:val="32"/>
        </w:rPr>
        <w:t>公顷，</w:t>
      </w:r>
      <w:r>
        <w:rPr>
          <w:rFonts w:hint="eastAsia" w:ascii="Times New Roman" w:hAnsi="Times New Roman" w:eastAsia="仿宋_GB2312" w:cs="Times New Roman"/>
          <w:color w:val="000000"/>
          <w:kern w:val="0"/>
          <w:sz w:val="32"/>
          <w:szCs w:val="32"/>
        </w:rPr>
        <w:t>工业主导型</w:t>
      </w:r>
      <w:r>
        <w:rPr>
          <w:rFonts w:ascii="Times New Roman" w:hAnsi="Times New Roman" w:eastAsia="仿宋_GB2312" w:cs="Times New Roman"/>
          <w:color w:val="000000"/>
          <w:kern w:val="0"/>
          <w:sz w:val="32"/>
          <w:szCs w:val="32"/>
        </w:rPr>
        <w:t>片区公益性用地比例不低于国家和省相关文件要求。详见表1。</w:t>
      </w:r>
    </w:p>
    <w:p w14:paraId="40D9ACEC">
      <w:pPr>
        <w:widowControl/>
        <w:spacing w:line="360" w:lineRule="auto"/>
        <w:ind w:firstLine="600" w:firstLineChars="20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表 1 公益性用地情况表</w:t>
      </w:r>
    </w:p>
    <w:p w14:paraId="79CBB452">
      <w:pPr>
        <w:widowControl/>
        <w:spacing w:line="360" w:lineRule="auto"/>
        <w:ind w:firstLine="480" w:firstLineChars="200"/>
        <w:jc w:val="righ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单位：公顷</w:t>
      </w:r>
    </w:p>
    <w:tbl>
      <w:tblPr>
        <w:tblStyle w:val="5"/>
        <w:tblW w:w="5294" w:type="pct"/>
        <w:jc w:val="center"/>
        <w:tblLayout w:type="autofit"/>
        <w:tblCellMar>
          <w:top w:w="0" w:type="dxa"/>
          <w:left w:w="108" w:type="dxa"/>
          <w:bottom w:w="0" w:type="dxa"/>
          <w:right w:w="108" w:type="dxa"/>
        </w:tblCellMar>
      </w:tblPr>
      <w:tblGrid>
        <w:gridCol w:w="4509"/>
        <w:gridCol w:w="1455"/>
        <w:gridCol w:w="1680"/>
        <w:gridCol w:w="1379"/>
      </w:tblGrid>
      <w:tr w14:paraId="6BB9DC29">
        <w:tblPrEx>
          <w:tblCellMar>
            <w:top w:w="0" w:type="dxa"/>
            <w:left w:w="108" w:type="dxa"/>
            <w:bottom w:w="0" w:type="dxa"/>
            <w:right w:w="108" w:type="dxa"/>
          </w:tblCellMar>
        </w:tblPrEx>
        <w:trPr>
          <w:cantSplit/>
          <w:trHeight w:val="764" w:hRule="atLeast"/>
          <w:tblHeader/>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14:paraId="16D19EC9">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片区</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14:paraId="02C53534">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规划建设用地总面积</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6296B77F">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公益性建设用地面积</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4B0A7867">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公益性用地比例</w:t>
            </w:r>
          </w:p>
        </w:tc>
      </w:tr>
      <w:tr w14:paraId="4228D1E0">
        <w:tblPrEx>
          <w:tblCellMar>
            <w:top w:w="0" w:type="dxa"/>
            <w:left w:w="108" w:type="dxa"/>
            <w:bottom w:w="0" w:type="dxa"/>
            <w:right w:w="108" w:type="dxa"/>
          </w:tblCellMar>
        </w:tblPrEx>
        <w:trPr>
          <w:trHeight w:val="595"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14:paraId="543FFB71">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color w:val="000000"/>
                <w:sz w:val="24"/>
                <w:szCs w:val="24"/>
              </w:rPr>
              <w:t>武进区</w:t>
            </w:r>
            <w:r>
              <w:rPr>
                <w:rFonts w:ascii="Times New Roman" w:hAnsi="Times New Roman" w:eastAsia="仿宋_GB2312" w:cs="Times New Roman"/>
                <w:color w:val="000000"/>
                <w:sz w:val="24"/>
                <w:szCs w:val="24"/>
              </w:rPr>
              <w:t>2023-06号礼嘉镇龙逸路南青洋路西工业片区（CP320412-2023-06-03）调整方案</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14:paraId="359E0348">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24.1133</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09F0A3D9">
            <w:pPr>
              <w:widowControl/>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7.0172</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6FCA6245">
            <w:pPr>
              <w:widowControl/>
              <w:jc w:val="center"/>
              <w:rPr>
                <w:rFonts w:ascii="Times New Roman" w:hAnsi="Times New Roman" w:eastAsia="仿宋_GB2312" w:cs="Times New Roman"/>
                <w:sz w:val="24"/>
                <w:szCs w:val="24"/>
                <w:highlight w:val="none"/>
              </w:rPr>
            </w:pPr>
            <w:r>
              <w:rPr>
                <w:rFonts w:hint="eastAsia" w:ascii="Times New Roman" w:hAnsi="Times New Roman" w:eastAsia="仿宋_GB2312" w:cs="Times New Roman"/>
                <w:sz w:val="24"/>
                <w:szCs w:val="24"/>
                <w:highlight w:val="none"/>
              </w:rPr>
              <w:t>29.11</w:t>
            </w:r>
            <w:r>
              <w:rPr>
                <w:rFonts w:ascii="Times New Roman" w:hAnsi="Times New Roman" w:eastAsia="仿宋_GB2312" w:cs="Times New Roman"/>
                <w:sz w:val="24"/>
                <w:szCs w:val="24"/>
                <w:highlight w:val="none"/>
              </w:rPr>
              <w:t>%</w:t>
            </w:r>
          </w:p>
        </w:tc>
      </w:tr>
      <w:tr w14:paraId="2CB89B79">
        <w:tblPrEx>
          <w:tblCellMar>
            <w:top w:w="0" w:type="dxa"/>
            <w:left w:w="108" w:type="dxa"/>
            <w:bottom w:w="0" w:type="dxa"/>
            <w:right w:w="108" w:type="dxa"/>
          </w:tblCellMar>
        </w:tblPrEx>
        <w:trPr>
          <w:trHeight w:val="530" w:hRule="atLeast"/>
          <w:jc w:val="center"/>
        </w:trPr>
        <w:tc>
          <w:tcPr>
            <w:tcW w:w="2499" w:type="pct"/>
            <w:tcBorders>
              <w:top w:val="single" w:color="auto" w:sz="4" w:space="0"/>
              <w:left w:val="single" w:color="auto" w:sz="4" w:space="0"/>
              <w:bottom w:val="single" w:color="auto" w:sz="4" w:space="0"/>
              <w:right w:val="single" w:color="auto" w:sz="4" w:space="0"/>
            </w:tcBorders>
            <w:shd w:val="clear" w:color="auto" w:fill="auto"/>
            <w:vAlign w:val="center"/>
          </w:tcPr>
          <w:p w14:paraId="2C889351">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总计</w:t>
            </w:r>
          </w:p>
        </w:tc>
        <w:tc>
          <w:tcPr>
            <w:tcW w:w="806" w:type="pct"/>
            <w:tcBorders>
              <w:top w:val="single" w:color="auto" w:sz="4" w:space="0"/>
              <w:left w:val="single" w:color="auto" w:sz="4" w:space="0"/>
              <w:bottom w:val="single" w:color="auto" w:sz="4" w:space="0"/>
              <w:right w:val="single" w:color="auto" w:sz="4" w:space="0"/>
            </w:tcBorders>
            <w:shd w:val="clear" w:color="auto" w:fill="auto"/>
            <w:vAlign w:val="center"/>
          </w:tcPr>
          <w:p w14:paraId="0E88682A">
            <w:pPr>
              <w:widowControl/>
              <w:jc w:val="center"/>
              <w:rPr>
                <w:rFonts w:ascii="Times New Roman" w:hAnsi="Times New Roman" w:cs="Times New Roman"/>
                <w:color w:val="000000"/>
                <w:sz w:val="24"/>
                <w:szCs w:val="24"/>
              </w:rPr>
            </w:pPr>
            <w:r>
              <w:rPr>
                <w:rFonts w:hint="eastAsia" w:ascii="Times New Roman" w:hAnsi="Times New Roman" w:eastAsia="仿宋_GB2312" w:cs="Times New Roman"/>
                <w:sz w:val="24"/>
                <w:szCs w:val="24"/>
              </w:rPr>
              <w:t>24.1133</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14:paraId="2210CFA7">
            <w:pPr>
              <w:widowControl/>
              <w:jc w:val="center"/>
              <w:rPr>
                <w:rFonts w:ascii="Times New Roman" w:hAnsi="Times New Roman" w:cs="Times New Roman"/>
                <w:color w:val="000000"/>
                <w:sz w:val="24"/>
                <w:szCs w:val="24"/>
                <w:highlight w:val="none"/>
              </w:rPr>
            </w:pPr>
            <w:r>
              <w:rPr>
                <w:rFonts w:hint="eastAsia" w:ascii="Times New Roman" w:hAnsi="Times New Roman" w:eastAsia="仿宋_GB2312" w:cs="Times New Roman"/>
                <w:sz w:val="24"/>
                <w:szCs w:val="24"/>
                <w:highlight w:val="none"/>
              </w:rPr>
              <w:t>7.0172</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14:paraId="79FAFC93">
            <w:pPr>
              <w:widowControl/>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w:t>
            </w:r>
          </w:p>
        </w:tc>
      </w:tr>
    </w:tbl>
    <w:p w14:paraId="30271AEB">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五、效益评价</w:t>
      </w:r>
      <w:bookmarkStart w:id="0" w:name="_GoBack"/>
      <w:bookmarkEnd w:id="0"/>
    </w:p>
    <w:p w14:paraId="674082FC">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经济效益</w:t>
      </w:r>
    </w:p>
    <w:p w14:paraId="30EDE0AE">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30D1329A">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社会效益</w:t>
      </w:r>
    </w:p>
    <w:p w14:paraId="648F0B0B">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生态效益</w:t>
      </w:r>
    </w:p>
    <w:p w14:paraId="5FF24D47">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六、被征地农民和农村集体经济组织权益保障</w:t>
      </w:r>
    </w:p>
    <w:p w14:paraId="1A899412">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2021〕87号）、《省政府关于重新公布江苏省征地区片综合地价最低标准的通知》（苏政规〔2023〕12号）</w:t>
      </w:r>
      <w:r>
        <w:rPr>
          <w:rFonts w:hint="eastAsia" w:ascii="Times New Roman" w:hAnsi="Times New Roman" w:eastAsia="仿宋_GB2312" w:cs="Times New Roman"/>
          <w:color w:val="000000"/>
          <w:kern w:val="0"/>
          <w:sz w:val="32"/>
          <w:szCs w:val="32"/>
        </w:rPr>
        <w:t>、《市政府关于重新公布常州市所辖各县（市、区）征地区片综合地价执行标准的通知》（常政规〔</w:t>
      </w:r>
      <w:r>
        <w:rPr>
          <w:rFonts w:ascii="Times New Roman" w:hAnsi="Times New Roman" w:eastAsia="仿宋_GB2312" w:cs="Times New Roman"/>
          <w:color w:val="000000"/>
          <w:kern w:val="0"/>
          <w:sz w:val="32"/>
          <w:szCs w:val="32"/>
        </w:rPr>
        <w:t>2023〕6号）等文件开展工作。</w:t>
      </w:r>
    </w:p>
    <w:p w14:paraId="2B022811">
      <w:pPr>
        <w:widowControl/>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br w:type="page"/>
      </w:r>
    </w:p>
    <w:p w14:paraId="0CC7F07E">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1、礼嘉镇龙逸路南青洋路西工业片区（CP320412-2023-06-03）调整方案</w:t>
      </w:r>
    </w:p>
    <w:p w14:paraId="6D61BCDB">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开发片区位于武进区</w:t>
      </w:r>
      <w:r>
        <w:rPr>
          <w:rFonts w:hint="eastAsia" w:ascii="Times New Roman" w:hAnsi="Times New Roman" w:eastAsia="仿宋_GB2312" w:cs="Times New Roman"/>
          <w:sz w:val="32"/>
          <w:szCs w:val="32"/>
        </w:rPr>
        <w:t>礼嘉镇</w:t>
      </w:r>
      <w:r>
        <w:rPr>
          <w:rFonts w:ascii="Times New Roman" w:hAnsi="Times New Roman" w:eastAsia="仿宋_GB2312" w:cs="Times New Roman"/>
          <w:sz w:val="32"/>
          <w:szCs w:val="32"/>
        </w:rPr>
        <w:t>，土地面积</w:t>
      </w:r>
      <w:r>
        <w:rPr>
          <w:rFonts w:hint="eastAsia" w:ascii="Times New Roman" w:hAnsi="Times New Roman" w:eastAsia="仿宋_GB2312" w:cs="Times New Roman"/>
          <w:sz w:val="32"/>
          <w:szCs w:val="32"/>
        </w:rPr>
        <w:t>24.1140</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东至青洋路，南至礼新路</w:t>
      </w:r>
      <w:r>
        <w:rPr>
          <w:rFonts w:ascii="Times New Roman" w:hAnsi="Times New Roman" w:eastAsia="仿宋_GB2312" w:cs="Times New Roman"/>
          <w:sz w:val="32"/>
          <w:szCs w:val="32"/>
        </w:rPr>
        <w:t>,西至凤舞路，北至龙逸路</w:t>
      </w:r>
      <w:r>
        <w:rPr>
          <w:rFonts w:hint="eastAsia" w:ascii="Times New Roman" w:hAnsi="Times New Roman" w:eastAsia="仿宋_GB2312" w:cs="Times New Roman"/>
          <w:sz w:val="32"/>
          <w:szCs w:val="32"/>
        </w:rPr>
        <w:t>。</w:t>
      </w:r>
    </w:p>
    <w:p w14:paraId="59970868">
      <w:pPr>
        <w:widowControl/>
        <w:jc w:val="left"/>
        <w:rPr>
          <w:rFonts w:ascii="Times New Roman" w:hAnsi="Times New Roman" w:eastAsia="宋体" w:cs="Times New Roman"/>
          <w:sz w:val="30"/>
          <w:szCs w:val="30"/>
        </w:rPr>
      </w:pPr>
      <w:r>
        <w:rPr>
          <w:rFonts w:ascii="Times New Roman" w:hAnsi="Times New Roman" w:eastAsia="宋体" w:cs="Times New Roman"/>
          <w:sz w:val="30"/>
          <w:szCs w:val="30"/>
        </w:rPr>
        <w:drawing>
          <wp:anchor distT="0" distB="0" distL="114300" distR="114300" simplePos="0" relativeHeight="251659264" behindDoc="1" locked="0" layoutInCell="1" allowOverlap="1">
            <wp:simplePos x="0" y="0"/>
            <wp:positionH relativeFrom="margin">
              <wp:posOffset>322580</wp:posOffset>
            </wp:positionH>
            <wp:positionV relativeFrom="paragraph">
              <wp:posOffset>29845</wp:posOffset>
            </wp:positionV>
            <wp:extent cx="4767580" cy="3372485"/>
            <wp:effectExtent l="0" t="0" r="0" b="0"/>
            <wp:wrapTight wrapText="bothSides">
              <wp:wrapPolygon>
                <wp:start x="0" y="0"/>
                <wp:lineTo x="0" y="21474"/>
                <wp:lineTo x="21491" y="21474"/>
                <wp:lineTo x="21491" y="0"/>
                <wp:lineTo x="0" y="0"/>
              </wp:wrapPolygon>
            </wp:wrapTight>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67580" cy="3372485"/>
                    </a:xfrm>
                    <a:prstGeom prst="rect">
                      <a:avLst/>
                    </a:prstGeom>
                    <a:noFill/>
                    <a:ln>
                      <a:noFill/>
                    </a:ln>
                  </pic:spPr>
                </pic:pic>
              </a:graphicData>
            </a:graphic>
          </wp:anchor>
        </w:drawing>
      </w:r>
    </w:p>
    <w:p w14:paraId="5D5BDD1C">
      <w:pPr>
        <w:widowControl/>
        <w:jc w:val="center"/>
        <w:rPr>
          <w:rFonts w:ascii="Times New Roman" w:hAnsi="Times New Roman" w:eastAsia="宋体" w:cs="Times New Roman"/>
          <w:sz w:val="30"/>
          <w:szCs w:val="30"/>
        </w:rPr>
      </w:pPr>
    </w:p>
    <w:p w14:paraId="09C349FF">
      <w:pPr>
        <w:spacing w:line="360" w:lineRule="auto"/>
        <w:ind w:firstLine="420" w:firstLineChars="200"/>
        <w:jc w:val="center"/>
        <w:rPr>
          <w:rFonts w:ascii="Times New Roman" w:hAnsi="Times New Roman" w:cs="Times New Roman"/>
        </w:rPr>
      </w:pPr>
      <w:r>
        <w:rPr>
          <w:rFonts w:ascii="Times New Roman" w:hAnsi="Times New Roman" w:eastAsia="黑体" w:cs="Times New Roman"/>
          <w:szCs w:val="21"/>
        </w:rPr>
        <w:t>（成片开发范围以最终批复为准）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4OGM0NTQwZDU3Y2M5NDY3ZTdiY2ZiMjNhMmQ5ZmEifQ=="/>
  </w:docVars>
  <w:rsids>
    <w:rsidRoot w:val="00E17C9B"/>
    <w:rsid w:val="00013A1E"/>
    <w:rsid w:val="000209EA"/>
    <w:rsid w:val="00043283"/>
    <w:rsid w:val="00072937"/>
    <w:rsid w:val="000D6F25"/>
    <w:rsid w:val="000F6A3C"/>
    <w:rsid w:val="00126333"/>
    <w:rsid w:val="00154E0E"/>
    <w:rsid w:val="001A05B5"/>
    <w:rsid w:val="001F11A4"/>
    <w:rsid w:val="00210B76"/>
    <w:rsid w:val="00217109"/>
    <w:rsid w:val="00250C5E"/>
    <w:rsid w:val="002B52D2"/>
    <w:rsid w:val="002D6C1C"/>
    <w:rsid w:val="002F7E52"/>
    <w:rsid w:val="00306BD2"/>
    <w:rsid w:val="0037646C"/>
    <w:rsid w:val="003830A3"/>
    <w:rsid w:val="003A5883"/>
    <w:rsid w:val="003B157A"/>
    <w:rsid w:val="00483E75"/>
    <w:rsid w:val="00486D33"/>
    <w:rsid w:val="00524BC7"/>
    <w:rsid w:val="00570BA0"/>
    <w:rsid w:val="005D50C6"/>
    <w:rsid w:val="0063553E"/>
    <w:rsid w:val="00664068"/>
    <w:rsid w:val="00676A93"/>
    <w:rsid w:val="00706D65"/>
    <w:rsid w:val="00714BA0"/>
    <w:rsid w:val="0076121E"/>
    <w:rsid w:val="007A2ECC"/>
    <w:rsid w:val="007D7F88"/>
    <w:rsid w:val="007E0077"/>
    <w:rsid w:val="008170D6"/>
    <w:rsid w:val="00817867"/>
    <w:rsid w:val="0083153F"/>
    <w:rsid w:val="00854F13"/>
    <w:rsid w:val="00874D8E"/>
    <w:rsid w:val="00884AAA"/>
    <w:rsid w:val="008C61F5"/>
    <w:rsid w:val="00924D5A"/>
    <w:rsid w:val="00933490"/>
    <w:rsid w:val="00934D00"/>
    <w:rsid w:val="0097548A"/>
    <w:rsid w:val="00975C1C"/>
    <w:rsid w:val="00990D78"/>
    <w:rsid w:val="00995821"/>
    <w:rsid w:val="009B0641"/>
    <w:rsid w:val="00A101A4"/>
    <w:rsid w:val="00A20C09"/>
    <w:rsid w:val="00A30E4E"/>
    <w:rsid w:val="00A76E16"/>
    <w:rsid w:val="00AA4293"/>
    <w:rsid w:val="00AD1B9B"/>
    <w:rsid w:val="00AF66D9"/>
    <w:rsid w:val="00B03C12"/>
    <w:rsid w:val="00B33A6F"/>
    <w:rsid w:val="00B74E25"/>
    <w:rsid w:val="00BC38EB"/>
    <w:rsid w:val="00BD6377"/>
    <w:rsid w:val="00C113D4"/>
    <w:rsid w:val="00C12707"/>
    <w:rsid w:val="00C55A1C"/>
    <w:rsid w:val="00C7430D"/>
    <w:rsid w:val="00D2155A"/>
    <w:rsid w:val="00D97281"/>
    <w:rsid w:val="00DB5A15"/>
    <w:rsid w:val="00DF5582"/>
    <w:rsid w:val="00E17C9B"/>
    <w:rsid w:val="00E705C7"/>
    <w:rsid w:val="00E757DC"/>
    <w:rsid w:val="00EC76DD"/>
    <w:rsid w:val="00EE2ABA"/>
    <w:rsid w:val="00EF6C56"/>
    <w:rsid w:val="00F26801"/>
    <w:rsid w:val="00F8151D"/>
    <w:rsid w:val="572556CC"/>
    <w:rsid w:val="733F4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1951</Words>
  <Characters>2157</Characters>
  <Lines>15</Lines>
  <Paragraphs>4</Paragraphs>
  <TotalTime>56</TotalTime>
  <ScaleCrop>false</ScaleCrop>
  <LinksUpToDate>false</LinksUpToDate>
  <CharactersWithSpaces>2165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2024-08-14T03:26:00Z</dcterms:created>
  <dc:creator>丽 骆</dc:creator>
  <cp:lastModifiedBy>30497</cp:lastModifiedBy>
  <dcterms:modified xsi:type="dcterms:W3CDTF">2024-09-18T05:49:14Z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FF38C773440E48EFAD4651054CC6D670_13</vt:lpwstr>
  </property>
</Properties>
</file>