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75C" w:rsidRDefault="00DF775C" w:rsidP="00DF775C">
      <w:pPr>
        <w:widowControl/>
        <w:adjustRightInd/>
        <w:spacing w:line="57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</w:p>
    <w:p w:rsidR="00DF775C" w:rsidRDefault="00F337F8" w:rsidP="00DF775C">
      <w:pPr>
        <w:widowControl/>
        <w:adjustRightInd/>
        <w:spacing w:line="57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  <w:r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202</w:t>
      </w:r>
      <w:r>
        <w:rPr>
          <w:rFonts w:ascii="方正小标宋简体" w:eastAsia="方正小标宋简体" w:hAnsi="Arial" w:cs="Arial"/>
          <w:color w:val="000000"/>
          <w:sz w:val="44"/>
          <w:szCs w:val="44"/>
        </w:rPr>
        <w:t>4</w:t>
      </w:r>
      <w:r w:rsidR="00DF775C"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年度区级预算部门整体支出绩效目标表</w:t>
      </w:r>
    </w:p>
    <w:tbl>
      <w:tblPr>
        <w:tblW w:w="8903" w:type="dxa"/>
        <w:jc w:val="center"/>
        <w:tblLook w:val="04A0" w:firstRow="1" w:lastRow="0" w:firstColumn="1" w:lastColumn="0" w:noHBand="0" w:noVBand="1"/>
      </w:tblPr>
      <w:tblGrid>
        <w:gridCol w:w="1738"/>
        <w:gridCol w:w="1854"/>
        <w:gridCol w:w="2250"/>
        <w:gridCol w:w="1418"/>
        <w:gridCol w:w="1643"/>
      </w:tblGrid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部门名称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 xml:space="preserve">常州市武进区行政审批局（本级）　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年度预算总额（万元）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AC6309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/>
                <w:color w:val="000000"/>
                <w:kern w:val="2"/>
                <w:szCs w:val="21"/>
              </w:rPr>
              <w:t>3463.46</w:t>
            </w:r>
          </w:p>
        </w:tc>
      </w:tr>
      <w:tr w:rsidR="00DF775C" w:rsidTr="00DF775C">
        <w:trPr>
          <w:trHeight w:val="202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年度重点工作计划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6309" w:rsidRDefault="00AC6309">
            <w:pPr>
              <w:widowControl/>
              <w:adjustRightInd/>
              <w:spacing w:line="280" w:lineRule="exact"/>
              <w:jc w:val="center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全局紧紧围绕省、市、区工作要求，深入贯彻“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532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”发展战略，以“涉企事项进一门、政务事项上一网、帮办代办</w:t>
            </w:r>
            <w:proofErr w:type="gramStart"/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一</w:t>
            </w:r>
            <w:proofErr w:type="gramEnd"/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队伍”的目标任务为抓手，突出创新驱动、加强统筹协调、狠抓工作落实，深化审批改革，推进重大项目落地，提升行政效能，实现政务服务高水准，发挥牵头作用，打响“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A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武进”</w:t>
            </w:r>
          </w:p>
          <w:p w:rsidR="00AC6309" w:rsidRPr="00AC6309" w:rsidRDefault="00AC6309" w:rsidP="00AC6309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营商环境品牌，助力武进高质量发展。</w:t>
            </w:r>
            <w:r w:rsidR="00DF775C">
              <w:rPr>
                <w:rFonts w:ascii="仿宋_GB2312" w:hAnsi="宋体" w:hint="eastAsia"/>
                <w:color w:val="000000"/>
                <w:kern w:val="2"/>
                <w:szCs w:val="21"/>
              </w:rPr>
              <w:t xml:space="preserve">　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构建重大项目建设审批“一件事”全链条服务体系，常态高效落实重大项目信用承诺预审、帮办代办促办、“拿地即开工”等举措，进一步推进“用地清单制”改革。</w:t>
            </w:r>
          </w:p>
          <w:p w:rsidR="00DF775C" w:rsidRPr="00AC6309" w:rsidRDefault="00DF775C" w:rsidP="00AC6309">
            <w:pPr>
              <w:widowControl/>
              <w:adjustRightInd/>
              <w:spacing w:line="280" w:lineRule="exac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</w:tr>
      <w:tr w:rsidR="00DF775C" w:rsidTr="00DF775C">
        <w:trPr>
          <w:trHeight w:val="202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年度绩效目标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775C" w:rsidRDefault="00AC6309" w:rsidP="00AC6309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全力打造市场化法治化国际化一流营商环境，滚动推出优化营商环境举措，不断丰富“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A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武进”品牌内涵。深入推进“放管服”改革，深化“一网通办”“跨省通办”，强化审批监管执法协调联动，高质量推进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 xml:space="preserve"> 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“一件事一次办”改革任务。优化惠企政策“直达快享、非申即享”实现路径，完善“管家式”企业信用修复服务体系。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一级指标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二级指标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计算符号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年度目标值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履职业绩指标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依法履行相对集中行政许可职责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营商环境新突破、提升一体化政务服务平台能力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较好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履职效果指标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经济效益指标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社会效益指标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政务服务能力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持续提高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生态效益指标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可持续发展指标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kern w:val="2"/>
              </w:rPr>
              <w:br/>
            </w:r>
            <w:r>
              <w:rPr>
                <w:rFonts w:ascii="Helvetica" w:hAnsi="Helvetica" w:hint="eastAsia"/>
                <w:kern w:val="2"/>
                <w:sz w:val="23"/>
                <w:szCs w:val="23"/>
              </w:rPr>
              <w:t>对单位履职、促进事业发展的持续影响程度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较高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满意度指标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工作人员满意率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90%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服务对象满意率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90%</w:t>
            </w:r>
          </w:p>
        </w:tc>
      </w:tr>
    </w:tbl>
    <w:p w:rsidR="004553DE" w:rsidRDefault="004553DE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/>
    <w:p w:rsidR="004D72A8" w:rsidRDefault="004D72A8" w:rsidP="004D72A8">
      <w:pPr>
        <w:widowControl/>
        <w:adjustRightInd/>
        <w:spacing w:line="57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  <w:r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2023年度区级预算部门整体支出绩效目标表</w:t>
      </w:r>
    </w:p>
    <w:tbl>
      <w:tblPr>
        <w:tblW w:w="8903" w:type="dxa"/>
        <w:jc w:val="center"/>
        <w:tblLook w:val="0000" w:firstRow="0" w:lastRow="0" w:firstColumn="0" w:lastColumn="0" w:noHBand="0" w:noVBand="0"/>
      </w:tblPr>
      <w:tblGrid>
        <w:gridCol w:w="1738"/>
        <w:gridCol w:w="1854"/>
        <w:gridCol w:w="2250"/>
        <w:gridCol w:w="1418"/>
        <w:gridCol w:w="1643"/>
      </w:tblGrid>
      <w:tr w:rsidR="004D72A8" w:rsidTr="00C91E50">
        <w:trPr>
          <w:trHeight w:val="397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部门名称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 xml:space="preserve">常州市公共资源交易中心武进分中心　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年度预算总额（万元）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981.67</w:t>
            </w:r>
          </w:p>
        </w:tc>
      </w:tr>
      <w:tr w:rsidR="004D72A8" w:rsidTr="00C91E50">
        <w:trPr>
          <w:trHeight w:val="90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年度重点工作计划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40" w:lineRule="auto"/>
              <w:ind w:firstLineChars="200" w:firstLine="420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/>
                <w:color w:val="000000"/>
                <w:szCs w:val="21"/>
              </w:rPr>
              <w:t>按照省、是交易中心“不见面交易”工作要求，武进分中心不断提升公共资源交易信息化智能化水平，让</w:t>
            </w:r>
            <w:proofErr w:type="gramStart"/>
            <w:r>
              <w:rPr>
                <w:rFonts w:ascii="仿宋_GB2312" w:hAnsi="宋体"/>
                <w:color w:val="000000"/>
                <w:szCs w:val="21"/>
              </w:rPr>
              <w:t>”</w:t>
            </w:r>
            <w:proofErr w:type="gramEnd"/>
            <w:r>
              <w:rPr>
                <w:rFonts w:ascii="仿宋_GB2312" w:hAnsi="宋体"/>
                <w:color w:val="000000"/>
                <w:szCs w:val="21"/>
              </w:rPr>
              <w:t>不见面交易</w:t>
            </w:r>
            <w:proofErr w:type="gramStart"/>
            <w:r>
              <w:rPr>
                <w:rFonts w:ascii="仿宋_GB2312" w:hAnsi="宋体"/>
                <w:color w:val="000000"/>
                <w:szCs w:val="21"/>
              </w:rPr>
              <w:t>”</w:t>
            </w:r>
            <w:proofErr w:type="gramEnd"/>
            <w:r>
              <w:rPr>
                <w:rFonts w:ascii="仿宋_GB2312" w:hAnsi="宋体"/>
                <w:color w:val="000000"/>
                <w:szCs w:val="21"/>
              </w:rPr>
              <w:t>更便利、更安全、更简单。</w:t>
            </w:r>
          </w:p>
        </w:tc>
      </w:tr>
      <w:tr w:rsidR="004D72A8" w:rsidTr="00C91E50">
        <w:trPr>
          <w:trHeight w:val="202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年度绩效目标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2024</w:t>
            </w:r>
            <w:r>
              <w:rPr>
                <w:rFonts w:ascii="仿宋_GB2312" w:hAnsi="宋体" w:hint="eastAsia"/>
                <w:color w:val="000000"/>
                <w:szCs w:val="21"/>
              </w:rPr>
              <w:t>年是全面贯彻落实党的二十大精神的关键之年，是深入实施“十四五”规划的攻坚之年。中心工作的总体要求是：坚持以习近平新时代中国特色社会主义思想为指导，深入贯彻党的二十大精神，聚焦“七彩阳光</w:t>
            </w:r>
            <w:r>
              <w:rPr>
                <w:rFonts w:ascii="仿宋_GB2312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仿宋_GB2312" w:hAnsi="宋体" w:hint="eastAsia"/>
                <w:color w:val="000000"/>
                <w:szCs w:val="21"/>
              </w:rPr>
              <w:t>五心交易”品牌建设，按照“守正创新、提质延链、精准服务、规范高效”的思路，围绕交易服务质效提升，重点打造利企减负“十大举措”、服务重点项目“十大行动”、信用服务应用“十大场景”、清廉交易建设“十大项目”、“不见面交易”智慧云体系，主动作为，笃行实干，全力建设流程简、效能高、服务优的公共资源交易平台，为经济社会高质量发展贡献交易力量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（一）聚焦统一规范，健全完善制度体系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</w:t>
            </w:r>
            <w:r>
              <w:rPr>
                <w:rFonts w:ascii="仿宋_GB2312" w:hAnsi="宋体" w:hint="eastAsia"/>
                <w:color w:val="000000"/>
                <w:szCs w:val="21"/>
              </w:rPr>
              <w:t>．出台交易见证制度。为维护中心进场交易项目交易数据真实性、交易现场规范性、交易行为合法性，规范公共资源交易平台建设，促进各方主体依法依规开展交易活动，中心将研究制定中心进场交易项目见证服务办法。同时，结合交易见证的全过程，制定交易活动见证清单，进一步提升公共资源交易平台服务效能，规范见证服务流程，提高见证服务效率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</w:t>
            </w:r>
            <w:r>
              <w:rPr>
                <w:rFonts w:ascii="仿宋_GB2312" w:hAnsi="宋体" w:hint="eastAsia"/>
                <w:color w:val="000000"/>
                <w:szCs w:val="21"/>
              </w:rPr>
              <w:t>．规范场内人员管理。研究制定招标代理机构、评标专家、项目监督人员、项目业主进场交易行为规范，出台《规范招标代理机构依法依规从业指引》，编制评标专家业务微手册、廉洁微手册，进一步规范场内人员管理。压实招标人、采购人主体责任，研究推行招标人、采购人评委信用承诺制、独立评审机制、评标监督小组制度等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3</w:t>
            </w:r>
            <w:r>
              <w:rPr>
                <w:rFonts w:ascii="仿宋_GB2312" w:hAnsi="宋体" w:hint="eastAsia"/>
                <w:color w:val="000000"/>
                <w:szCs w:val="21"/>
              </w:rPr>
              <w:t>．强化交易文件审查。在工程建设和政府采购领域，出台《交易文件公平竞争审查指引》，规范招标人、采购人交易文件公平竞争审查行为，明确对招标人、采购人的问责方式、问责流程等内容，提高招标人、采购人自查的严肃性。出台《招标文件咨询论证流程指引》，为招标文件编制提供规范性指引，提高文件编制质量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4</w:t>
            </w:r>
            <w:r>
              <w:rPr>
                <w:rFonts w:ascii="仿宋_GB2312" w:hAnsi="宋体" w:hint="eastAsia"/>
                <w:color w:val="000000"/>
                <w:szCs w:val="21"/>
              </w:rPr>
              <w:t>．制定交易操作规则。研究武进区国有产权交易新办法，更新完善上交礼品处置操作规则，对国有产权、上交礼品交易的前置材料、交易公告、交易规则、交割结算等程序进行明确和细化，促进交易服务质量再升级。制定《进场交易项目受理规范》，明确受理条件，规范项目实施单位或代理机构项目进场受理登记服务工作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（二）聚焦应进尽进，持续拓展覆盖范围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5</w:t>
            </w:r>
            <w:r>
              <w:rPr>
                <w:rFonts w:ascii="仿宋_GB2312" w:hAnsi="宋体" w:hint="eastAsia"/>
                <w:color w:val="000000"/>
                <w:szCs w:val="21"/>
              </w:rPr>
              <w:t>．加快前期物业进场交易。加强与区房管处的沟通协调，明确前期物业进场交易的模式，确定各方职责，确保项目进的来；制定前期物业进场交易流程，规范项目交易，确保项目走的顺；细化前期物业服务环节，提升项目服务质效，确保项目能落地，通过一系列举措，为前期物业进场交易保驾护航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6</w:t>
            </w:r>
            <w:r>
              <w:rPr>
                <w:rFonts w:ascii="仿宋_GB2312" w:hAnsi="宋体" w:hint="eastAsia"/>
                <w:color w:val="000000"/>
                <w:szCs w:val="21"/>
              </w:rPr>
              <w:t>．推动国企采购进场交易。加强国有企业采购进场调研，提供进场交易见证服务、建设国企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采购全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流程电子化系统、开展大数据分析、加强日常业务</w:t>
            </w:r>
            <w:r>
              <w:rPr>
                <w:rFonts w:ascii="仿宋_GB2312" w:hAnsi="宋体" w:hint="eastAsia"/>
                <w:color w:val="000000"/>
                <w:szCs w:val="21"/>
              </w:rPr>
              <w:lastRenderedPageBreak/>
              <w:t>指导和培训，形成国企采购进场交易规则，进一步提升国有企业采购的规范性和透明度。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7</w:t>
            </w:r>
            <w:r>
              <w:rPr>
                <w:rFonts w:ascii="仿宋_GB2312" w:hAnsi="宋体" w:hint="eastAsia"/>
                <w:color w:val="000000"/>
                <w:szCs w:val="21"/>
              </w:rPr>
              <w:t>．拓展农村产权覆盖范围。扩大涉农资金项目交易覆盖面，采购类项目增加农村产权“集体采购”模块，区分“零星采购”和“集中采购”，“零星采购”通过“京东慧采”，超出限额采购的，“集中采购”推送产权交易平台；小额工程类项目纳入农村产权交易平台，规范交易程序，促进应尽必进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8</w:t>
            </w:r>
            <w:r>
              <w:rPr>
                <w:rFonts w:ascii="仿宋_GB2312" w:hAnsi="宋体" w:hint="eastAsia"/>
                <w:color w:val="000000"/>
                <w:szCs w:val="21"/>
              </w:rPr>
              <w:t>．落实上交礼品处置交易。根据区纪委上交礼品的统计清单做好接收保管工作，建立健全四个制度：台帐制度、分类保管制度、安全保卫制度、清查盘存制度。根据移交的礼品情况，做好尽职调查，协调相关部门确定上交礼品处置方案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（三）聚焦协同共享，加快推进互联互通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9</w:t>
            </w:r>
            <w:r>
              <w:rPr>
                <w:rFonts w:ascii="仿宋_GB2312" w:hAnsi="宋体" w:hint="eastAsia"/>
                <w:color w:val="000000"/>
                <w:szCs w:val="21"/>
              </w:rPr>
              <w:t>．完善协同监管机制。建立公共资源交易管理委员会及办公室工作规则，充分发挥公管办综合协调管理和各行政主管部门行业监管作用。进一步明确公共资源交易中心综合服务、交易见证和现场管理工作要求，形成区公管办、各行业监管部门与交易中心全面覆盖、各有侧重、协作推进的多元共治立体监督管理体系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10</w:t>
            </w:r>
            <w:r>
              <w:rPr>
                <w:rFonts w:ascii="仿宋_GB2312" w:hAnsi="宋体" w:hint="eastAsia"/>
                <w:color w:val="000000"/>
                <w:szCs w:val="21"/>
              </w:rPr>
              <w:t>．建立信用服务应用“十大场景”。强化信用监管，探索交易信用体系建设，推进投标保证金与信用评价联动管理机制。研究信用承诺、信用评级、评价运用，制定信用修复工作指引。全面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梳理容缺受理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、信用承诺、信用减免保证金、资格承诺制、第三方信用报告运用等交易领域十大信用举措，营造守信激励的信用环境。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11</w:t>
            </w:r>
            <w:r>
              <w:rPr>
                <w:rFonts w:ascii="仿宋_GB2312" w:hAnsi="宋体" w:hint="eastAsia"/>
                <w:color w:val="000000"/>
                <w:szCs w:val="21"/>
              </w:rPr>
              <w:t>．净化交易竞争环境。开展全区公共资源交易及招投标制度规则清理和梳理，按要求建立营商环境问题线索征集专栏，畅通招标投标异议、投诉渠道，清理招标采购人在招标采购活动中设置的不合理投标条件，探索干预公共资源交易工作行为登记报告制度，杜绝越权干预公共资源交易现象发生，进一步优化交易营商环境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12</w:t>
            </w:r>
            <w:r>
              <w:rPr>
                <w:rFonts w:ascii="仿宋_GB2312" w:hAnsi="宋体" w:hint="eastAsia"/>
                <w:color w:val="000000"/>
                <w:szCs w:val="21"/>
              </w:rPr>
              <w:t>．开展“标后回访”工作。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完善标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后回访制度，将工程、政采、产权纳入到回访制度内，形成武进区交易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项目标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后回访体系。依托网络问卷、电话回访、现场交流等形式听取交易主体意见建议，回溯交易过程，掌握服务流程、服务态度等方面存在的问题不足，充分发挥满意度评价对工作的引领和督促作用。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（四）聚焦数字转型，加快平台优化升级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13</w:t>
            </w:r>
            <w:r>
              <w:rPr>
                <w:rFonts w:ascii="仿宋_GB2312" w:hAnsi="宋体" w:hint="eastAsia"/>
                <w:color w:val="000000"/>
                <w:szCs w:val="21"/>
              </w:rPr>
              <w:t>．交易全程数字化。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完善全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流程电子化平台体系，实现数字化转型，所有交易全流程电子化，电子化率达</w:t>
            </w:r>
            <w:r>
              <w:rPr>
                <w:rFonts w:ascii="仿宋_GB2312" w:hAnsi="宋体" w:hint="eastAsia"/>
                <w:color w:val="000000"/>
                <w:szCs w:val="21"/>
              </w:rPr>
              <w:t>100%</w:t>
            </w:r>
            <w:r>
              <w:rPr>
                <w:rFonts w:ascii="仿宋_GB2312" w:hAnsi="宋体" w:hint="eastAsia"/>
                <w:color w:val="000000"/>
                <w:szCs w:val="21"/>
              </w:rPr>
              <w:t>，“不见面开标”和远程异地评标实现常态化。构建招标人（采购人）、投标人（供应商）交易事项全流程在线办理模式，进场登记、场地预约、专家抽取、中标通知书发放、合同签订、保证金退还等全部在线办理，全部交易信息实现数字化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14</w:t>
            </w:r>
            <w:r>
              <w:rPr>
                <w:rFonts w:ascii="仿宋_GB2312" w:hAnsi="宋体" w:hint="eastAsia"/>
                <w:color w:val="000000"/>
                <w:szCs w:val="21"/>
              </w:rPr>
              <w:t>．交易见证数字化。建设数字见证系统，一方面增加数字见证硬件设备，设立“数字见证室”，对接数字见证平台，建立全流程数字见证新模式，变“人防”为“技防”；另一方面完善制度标准，制定《数字见证区及工作人员管理制度》《进场交易项目见证服务规定》，明确见证服务的范围、方式和应急处置等，实现见证服务标准化，有效提升平台智能化服务水平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15</w:t>
            </w:r>
            <w:r>
              <w:rPr>
                <w:rFonts w:ascii="仿宋_GB2312" w:hAnsi="宋体" w:hint="eastAsia"/>
                <w:color w:val="000000"/>
                <w:szCs w:val="21"/>
              </w:rPr>
              <w:t>．交易金融数字化。积极拓展交易平台金融服务功能，强化“公共资源</w:t>
            </w:r>
            <w:r>
              <w:rPr>
                <w:rFonts w:ascii="仿宋_GB2312" w:hAnsi="宋体" w:hint="eastAsia"/>
                <w:color w:val="000000"/>
                <w:szCs w:val="21"/>
              </w:rPr>
              <w:t>+</w:t>
            </w:r>
            <w:r>
              <w:rPr>
                <w:rFonts w:ascii="仿宋_GB2312" w:hAnsi="宋体" w:hint="eastAsia"/>
                <w:color w:val="000000"/>
                <w:szCs w:val="21"/>
              </w:rPr>
              <w:t>信用”运用，搭建投标保证金电子保函平台，拓展金融机构数量，搭建“武易贷”金融服务平台。探索产权交易金融服务新形式，在国有产权领域采用电子保函、银行保函等非现金形式缴纳保证金，开展国有“产权贷”服务，缓解市场主体资金压力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lastRenderedPageBreak/>
              <w:t>16</w:t>
            </w:r>
            <w:r>
              <w:rPr>
                <w:rFonts w:ascii="仿宋_GB2312" w:hAnsi="宋体" w:hint="eastAsia"/>
                <w:color w:val="000000"/>
                <w:szCs w:val="21"/>
              </w:rPr>
              <w:t>．交易服务数字化。梳理交易服务事项，出台交易服务事项清单、不见面事项清单</w:t>
            </w:r>
            <w:r>
              <w:rPr>
                <w:rFonts w:ascii="仿宋_GB2312" w:hAnsi="宋体" w:hint="eastAsia"/>
                <w:color w:val="000000"/>
                <w:szCs w:val="21"/>
              </w:rPr>
              <w:t>2024</w:t>
            </w:r>
            <w:r>
              <w:rPr>
                <w:rFonts w:ascii="仿宋_GB2312" w:hAnsi="宋体" w:hint="eastAsia"/>
                <w:color w:val="000000"/>
                <w:szCs w:val="21"/>
              </w:rPr>
              <w:t>版，于中心网站公开发布。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丰富线上咨询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服务体系，推出“在线课堂”，开发上线交易在线学习平台，设置个性化政策宣传、操作指南、课程学习等清单和栏目，为交易各方主体解决交易领域经常面临的政策多、变化快、程序繁、理解难的困境。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17</w:t>
            </w:r>
            <w:r>
              <w:rPr>
                <w:rFonts w:ascii="仿宋_GB2312" w:hAnsi="宋体" w:hint="eastAsia"/>
                <w:color w:val="000000"/>
                <w:szCs w:val="21"/>
              </w:rPr>
              <w:t>．交易监管数字化。完善交易大数据分析，利用交易活动形成的大数据，开展数据关联比对和统计分析，每年形成两期大数据分析报告，为行政监管提供更加高效的监测预警，助力交易领域突出问题专项整治。加大新技术的整合和使用力度，建设交易监管数字平台，实现大数据寻源、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围标串标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分析、数字化监管等全流程智能化。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（五）聚焦利企便民，持续优化交易环境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18</w:t>
            </w:r>
            <w:r>
              <w:rPr>
                <w:rFonts w:ascii="仿宋_GB2312" w:hAnsi="宋体" w:hint="eastAsia"/>
                <w:color w:val="000000"/>
                <w:szCs w:val="21"/>
              </w:rPr>
              <w:t>．推行利企减负“十大行动”。推出惠及工程招投标、政府采购、国有产权、土地交易、农村产权交易等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全领域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的公共资源交易“利企减负”十大硬核举措，围绕减收免收交易服务费、落实中小企业扶持政策等方面落实落细、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做优做精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，为市场主体提供有态度、有速度、有温度的交易服务。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19</w:t>
            </w:r>
            <w:r>
              <w:rPr>
                <w:rFonts w:ascii="仿宋_GB2312" w:hAnsi="宋体" w:hint="eastAsia"/>
                <w:color w:val="000000"/>
                <w:szCs w:val="21"/>
              </w:rPr>
              <w:t>．实施交易服务“十大举措”。坚持以服务市场主体为导向，深化交易服务流程再造，着力创新交易服务方式，降低制度性交易成本，出台服务重点项目“十大举措”，通过建立提前介入服务、配置专班专人保障服务、开展定期专业指导服务、建立交易“不易办”反映窗口等十大服务举措，推进交易服务创新，加大项目力度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20</w:t>
            </w:r>
            <w:r>
              <w:rPr>
                <w:rFonts w:ascii="仿宋_GB2312" w:hAnsi="宋体" w:hint="eastAsia"/>
                <w:color w:val="000000"/>
                <w:szCs w:val="21"/>
              </w:rPr>
              <w:t>．打造“不见面交易”智慧云体系。以交易数字化转型为契机，运用云计算、人工智能等信息技术，打造集服务、金融、监管于一体的“不见面交易”服务体系。梳理“不见面交易”场景，结合交易见证系统，形成十个“不见面”交易场景、“不见面交易”事项清单、智慧见证服务等成果，实现交易形态由“面对面”到“屏对屏”的变化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21</w:t>
            </w:r>
            <w:r>
              <w:rPr>
                <w:rFonts w:ascii="仿宋_GB2312" w:hAnsi="宋体" w:hint="eastAsia"/>
                <w:color w:val="000000"/>
                <w:szCs w:val="21"/>
              </w:rPr>
              <w:t>．深化“武易讲坛”宣讲品牌。成立“交易宣讲团”，采用主动讲、邀请讲、轮流讲的形式开展交易知识授课，打造“</w:t>
            </w:r>
            <w:r>
              <w:rPr>
                <w:rFonts w:ascii="仿宋_GB2312" w:hAnsi="宋体" w:hint="eastAsia"/>
                <w:color w:val="000000"/>
                <w:szCs w:val="21"/>
              </w:rPr>
              <w:t>2+N</w:t>
            </w:r>
            <w:r>
              <w:rPr>
                <w:rFonts w:ascii="仿宋_GB2312" w:hAnsi="宋体" w:hint="eastAsia"/>
                <w:color w:val="000000"/>
                <w:szCs w:val="21"/>
              </w:rPr>
              <w:t>”专题精品课程，为各交易主体提供专题知识授课服务。组建“交易帮帮团”，接对镇交易站，深化基层交易指导，搭建交易联系渠道，建立培训、宣传、调研联动机制。探索“交易研究团”，由资深专家、优秀代理、主管部门等组成，为全区交易事业发展出谋划策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（六）聚焦阳光公平，推动形成监管合力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22</w:t>
            </w:r>
            <w:r>
              <w:rPr>
                <w:rFonts w:ascii="仿宋_GB2312" w:hAnsi="宋体" w:hint="eastAsia"/>
                <w:color w:val="000000"/>
                <w:szCs w:val="21"/>
              </w:rPr>
              <w:t>．加强交易业务管理。优化完善交易平台场内巡检方案，开展对区、镇（开发区）交易巡检工作，形成巡检报告。针对基层交易类别多、杂问题，进一步规范和明确镇、开发区公共资源交易规范要求和操作模式。深入限额以下交易系统智能评标、交通、水利工程“不见面”开、评标系统以及采购类、</w:t>
            </w:r>
            <w:proofErr w:type="gramStart"/>
            <w:r>
              <w:rPr>
                <w:rFonts w:ascii="仿宋_GB2312" w:hAnsi="宋体" w:hint="eastAsia"/>
                <w:color w:val="000000"/>
                <w:szCs w:val="21"/>
              </w:rPr>
              <w:t>产权类全流程</w:t>
            </w:r>
            <w:proofErr w:type="gramEnd"/>
            <w:r>
              <w:rPr>
                <w:rFonts w:ascii="仿宋_GB2312" w:hAnsi="宋体" w:hint="eastAsia"/>
                <w:color w:val="000000"/>
                <w:szCs w:val="21"/>
              </w:rPr>
              <w:t>电子化，推动限额以下项目“不见面”交易全覆盖。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23</w:t>
            </w:r>
            <w:r>
              <w:rPr>
                <w:rFonts w:ascii="仿宋_GB2312" w:hAnsi="宋体" w:hint="eastAsia"/>
                <w:color w:val="000000"/>
                <w:szCs w:val="21"/>
              </w:rPr>
              <w:t>．创新交易主体行为公示制度。联合公管办探索制定交易主体行为公示制度，针对交易主体业务服务、系统应用、流程规范、交易贡献度等四个方面，明确良好行为及差错行为的公示清单、行为等级、公示周期及申诉途径。按照项目进场、开标组织、项目评审、标后服务“四段式”对交易主体从业行为进行全周期、闭环式评价，并推送给各招标人，为相关单位考核及招标人遴选代理机构提供重要依据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24</w:t>
            </w:r>
            <w:r>
              <w:rPr>
                <w:rFonts w:ascii="仿宋_GB2312" w:hAnsi="宋体" w:hint="eastAsia"/>
                <w:color w:val="000000"/>
                <w:szCs w:val="21"/>
              </w:rPr>
              <w:t>．推进清廉交易“十大项目”。结合“七彩阳光</w:t>
            </w:r>
            <w:r>
              <w:rPr>
                <w:rFonts w:ascii="仿宋_GB2312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仿宋_GB2312" w:hAnsi="宋体" w:hint="eastAsia"/>
                <w:color w:val="000000"/>
                <w:szCs w:val="21"/>
              </w:rPr>
              <w:t>五心交易”工作品牌，以“武易清风”为廉政品牌推进清廉交易中心建设，通过思想倡廉、制度促廉、科技助廉、文化润廉、监督护廉的具体举措，打造“心廉心”廉政约谈、“武易智”数字服务、“武易信”信用体系建设、“武易贷”金融服务、“清廉仓”上交礼品交易、“武易办”重大项目交易服务工作营、“廉韵武易”廉政教育、“武易讲坛”交易宣讲、“武易说廉”案例分析座谈、</w:t>
            </w:r>
            <w:r>
              <w:rPr>
                <w:rFonts w:ascii="仿宋_GB2312" w:hAnsi="宋体" w:hint="eastAsia"/>
                <w:color w:val="000000"/>
                <w:szCs w:val="21"/>
              </w:rPr>
              <w:lastRenderedPageBreak/>
              <w:t>“武易同行”交易开放日等十大廉政项目，建成具有武进交易特色的清廉交易中心。</w:t>
            </w:r>
          </w:p>
          <w:p w:rsidR="004D72A8" w:rsidRDefault="004D72A8" w:rsidP="00C91E50">
            <w:pPr>
              <w:widowControl/>
              <w:adjustRightInd/>
              <w:spacing w:line="240" w:lineRule="auto"/>
              <w:jc w:val="left"/>
              <w:rPr>
                <w:rFonts w:ascii="仿宋_GB2312" w:hAnsi="宋体" w:hint="eastAsia"/>
                <w:color w:val="000000"/>
                <w:szCs w:val="21"/>
              </w:rPr>
            </w:pP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lastRenderedPageBreak/>
              <w:t>一级指标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二级指标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计算符号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年度目标值</w:t>
            </w: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履职业绩指标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/>
                <w:color w:val="000000"/>
                <w:szCs w:val="21"/>
              </w:rPr>
              <w:t>承担建设工程招投标项目、国有产权交易、土地使用权出让、政府采购、农村产权交易等公共资源交易现场服务和管理工作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/>
                <w:color w:val="000000"/>
                <w:szCs w:val="21"/>
              </w:rPr>
              <w:t>国有土地网上交易系统费用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=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10.43</w:t>
            </w:r>
            <w:r>
              <w:rPr>
                <w:rFonts w:ascii="仿宋_GB2312" w:hAnsi="宋体" w:hint="eastAsia"/>
                <w:color w:val="000000"/>
                <w:szCs w:val="21"/>
              </w:rPr>
              <w:t>万元</w:t>
            </w: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履职效果指标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Cs w:val="21"/>
              </w:rPr>
              <w:t>经济效益指标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全年项目经费支出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&lt;=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369.95</w:t>
            </w:r>
            <w:r>
              <w:rPr>
                <w:rFonts w:ascii="仿宋_GB2312" w:hAnsi="宋体" w:hint="eastAsia"/>
                <w:color w:val="000000"/>
                <w:szCs w:val="21"/>
              </w:rPr>
              <w:t>万元</w:t>
            </w: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Cs w:val="21"/>
              </w:rPr>
              <w:t>社会效益指标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各类经费按年初预算及时支付，确保日常支出和交易工作有序进行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较高</w:t>
            </w: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生态效益指标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可持续发展指标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</w:p>
        </w:tc>
      </w:tr>
      <w:tr w:rsidR="004D72A8" w:rsidTr="00C91E50">
        <w:trPr>
          <w:trHeight w:val="397"/>
          <w:jc w:val="center"/>
        </w:trPr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满意度指标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int="eastAsia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Cs w:val="21"/>
              </w:rPr>
              <w:t>各类市场主体满意度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 w:hint="eastAsia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&gt;=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2A8" w:rsidRDefault="004D72A8" w:rsidP="00C91E50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szCs w:val="21"/>
              </w:rPr>
            </w:pPr>
            <w:r>
              <w:rPr>
                <w:rFonts w:ascii="仿宋_GB2312" w:hAnsi="宋体" w:hint="eastAsia"/>
                <w:color w:val="000000"/>
                <w:szCs w:val="21"/>
              </w:rPr>
              <w:t>50%</w:t>
            </w:r>
          </w:p>
        </w:tc>
      </w:tr>
    </w:tbl>
    <w:p w:rsidR="004D72A8" w:rsidRDefault="004D72A8" w:rsidP="004D72A8">
      <w:pPr>
        <w:autoSpaceDE w:val="0"/>
        <w:autoSpaceDN w:val="0"/>
        <w:spacing w:line="360" w:lineRule="auto"/>
        <w:textAlignment w:val="bottom"/>
        <w:rPr>
          <w:rFonts w:ascii="仿宋_GB2312" w:eastAsia="仿宋_GB2312" w:hAnsi="宋体" w:hint="eastAsia"/>
          <w:spacing w:val="-4"/>
          <w:sz w:val="32"/>
          <w:szCs w:val="32"/>
        </w:rPr>
      </w:pPr>
    </w:p>
    <w:p w:rsidR="004D72A8" w:rsidRDefault="004D72A8" w:rsidP="004D72A8">
      <w:pPr>
        <w:spacing w:line="360" w:lineRule="auto"/>
        <w:rPr>
          <w:rFonts w:hint="eastAsia"/>
          <w:szCs w:val="28"/>
        </w:rPr>
      </w:pPr>
    </w:p>
    <w:p w:rsidR="004D72A8" w:rsidRDefault="004D72A8">
      <w:pPr>
        <w:rPr>
          <w:rFonts w:hint="eastAsia"/>
        </w:rPr>
      </w:pPr>
      <w:bookmarkStart w:id="0" w:name="_GoBack"/>
      <w:bookmarkEnd w:id="0"/>
    </w:p>
    <w:sectPr w:rsidR="004D72A8" w:rsidSect="00DF775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75C"/>
    <w:rsid w:val="004553DE"/>
    <w:rsid w:val="004D72A8"/>
    <w:rsid w:val="00AA759E"/>
    <w:rsid w:val="00AC6309"/>
    <w:rsid w:val="00DF775C"/>
    <w:rsid w:val="00EB3C03"/>
    <w:rsid w:val="00F337F8"/>
    <w:rsid w:val="00F5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1FC93C-39DB-4C8B-9F38-9D065C58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75C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">
    <w:name w:val="c"/>
    <w:basedOn w:val="a0"/>
    <w:rsid w:val="00DF775C"/>
  </w:style>
  <w:style w:type="paragraph" w:customStyle="1" w:styleId="Char">
    <w:name w:val=" Char"/>
    <w:basedOn w:val="a"/>
    <w:rsid w:val="004D72A8"/>
    <w:pPr>
      <w:adjustRightInd/>
      <w:spacing w:line="240" w:lineRule="auto"/>
    </w:pPr>
    <w:rPr>
      <w:rFonts w:ascii="仿宋_GB2312" w:eastAsia="仿宋_GB2312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2024-03-07T01:34:00Z</dcterms:created>
  <dcterms:modified xsi:type="dcterms:W3CDTF">2024-03-07T01:34:00Z</dcterms:modified>
</cp:coreProperties>
</file>