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32E90"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 w14:paraId="70E9A69F">
      <w:pPr>
        <w:spacing w:line="570" w:lineRule="exact"/>
        <w:rPr>
          <w:rFonts w:ascii="黑体" w:hAnsi="黑体" w:eastAsia="黑体"/>
          <w:sz w:val="32"/>
          <w:szCs w:val="32"/>
        </w:rPr>
      </w:pPr>
    </w:p>
    <w:p w14:paraId="02839743">
      <w:pPr>
        <w:spacing w:line="57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常州市武进区工程技术研究中心建设立项标准</w:t>
      </w:r>
    </w:p>
    <w:bookmarkEnd w:id="0"/>
    <w:p w14:paraId="1DBAE3EF">
      <w:pPr>
        <w:ind w:firstLine="615"/>
        <w:rPr>
          <w:rFonts w:eastAsia="仿宋_GB2312"/>
          <w:sz w:val="24"/>
          <w:szCs w:val="32"/>
        </w:rPr>
      </w:pPr>
    </w:p>
    <w:p w14:paraId="069876FC">
      <w:pPr>
        <w:ind w:firstLine="615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sz w:val="32"/>
          <w:szCs w:val="32"/>
        </w:rPr>
        <w:t>1．在本区注册2年以上具有独立法人资格的企业单位。</w:t>
      </w:r>
    </w:p>
    <w:p w14:paraId="1E6E427B">
      <w:pPr>
        <w:ind w:firstLine="6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2．具有一定的经济实力，有筹措资金的能力和信誉。企业上年度销售收入不低于1000万元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农业企业和高新技术企业可以放宽至500万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研发投入占销售收入的比重不低于2%。</w:t>
      </w:r>
    </w:p>
    <w:p w14:paraId="268310B8">
      <w:pPr>
        <w:ind w:firstLine="6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拥有一支技术水平高、工程化实践经验丰富、结构合理的技术和管理人才队伍，其中专职研发人员5人以上。项目负责人具有较高的专业水平（中级及以上专业技术职称或者大学本科及以上学历）和组织管理与协调能力。</w:t>
      </w:r>
    </w:p>
    <w:p w14:paraId="137BD1C3">
      <w:pPr>
        <w:ind w:firstLine="6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4．基本具备工程技术试验条件、工艺设备等基础设施和相对集中的设施场所，有必要的分析、测试手段。拥有相对独立的研究开发及工程化试验场所，面积不低于100平米。</w:t>
      </w:r>
    </w:p>
    <w:p w14:paraId="16854F3B">
      <w:pPr>
        <w:ind w:firstLine="6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5．研发仪器设备原值100万元以上。</w:t>
      </w:r>
    </w:p>
    <w:p w14:paraId="6C5B3412">
      <w:pPr>
        <w:ind w:firstLine="6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6．在相关技术领域具有较强的研发实力，企业拥有自主研发的专利不少于2件，软件企业软件著作权不少于3件。</w:t>
      </w:r>
    </w:p>
    <w:p w14:paraId="071F719C">
      <w:pPr>
        <w:ind w:firstLine="6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7．有明确的中长期发展计划和目标，拥有技术研发创新相适应的激励机制。</w:t>
      </w:r>
    </w:p>
    <w:p w14:paraId="70308DD7">
      <w:pPr>
        <w:ind w:firstLine="6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上述指标针对高端人才企业可适当放宽。</w:t>
      </w:r>
    </w:p>
    <w:p w14:paraId="1B22308E">
      <w:r>
        <w:rPr>
          <w:rFonts w:eastAsia="仿宋_GB2312"/>
          <w:sz w:val="32"/>
          <w:szCs w:val="32"/>
        </w:rPr>
        <w:br w:type="page"/>
      </w:r>
    </w:p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A357D"/>
    <w:rsid w:val="11292F10"/>
    <w:rsid w:val="2D3D22C5"/>
    <w:rsid w:val="6B5A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2024-12-04T02:03:00Z</dcterms:created>
  <dc:creator>国家宏观调控</dc:creator>
  <cp:lastModifiedBy>国家宏观调控</cp:lastModifiedBy>
  <dcterms:modified xsi:type="dcterms:W3CDTF">2024-12-04T02:03:25Z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8BF18DFF89B94E589FE2253A43AED04D_11</vt:lpwstr>
  </property>
</Properties>
</file>