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9</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bookmarkStart w:id="0" w:name="_GoBack" w:colFirst="0" w:colLast="8"/>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李沙沙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 xml:space="preserve"> 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武进区湖塘名爵汽车维修服务部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bookmarkEnd w:id="0"/>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IBzZiURxBKaUXfKnb3+XXYAxPBA=" w:salt="2hNFVphkpbcW3K9jPj65j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FD282F"/>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28E3923"/>
    <w:rsid w:val="52B0733A"/>
    <w:rsid w:val="55272DBA"/>
    <w:rsid w:val="5539697E"/>
    <w:rsid w:val="5688346E"/>
    <w:rsid w:val="56941FFC"/>
    <w:rsid w:val="56FA7BD3"/>
    <w:rsid w:val="60BD3BA3"/>
    <w:rsid w:val="62AC3ECF"/>
    <w:rsid w:val="63045E00"/>
    <w:rsid w:val="66973907"/>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19</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2024-09-30T06:45:07Z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D6C64F15F62341D48A92FE0A607784D2_13</vt:lpwstr>
  </property>
</Properties>
</file>