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9A4FFA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9A4FFA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B5F15" w:rsidRPr="008B5F15">
        <w:rPr>
          <w:rFonts w:hint="eastAsia"/>
        </w:rPr>
        <w:t xml:space="preserve"> 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糯米锅巴（海苔肉酥味）（糕点）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0C5EF4" w:rsidRPr="000C5EF4">
        <w:rPr>
          <w:rFonts w:ascii="仿宋_GB2312" w:eastAsia="仿宋_GB2312" w:hAnsi="仿宋_GB2312" w:cs="仿宋_GB2312"/>
          <w:sz w:val="32"/>
          <w:szCs w:val="32"/>
        </w:rPr>
        <w:t>XBJ24320412273535712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962AD4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3887">
        <w:rPr>
          <w:rFonts w:ascii="仿宋_GB2312" w:eastAsia="仿宋_GB2312" w:hAnsi="仿宋_GB2312" w:cs="仿宋_GB2312"/>
          <w:sz w:val="32"/>
          <w:szCs w:val="32"/>
        </w:rPr>
        <w:t>：</w:t>
      </w:r>
      <w:r w:rsidR="000C5EF4" w:rsidRPr="000C5EF4">
        <w:rPr>
          <w:rFonts w:ascii="仿宋_GB2312" w:eastAsia="仿宋_GB2312" w:hAnsi="仿宋_GB2312" w:cs="仿宋_GB2312"/>
          <w:sz w:val="32"/>
          <w:szCs w:val="32"/>
        </w:rPr>
        <w:t>2024-04-24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常州市武进区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桥鸿运水果店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5848AD" w:rsidRPr="005848AD">
        <w:rPr>
          <w:rFonts w:ascii="仿宋_GB2312" w:eastAsia="仿宋_GB2312" w:hAnsi="仿宋_GB2312" w:cs="仿宋_GB2312"/>
          <w:sz w:val="32"/>
          <w:szCs w:val="32"/>
        </w:rPr>
        <w:t>2024-05-1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7E3887">
        <w:rPr>
          <w:rFonts w:ascii="仿宋_GB2312" w:eastAsia="仿宋_GB2312" w:hAnsi="仿宋_GB2312" w:cs="仿宋_GB2312"/>
          <w:sz w:val="32"/>
          <w:szCs w:val="32"/>
        </w:rPr>
        <w:t>，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大肠菌群</w:t>
      </w:r>
      <w:r w:rsidR="007E388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26F8" w:rsidRDefault="008626F8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8626F8">
        <w:rPr>
          <w:rFonts w:hint="eastAsia"/>
        </w:rPr>
        <w:t xml:space="preserve"> 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铁杆山药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0C5EF4" w:rsidRPr="000C5EF4">
        <w:rPr>
          <w:rFonts w:ascii="仿宋_GB2312" w:eastAsia="仿宋_GB2312" w:hAnsi="仿宋_GB2312" w:cs="仿宋_GB2312"/>
          <w:sz w:val="32"/>
          <w:szCs w:val="32"/>
        </w:rPr>
        <w:t>XBJ24320412296737728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E90B39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="000C5EF4" w:rsidRPr="000C5EF4">
        <w:rPr>
          <w:rFonts w:ascii="仿宋_GB2312" w:eastAsia="仿宋_GB2312" w:hAnsi="仿宋_GB2312" w:cs="仿宋_GB2312"/>
          <w:sz w:val="32"/>
          <w:szCs w:val="32"/>
        </w:rPr>
        <w:t>2024-05-13</w:t>
      </w:r>
      <w:r w:rsidRPr="008626F8">
        <w:rPr>
          <w:rFonts w:ascii="仿宋_GB2312" w:eastAsia="仿宋_GB2312" w:hAnsi="仿宋_GB2312" w:cs="仿宋_GB2312"/>
          <w:sz w:val="32"/>
          <w:szCs w:val="32"/>
        </w:rPr>
        <w:t>，</w:t>
      </w:r>
      <w:r w:rsidRPr="00EE35F6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武进高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新区初鲜食品店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0C5EF4" w:rsidRPr="000C5EF4">
        <w:rPr>
          <w:rFonts w:ascii="仿宋_GB2312" w:eastAsia="仿宋_GB2312" w:hAnsi="仿宋_GB2312" w:cs="仿宋_GB2312"/>
          <w:sz w:val="32"/>
          <w:szCs w:val="32"/>
        </w:rPr>
        <w:t>2024-05-14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鲜胺和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咪鲜胺锰盐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340DC9" w:rsidRPr="007056B6" w:rsidRDefault="00340DC9" w:rsidP="000C5EF4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常州市武进区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漕</w:t>
      </w:r>
      <w:proofErr w:type="gramEnd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桥鸿运水果店了经营不符合食品安全标准的食品的行为。</w:t>
      </w:r>
      <w:r w:rsidR="007056B6" w:rsidRPr="007056B6">
        <w:rPr>
          <w:rFonts w:ascii="仿宋_GB2312" w:eastAsia="仿宋_GB2312" w:hAnsi="仿宋_GB2312" w:cs="仿宋_GB2312"/>
          <w:sz w:val="32"/>
          <w:szCs w:val="32"/>
        </w:rPr>
        <w:t>鉴于本案中当事人能够提供进货查验记录和进货凭证，如实说明进货来源，对涉案食品履行了进货查验义务，有证据证明其不知道所采购的食品不符合食品安全标准，根据《中华人民共和国食品安全法》第一百三十六条的规定，决定对当事人免予行政处罚。</w:t>
      </w:r>
    </w:p>
    <w:p w:rsidR="00E90B39" w:rsidRDefault="00340DC9" w:rsidP="00E90B39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 w:rsidRPr="00340DC9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武进高</w:t>
      </w:r>
      <w:proofErr w:type="gramStart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新区初鲜食品店</w:t>
      </w:r>
      <w:proofErr w:type="gramEnd"/>
      <w:r w:rsidR="000C5EF4" w:rsidRPr="000C5EF4"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</w:t>
      </w:r>
      <w:r w:rsidR="00E90B39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0C5EF4" w:rsidRPr="00E90B3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没收违法所得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E90B39" w:rsidRPr="00E90B39">
        <w:rPr>
          <w:rFonts w:ascii="仿宋_GB2312" w:eastAsia="仿宋_GB2312" w:hAnsi="仿宋_GB2312" w:cs="仿宋_GB2312" w:hint="eastAsia"/>
          <w:sz w:val="32"/>
          <w:szCs w:val="32"/>
        </w:rPr>
        <w:t>00元；罚没合计</w:t>
      </w:r>
      <w:r w:rsidR="000C5EF4">
        <w:rPr>
          <w:rFonts w:ascii="仿宋_GB2312" w:eastAsia="仿宋_GB2312" w:hAnsi="仿宋_GB2312" w:cs="仿宋_GB2312" w:hint="eastAsia"/>
          <w:sz w:val="32"/>
          <w:szCs w:val="32"/>
        </w:rPr>
        <w:t>550</w:t>
      </w:r>
      <w:r w:rsidR="00E90B39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796DDB" w:rsidRDefault="003528F1" w:rsidP="00BE60A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58B3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24F13"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65" w:rsidRDefault="00BD1465" w:rsidP="00E90917">
      <w:r>
        <w:separator/>
      </w:r>
    </w:p>
  </w:endnote>
  <w:endnote w:type="continuationSeparator" w:id="0">
    <w:p w:rsidR="00BD1465" w:rsidRDefault="00BD1465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65" w:rsidRDefault="00BD1465" w:rsidP="00E90917">
      <w:r>
        <w:separator/>
      </w:r>
    </w:p>
  </w:footnote>
  <w:footnote w:type="continuationSeparator" w:id="0">
    <w:p w:rsidR="00BD1465" w:rsidRDefault="00BD1465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130A"/>
    <w:rsid w:val="00062000"/>
    <w:rsid w:val="000B043F"/>
    <w:rsid w:val="000C3AB5"/>
    <w:rsid w:val="000C5151"/>
    <w:rsid w:val="000C5EF4"/>
    <w:rsid w:val="000D3883"/>
    <w:rsid w:val="00114C0B"/>
    <w:rsid w:val="00117C29"/>
    <w:rsid w:val="00172955"/>
    <w:rsid w:val="00186289"/>
    <w:rsid w:val="00194EDB"/>
    <w:rsid w:val="001963FC"/>
    <w:rsid w:val="001A689D"/>
    <w:rsid w:val="001B5886"/>
    <w:rsid w:val="001C01E6"/>
    <w:rsid w:val="001C1AD7"/>
    <w:rsid w:val="001D5AF1"/>
    <w:rsid w:val="002054C0"/>
    <w:rsid w:val="00206F51"/>
    <w:rsid w:val="00227CFB"/>
    <w:rsid w:val="002475C2"/>
    <w:rsid w:val="002508E4"/>
    <w:rsid w:val="002713C1"/>
    <w:rsid w:val="00280259"/>
    <w:rsid w:val="002A5656"/>
    <w:rsid w:val="002B169D"/>
    <w:rsid w:val="002C0A93"/>
    <w:rsid w:val="002C74F4"/>
    <w:rsid w:val="002E7658"/>
    <w:rsid w:val="002F7E65"/>
    <w:rsid w:val="00340DC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59DD"/>
    <w:rsid w:val="003F5D27"/>
    <w:rsid w:val="00416895"/>
    <w:rsid w:val="004170E6"/>
    <w:rsid w:val="00434335"/>
    <w:rsid w:val="0043653C"/>
    <w:rsid w:val="00441B6B"/>
    <w:rsid w:val="00470610"/>
    <w:rsid w:val="00483AA8"/>
    <w:rsid w:val="00485067"/>
    <w:rsid w:val="00485FA0"/>
    <w:rsid w:val="0049344C"/>
    <w:rsid w:val="004C55F4"/>
    <w:rsid w:val="004D5953"/>
    <w:rsid w:val="004E7D91"/>
    <w:rsid w:val="00501015"/>
    <w:rsid w:val="00505300"/>
    <w:rsid w:val="0051458C"/>
    <w:rsid w:val="00516184"/>
    <w:rsid w:val="00523CEB"/>
    <w:rsid w:val="00525F97"/>
    <w:rsid w:val="005450CD"/>
    <w:rsid w:val="00570E3C"/>
    <w:rsid w:val="00571B86"/>
    <w:rsid w:val="005848AD"/>
    <w:rsid w:val="0059204B"/>
    <w:rsid w:val="0059743E"/>
    <w:rsid w:val="005A4D51"/>
    <w:rsid w:val="005C7C13"/>
    <w:rsid w:val="005E5B3A"/>
    <w:rsid w:val="005F4950"/>
    <w:rsid w:val="006145EC"/>
    <w:rsid w:val="006270A6"/>
    <w:rsid w:val="006472D2"/>
    <w:rsid w:val="00665ABF"/>
    <w:rsid w:val="0067685D"/>
    <w:rsid w:val="00682F20"/>
    <w:rsid w:val="00691C55"/>
    <w:rsid w:val="00695815"/>
    <w:rsid w:val="006B54E7"/>
    <w:rsid w:val="006D0DA8"/>
    <w:rsid w:val="006E24A4"/>
    <w:rsid w:val="00702622"/>
    <w:rsid w:val="007056B6"/>
    <w:rsid w:val="00725703"/>
    <w:rsid w:val="007426CE"/>
    <w:rsid w:val="00744E93"/>
    <w:rsid w:val="00746A15"/>
    <w:rsid w:val="007813CA"/>
    <w:rsid w:val="00785D5C"/>
    <w:rsid w:val="00796DDB"/>
    <w:rsid w:val="007E3887"/>
    <w:rsid w:val="00812921"/>
    <w:rsid w:val="00814EEB"/>
    <w:rsid w:val="00816937"/>
    <w:rsid w:val="00824F13"/>
    <w:rsid w:val="00825B11"/>
    <w:rsid w:val="00847047"/>
    <w:rsid w:val="008626F8"/>
    <w:rsid w:val="0086634F"/>
    <w:rsid w:val="008811E2"/>
    <w:rsid w:val="008858BB"/>
    <w:rsid w:val="008900D8"/>
    <w:rsid w:val="008B5F15"/>
    <w:rsid w:val="008D1DBD"/>
    <w:rsid w:val="008D6034"/>
    <w:rsid w:val="008D6062"/>
    <w:rsid w:val="008E7F4F"/>
    <w:rsid w:val="0091639F"/>
    <w:rsid w:val="00922F35"/>
    <w:rsid w:val="009316FA"/>
    <w:rsid w:val="00962AD4"/>
    <w:rsid w:val="00963163"/>
    <w:rsid w:val="00972095"/>
    <w:rsid w:val="00973B42"/>
    <w:rsid w:val="009909C5"/>
    <w:rsid w:val="009A0169"/>
    <w:rsid w:val="009A4FFA"/>
    <w:rsid w:val="009A506A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53E1A"/>
    <w:rsid w:val="00A702A2"/>
    <w:rsid w:val="00A7102E"/>
    <w:rsid w:val="00A835BF"/>
    <w:rsid w:val="00A923D1"/>
    <w:rsid w:val="00AA5B83"/>
    <w:rsid w:val="00AB4F12"/>
    <w:rsid w:val="00AC5C27"/>
    <w:rsid w:val="00AD0D01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7D86"/>
    <w:rsid w:val="00BD1465"/>
    <w:rsid w:val="00BE078D"/>
    <w:rsid w:val="00BE50C8"/>
    <w:rsid w:val="00BE60A5"/>
    <w:rsid w:val="00BF292C"/>
    <w:rsid w:val="00C02889"/>
    <w:rsid w:val="00C4045E"/>
    <w:rsid w:val="00C50033"/>
    <w:rsid w:val="00C83861"/>
    <w:rsid w:val="00C969C4"/>
    <w:rsid w:val="00CC2DEF"/>
    <w:rsid w:val="00CC3897"/>
    <w:rsid w:val="00CD548D"/>
    <w:rsid w:val="00CE0167"/>
    <w:rsid w:val="00CF1DAA"/>
    <w:rsid w:val="00CF71B5"/>
    <w:rsid w:val="00CF7807"/>
    <w:rsid w:val="00D00D7A"/>
    <w:rsid w:val="00D10910"/>
    <w:rsid w:val="00D14531"/>
    <w:rsid w:val="00D24CE2"/>
    <w:rsid w:val="00D4378A"/>
    <w:rsid w:val="00D51DB2"/>
    <w:rsid w:val="00D71351"/>
    <w:rsid w:val="00D85EA9"/>
    <w:rsid w:val="00D951EC"/>
    <w:rsid w:val="00DA3509"/>
    <w:rsid w:val="00DC7087"/>
    <w:rsid w:val="00DE58B3"/>
    <w:rsid w:val="00DE5DE8"/>
    <w:rsid w:val="00DF6D66"/>
    <w:rsid w:val="00E02BB4"/>
    <w:rsid w:val="00E10C42"/>
    <w:rsid w:val="00E1684C"/>
    <w:rsid w:val="00E216B8"/>
    <w:rsid w:val="00E30324"/>
    <w:rsid w:val="00E315CD"/>
    <w:rsid w:val="00E31E82"/>
    <w:rsid w:val="00E431C7"/>
    <w:rsid w:val="00E5594D"/>
    <w:rsid w:val="00E62CF7"/>
    <w:rsid w:val="00E77487"/>
    <w:rsid w:val="00E90917"/>
    <w:rsid w:val="00E90B39"/>
    <w:rsid w:val="00E93824"/>
    <w:rsid w:val="00EB4570"/>
    <w:rsid w:val="00EC3926"/>
    <w:rsid w:val="00EE35F6"/>
    <w:rsid w:val="00F23190"/>
    <w:rsid w:val="00F6133A"/>
    <w:rsid w:val="00F65795"/>
    <w:rsid w:val="00F70F7E"/>
    <w:rsid w:val="00F76212"/>
    <w:rsid w:val="00F84FA4"/>
    <w:rsid w:val="00FC2975"/>
    <w:rsid w:val="00FC7DFD"/>
    <w:rsid w:val="00FE04C5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5</cp:revision>
  <dcterms:created xsi:type="dcterms:W3CDTF">2024-08-16T03:16:00Z</dcterms:created>
  <dcterms:modified xsi:type="dcterms:W3CDTF">2024-08-21T00:44:00Z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