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3D" w:rsidRDefault="00BB563D">
      <w:pPr>
        <w:widowControl w:val="0"/>
        <w:overflowPunct w:val="0"/>
        <w:jc w:val="left"/>
        <w:rPr>
          <w:rFonts w:ascii="方正黑体_GBK" w:eastAsia="方正黑体_GBK"/>
        </w:rPr>
      </w:pPr>
    </w:p>
    <w:p w:rsidR="00BB563D" w:rsidRDefault="006D57E1">
      <w:pPr>
        <w:widowControl w:val="0"/>
        <w:overflowPunct w:val="0"/>
        <w:jc w:val="center"/>
        <w:rPr>
          <w:rFonts w:ascii="方正小标宋简体" w:eastAsia="方正小标宋简体"/>
          <w:sz w:val="44"/>
          <w:szCs w:val="24"/>
        </w:rPr>
      </w:pPr>
      <w:bookmarkStart w:id="0" w:name="_Hlk160723111"/>
      <w:bookmarkStart w:id="1" w:name="_Hlk160580314"/>
      <w:r>
        <w:rPr>
          <w:rFonts w:ascii="方正小标宋简体" w:eastAsia="方正小标宋简体" w:hint="eastAsia"/>
          <w:sz w:val="44"/>
          <w:szCs w:val="24"/>
        </w:rPr>
        <w:t>武进区工业和信息化系统</w:t>
      </w:r>
      <w:bookmarkEnd w:id="0"/>
      <w:r>
        <w:rPr>
          <w:rFonts w:ascii="方正小标宋简体" w:eastAsia="方正小标宋简体" w:hint="eastAsia"/>
          <w:sz w:val="44"/>
          <w:szCs w:val="24"/>
        </w:rPr>
        <w:t>安全生产治本攻坚三年行动（2024-2026年）实施方案</w:t>
      </w:r>
    </w:p>
    <w:bookmarkEnd w:id="1"/>
    <w:p w:rsidR="00BB563D" w:rsidRDefault="00BB563D">
      <w:pPr>
        <w:widowControl w:val="0"/>
        <w:overflowPunct w:val="0"/>
        <w:jc w:val="center"/>
        <w:rPr>
          <w:rFonts w:eastAsia="方正小标宋_GBK"/>
          <w:sz w:val="44"/>
          <w:szCs w:val="24"/>
        </w:rPr>
      </w:pPr>
    </w:p>
    <w:p w:rsidR="00BB563D" w:rsidRDefault="006D57E1">
      <w:pPr>
        <w:widowControl w:val="0"/>
        <w:overflowPunct w:val="0"/>
        <w:ind w:firstLineChars="200" w:firstLine="640"/>
        <w:rPr>
          <w:rFonts w:ascii="仿宋_GB2312" w:eastAsia="仿宋_GB2312"/>
        </w:rPr>
      </w:pPr>
      <w:r>
        <w:rPr>
          <w:rFonts w:ascii="仿宋_GB2312" w:eastAsia="仿宋_GB2312" w:hint="eastAsia"/>
        </w:rPr>
        <w:t>为认真贯彻落实习近平总书记关于安全生产系列重要指示和对江苏工作重要讲话精神，按照区安委会</w:t>
      </w:r>
      <w:r>
        <w:rPr>
          <w:rFonts w:ascii="仿宋_GB2312" w:eastAsia="仿宋_GB2312" w:hint="eastAsia"/>
          <w:szCs w:val="32"/>
        </w:rPr>
        <w:t>《常州市武进区安全生产治本攻坚三年行动（2024-2026年）实施方案和2024年重点工作任务》及市工信局《常州市工业和信息化系统安全生产治本攻坚三年行动（2024-2026年）实施方案》要求，</w:t>
      </w:r>
      <w:r>
        <w:rPr>
          <w:rFonts w:ascii="仿宋_GB2312" w:eastAsia="仿宋_GB2312" w:hint="eastAsia"/>
        </w:rPr>
        <w:t>结合工作实际制定本实施方案。</w:t>
      </w:r>
    </w:p>
    <w:p w:rsidR="00BB563D" w:rsidRDefault="006D57E1">
      <w:pPr>
        <w:widowControl w:val="0"/>
        <w:overflowPunct w:val="0"/>
        <w:ind w:firstLineChars="200" w:firstLine="640"/>
        <w:rPr>
          <w:rFonts w:ascii="黑体" w:eastAsia="黑体" w:hAnsi="黑体"/>
        </w:rPr>
      </w:pPr>
      <w:r>
        <w:rPr>
          <w:rFonts w:ascii="黑体" w:eastAsia="黑体" w:hAnsi="黑体" w:hint="eastAsia"/>
        </w:rPr>
        <w:t>一、工作目标</w:t>
      </w:r>
    </w:p>
    <w:p w:rsidR="00BB563D" w:rsidRDefault="006D57E1">
      <w:pPr>
        <w:widowControl w:val="0"/>
        <w:overflowPunct w:val="0"/>
        <w:ind w:firstLineChars="200" w:firstLine="640"/>
        <w:rPr>
          <w:rFonts w:ascii="仿宋_GB2312" w:eastAsia="仿宋_GB2312"/>
        </w:rPr>
      </w:pPr>
      <w:r>
        <w:rPr>
          <w:rFonts w:ascii="仿宋_GB2312" w:eastAsia="仿宋_GB2312" w:hint="eastAsia"/>
        </w:rPr>
        <w:t>以习近平新时代中国特色社会主义思想为指导，全面贯彻党的二十大精神和党中央、国务院决策部署，落细落实区安委会及市工信局安全生产治本攻坚三年行动方案。通过三年攻坚，民用船舶制造业安全生产水平进一步提高；安全应急产业规模持续扩大，防灾减灾救灾和重大突发公共事件处置保障所需产品不断丰富。</w:t>
      </w:r>
    </w:p>
    <w:p w:rsidR="00BB563D" w:rsidRDefault="006D57E1">
      <w:pPr>
        <w:widowControl w:val="0"/>
        <w:overflowPunct w:val="0"/>
        <w:ind w:firstLineChars="200" w:firstLine="640"/>
        <w:rPr>
          <w:rFonts w:ascii="黑体" w:eastAsia="黑体" w:hAnsi="黑体"/>
        </w:rPr>
      </w:pPr>
      <w:r>
        <w:rPr>
          <w:rFonts w:ascii="黑体" w:eastAsia="黑体" w:hAnsi="黑体" w:hint="eastAsia"/>
        </w:rPr>
        <w:t>二、主要任务</w:t>
      </w:r>
    </w:p>
    <w:p w:rsidR="00BB563D" w:rsidRDefault="006D57E1">
      <w:pPr>
        <w:widowControl w:val="0"/>
        <w:overflowPunct w:val="0"/>
        <w:adjustRightInd w:val="0"/>
        <w:snapToGrid w:val="0"/>
        <w:ind w:firstLineChars="200" w:firstLine="640"/>
        <w:rPr>
          <w:rFonts w:ascii="仿宋_GB2312" w:eastAsia="仿宋_GB2312"/>
        </w:rPr>
      </w:pPr>
      <w:r>
        <w:rPr>
          <w:rFonts w:ascii="楷体" w:eastAsia="楷体" w:hAnsi="楷体" w:hint="eastAsia"/>
        </w:rPr>
        <w:t>（一）开展重大事故隐患排查整治工作。</w:t>
      </w:r>
      <w:r>
        <w:rPr>
          <w:rFonts w:ascii="仿宋_GB2312" w:eastAsia="仿宋_GB2312" w:hint="eastAsia"/>
        </w:rPr>
        <w:t>开展安全生产管理指导，区工信局每年至少组织2次、各板块经发局至少组织3次民船制造企业“全覆盖”安全生产专家指导服务，督促企业开展隐患排查治理，落实落细安全生产管理措施。</w:t>
      </w:r>
    </w:p>
    <w:p w:rsidR="00BB563D" w:rsidRDefault="006D57E1">
      <w:pPr>
        <w:widowControl w:val="0"/>
        <w:overflowPunct w:val="0"/>
        <w:adjustRightInd w:val="0"/>
        <w:snapToGrid w:val="0"/>
        <w:ind w:firstLineChars="200" w:firstLine="640"/>
        <w:rPr>
          <w:rFonts w:ascii="仿宋_GB2312" w:eastAsia="仿宋_GB2312"/>
          <w:szCs w:val="32"/>
        </w:rPr>
      </w:pPr>
      <w:r>
        <w:rPr>
          <w:rFonts w:ascii="楷体" w:eastAsia="楷体" w:hAnsi="楷体" w:hint="eastAsia"/>
        </w:rPr>
        <w:lastRenderedPageBreak/>
        <w:t>（二）完善风险辨识管控常态化机制。</w:t>
      </w:r>
      <w:r>
        <w:rPr>
          <w:rFonts w:ascii="仿宋_GB2312" w:eastAsia="仿宋_GB2312" w:hint="eastAsia"/>
          <w:szCs w:val="32"/>
        </w:rPr>
        <w:t>督促企业严格按照《江苏省工业企业安全生产风险报告规定》（省政府令第140号）要求，对较大以上的安全风险落实安全风险辨识管控措施和报告工作。开展监督检查，监督企业有效开展风险辨识管控和隐患排查治理，并针对排查出的隐患问题进行彻底整改，严格实施跟踪、闭环管理。</w:t>
      </w:r>
    </w:p>
    <w:p w:rsidR="00BB563D" w:rsidRDefault="006D57E1">
      <w:pPr>
        <w:widowControl w:val="0"/>
        <w:overflowPunct w:val="0"/>
        <w:adjustRightInd w:val="0"/>
        <w:snapToGrid w:val="0"/>
        <w:ind w:firstLineChars="200" w:firstLine="640"/>
        <w:rPr>
          <w:rFonts w:ascii="仿宋_GB2312" w:eastAsia="仿宋_GB2312"/>
        </w:rPr>
      </w:pPr>
      <w:r>
        <w:rPr>
          <w:rFonts w:ascii="楷体" w:eastAsia="楷体" w:hAnsi="楷体" w:hint="eastAsia"/>
        </w:rPr>
        <w:t>（三）提升行业本质安全水平。</w:t>
      </w:r>
      <w:r>
        <w:rPr>
          <w:rFonts w:ascii="仿宋_GB2312" w:eastAsia="仿宋_GB2312" w:hint="eastAsia"/>
        </w:rPr>
        <w:t>将安全生产作为工业行业管理的重要内容，从行业规划、产业政策、法规标准等方面加强安全生产工作。加强道路机动车辆安全源头治理，开展生产一致性监督检查，督促有关企业依法合规经营。</w:t>
      </w:r>
    </w:p>
    <w:p w:rsidR="00BB563D" w:rsidRDefault="006D57E1">
      <w:pPr>
        <w:widowControl w:val="0"/>
        <w:overflowPunct w:val="0"/>
        <w:ind w:firstLineChars="200" w:firstLine="640"/>
        <w:rPr>
          <w:rFonts w:ascii="仿宋_GB2312" w:eastAsia="仿宋_GB2312"/>
          <w:kern w:val="0"/>
          <w:szCs w:val="32"/>
        </w:rPr>
      </w:pPr>
      <w:r>
        <w:rPr>
          <w:rFonts w:ascii="楷体" w:eastAsia="楷体" w:hAnsi="楷体" w:hint="eastAsia"/>
        </w:rPr>
        <w:t>（四）培育壮大安全应急产业。</w:t>
      </w:r>
      <w:r>
        <w:rPr>
          <w:rFonts w:ascii="仿宋_GB2312" w:eastAsia="仿宋_GB2312" w:hint="eastAsia"/>
          <w:kern w:val="0"/>
          <w:szCs w:val="32"/>
        </w:rPr>
        <w:t>会同区相关部门推动《常州市安全应急装备重点领域发展行动实施方案（2023-2025年）》各项措施落实，切实发挥我区在装备制造领域优势，推进安全应急产业规模不断扩大，产品品种、样式不断增多，产业知名度、影响力不断提升，总体水平位列全市前列。</w:t>
      </w:r>
    </w:p>
    <w:p w:rsidR="00BB563D" w:rsidRDefault="006D57E1">
      <w:pPr>
        <w:widowControl w:val="0"/>
        <w:overflowPunct w:val="0"/>
        <w:ind w:firstLineChars="200" w:firstLine="640"/>
        <w:rPr>
          <w:rFonts w:ascii="黑体" w:eastAsia="黑体" w:hAnsi="黑体"/>
        </w:rPr>
      </w:pPr>
      <w:r>
        <w:rPr>
          <w:rFonts w:ascii="黑体" w:eastAsia="黑体" w:hAnsi="黑体" w:hint="eastAsia"/>
        </w:rPr>
        <w:t>三、保障措施</w:t>
      </w:r>
    </w:p>
    <w:p w:rsidR="00BB563D" w:rsidRDefault="006D57E1">
      <w:pPr>
        <w:widowControl w:val="0"/>
        <w:overflowPunct w:val="0"/>
        <w:ind w:firstLineChars="200" w:firstLine="640"/>
        <w:rPr>
          <w:rFonts w:ascii="仿宋_GB2312" w:eastAsia="仿宋_GB2312"/>
          <w:kern w:val="0"/>
        </w:rPr>
      </w:pPr>
      <w:r>
        <w:rPr>
          <w:rFonts w:ascii="楷体" w:eastAsia="楷体" w:hAnsi="楷体" w:hint="eastAsia"/>
          <w:kern w:val="0"/>
        </w:rPr>
        <w:t>（一）加强统筹协调。</w:t>
      </w:r>
      <w:r>
        <w:rPr>
          <w:rFonts w:ascii="仿宋_GB2312" w:eastAsia="仿宋_GB2312" w:hint="eastAsia"/>
          <w:kern w:val="0"/>
        </w:rPr>
        <w:t>区工信局牵头推进全区工信系统安全生产治本攻坚三年行动实施，梳理细化年度重点工作，对照工作目标明确工作举措、责任分工和完成时限，各责任科室按职责分工督促推进、抓好落实。</w:t>
      </w:r>
    </w:p>
    <w:p w:rsidR="00BB563D" w:rsidRDefault="006D57E1">
      <w:pPr>
        <w:widowControl w:val="0"/>
        <w:overflowPunct w:val="0"/>
        <w:ind w:firstLineChars="200" w:firstLine="640"/>
        <w:rPr>
          <w:rFonts w:ascii="仿宋_GB2312" w:eastAsia="仿宋_GB2312"/>
          <w:kern w:val="0"/>
        </w:rPr>
      </w:pPr>
      <w:r>
        <w:rPr>
          <w:rFonts w:ascii="楷体" w:eastAsia="楷体" w:hAnsi="楷体" w:hint="eastAsia"/>
          <w:kern w:val="0"/>
        </w:rPr>
        <w:t>（二）细化工作举措。</w:t>
      </w:r>
      <w:r>
        <w:rPr>
          <w:rFonts w:ascii="仿宋_GB2312" w:eastAsia="仿宋_GB2312" w:hint="eastAsia"/>
          <w:kern w:val="0"/>
        </w:rPr>
        <w:t>各板块工信部门要结合本地实际制定符合本地区相关行业发展现状的行动计划，认真落实治本攻</w:t>
      </w:r>
      <w:r>
        <w:rPr>
          <w:rFonts w:ascii="仿宋_GB2312" w:eastAsia="仿宋_GB2312" w:hint="eastAsia"/>
          <w:kern w:val="0"/>
        </w:rPr>
        <w:lastRenderedPageBreak/>
        <w:t>坚行动各项重要任务和工作目标。督促相关生产经营单位强化安全生产主体责任落实，持续开展重大事故隐患排查整治，加快提升本质安全水平，坚决防范遏制各类生产安全事故。</w:t>
      </w:r>
    </w:p>
    <w:p w:rsidR="00BB563D" w:rsidRDefault="006D57E1">
      <w:pPr>
        <w:widowControl w:val="0"/>
        <w:overflowPunct w:val="0"/>
        <w:ind w:firstLineChars="200" w:firstLine="640"/>
        <w:rPr>
          <w:rFonts w:ascii="仿宋_GB2312" w:eastAsia="仿宋_GB2312"/>
          <w:kern w:val="0"/>
        </w:rPr>
      </w:pPr>
      <w:r>
        <w:rPr>
          <w:rFonts w:ascii="楷体" w:eastAsia="楷体" w:hAnsi="楷体" w:hint="eastAsia"/>
          <w:kern w:val="0"/>
        </w:rPr>
        <w:t>（三）强化指导服务。</w:t>
      </w:r>
      <w:r>
        <w:rPr>
          <w:rFonts w:ascii="仿宋_GB2312" w:eastAsia="仿宋_GB2312" w:hint="eastAsia"/>
          <w:kern w:val="0"/>
        </w:rPr>
        <w:t>各地要加强政企沟通，及时掌握了解相关企业安全生产情况，反映企业诉求。结合治本攻坚行动有关任务，探索开展第三方安全服务，增强企业安全生产检查、隐患治理、问题整改等的针对性和有效性，切实指导帮助企业提高安全管理水平、提升安全防范能力。推进行业诚信自律，积极营造良好市场秩序。</w:t>
      </w:r>
    </w:p>
    <w:p w:rsidR="00123A44" w:rsidRDefault="00123A44">
      <w:pPr>
        <w:widowControl w:val="0"/>
        <w:overflowPunct w:val="0"/>
        <w:ind w:firstLineChars="200" w:firstLine="640"/>
        <w:rPr>
          <w:rFonts w:ascii="仿宋_GB2312" w:eastAsia="仿宋_GB2312"/>
          <w:kern w:val="0"/>
        </w:rPr>
      </w:pPr>
    </w:p>
    <w:p w:rsidR="00BB563D" w:rsidRDefault="006D57E1">
      <w:pPr>
        <w:widowControl w:val="0"/>
        <w:overflowPunct w:val="0"/>
        <w:ind w:firstLineChars="200" w:firstLine="640"/>
        <w:rPr>
          <w:rFonts w:ascii="仿宋_GB2312" w:eastAsia="仿宋_GB2312"/>
          <w:kern w:val="0"/>
        </w:rPr>
      </w:pPr>
      <w:r>
        <w:rPr>
          <w:rFonts w:ascii="仿宋_GB2312" w:eastAsia="仿宋_GB2312" w:hint="eastAsia"/>
          <w:kern w:val="0"/>
        </w:rPr>
        <w:t>附件：</w:t>
      </w:r>
      <w:bookmarkStart w:id="2" w:name="_Hlk160723657"/>
      <w:r>
        <w:rPr>
          <w:rFonts w:ascii="仿宋_GB2312" w:eastAsia="仿宋_GB2312" w:hint="eastAsia"/>
          <w:kern w:val="0"/>
        </w:rPr>
        <w:t>武进区工业和信息化系统</w:t>
      </w:r>
      <w:bookmarkEnd w:id="2"/>
      <w:r>
        <w:rPr>
          <w:rFonts w:ascii="仿宋_GB2312" w:eastAsia="仿宋_GB2312" w:hint="eastAsia"/>
          <w:kern w:val="0"/>
        </w:rPr>
        <w:t>治本攻坚三年行动实施</w:t>
      </w:r>
    </w:p>
    <w:p w:rsidR="00BB563D" w:rsidRDefault="006D57E1">
      <w:pPr>
        <w:widowControl w:val="0"/>
        <w:overflowPunct w:val="0"/>
        <w:ind w:firstLineChars="500" w:firstLine="1600"/>
        <w:rPr>
          <w:rFonts w:ascii="仿宋_GB2312" w:eastAsia="仿宋_GB2312"/>
          <w:kern w:val="0"/>
        </w:rPr>
      </w:pPr>
      <w:r>
        <w:rPr>
          <w:rFonts w:ascii="仿宋_GB2312" w:eastAsia="仿宋_GB2312" w:hint="eastAsia"/>
          <w:kern w:val="0"/>
        </w:rPr>
        <w:t>方案2024年重点工作任务</w:t>
      </w:r>
    </w:p>
    <w:p w:rsidR="00BB563D" w:rsidRDefault="00BB563D">
      <w:pPr>
        <w:widowControl w:val="0"/>
        <w:overflowPunct w:val="0"/>
        <w:jc w:val="left"/>
        <w:rPr>
          <w:rFonts w:ascii="仿宋_GB2312" w:eastAsia="仿宋_GB2312"/>
        </w:rPr>
        <w:sectPr w:rsidR="00BB563D" w:rsidSect="001700B0">
          <w:footerReference w:type="even" r:id="rId6"/>
          <w:footerReference w:type="default" r:id="rId7"/>
          <w:pgSz w:w="11906" w:h="16838" w:code="9"/>
          <w:pgMar w:top="1814" w:right="1531" w:bottom="1985" w:left="1531" w:header="851" w:footer="992" w:gutter="0"/>
          <w:pgNumType w:fmt="numberInDash" w:start="1"/>
          <w:cols w:space="425"/>
          <w:docGrid w:type="lines" w:linePitch="435"/>
        </w:sectPr>
      </w:pPr>
    </w:p>
    <w:p w:rsidR="00BB563D" w:rsidRPr="00123A44" w:rsidRDefault="006D57E1">
      <w:pPr>
        <w:widowControl w:val="0"/>
        <w:overflowPunct w:val="0"/>
        <w:jc w:val="left"/>
        <w:rPr>
          <w:rFonts w:ascii="黑体" w:eastAsia="黑体"/>
        </w:rPr>
      </w:pPr>
      <w:r w:rsidRPr="00123A44">
        <w:rPr>
          <w:rFonts w:ascii="黑体" w:eastAsia="黑体" w:hint="eastAsia"/>
        </w:rPr>
        <w:lastRenderedPageBreak/>
        <w:t>附件</w:t>
      </w:r>
    </w:p>
    <w:p w:rsidR="00BB563D" w:rsidRDefault="006D57E1" w:rsidP="000B40FC">
      <w:pPr>
        <w:spacing w:beforeLines="50" w:afterLines="50"/>
        <w:jc w:val="center"/>
        <w:rPr>
          <w:rFonts w:ascii="方正小标宋简体" w:eastAsia="方正小标宋简体"/>
          <w:spacing w:val="-20"/>
          <w:sz w:val="44"/>
          <w:szCs w:val="24"/>
        </w:rPr>
      </w:pPr>
      <w:r>
        <w:rPr>
          <w:rFonts w:ascii="方正小标宋简体" w:eastAsia="方正小标宋简体" w:hint="eastAsia"/>
          <w:spacing w:val="-20"/>
          <w:sz w:val="44"/>
          <w:szCs w:val="24"/>
        </w:rPr>
        <w:t>武进区工业和信息化系统治本攻坚三年行动实施方案2024年重点任务</w:t>
      </w:r>
    </w:p>
    <w:tbl>
      <w:tblPr>
        <w:tblStyle w:val="a9"/>
        <w:tblW w:w="13893" w:type="dxa"/>
        <w:tblInd w:w="-431" w:type="dxa"/>
        <w:tblLook w:val="04A0"/>
      </w:tblPr>
      <w:tblGrid>
        <w:gridCol w:w="852"/>
        <w:gridCol w:w="1559"/>
        <w:gridCol w:w="1559"/>
        <w:gridCol w:w="8505"/>
        <w:gridCol w:w="1418"/>
      </w:tblGrid>
      <w:tr w:rsidR="00BB563D">
        <w:trPr>
          <w:trHeight w:val="618"/>
          <w:tblHeader/>
        </w:trPr>
        <w:tc>
          <w:tcPr>
            <w:tcW w:w="852" w:type="dxa"/>
            <w:vAlign w:val="center"/>
          </w:tcPr>
          <w:p w:rsidR="00BB563D" w:rsidRDefault="006D57E1">
            <w:pPr>
              <w:spacing w:line="360" w:lineRule="exact"/>
              <w:jc w:val="center"/>
              <w:rPr>
                <w:rFonts w:ascii="仿宋_GB2312" w:eastAsia="仿宋_GB2312" w:hAnsi="黑体"/>
                <w:snapToGrid/>
                <w:sz w:val="28"/>
                <w:szCs w:val="28"/>
              </w:rPr>
            </w:pPr>
            <w:r>
              <w:rPr>
                <w:rFonts w:ascii="仿宋_GB2312" w:eastAsia="仿宋_GB2312" w:hAnsi="黑体" w:hint="eastAsia"/>
                <w:snapToGrid/>
                <w:sz w:val="28"/>
                <w:szCs w:val="28"/>
              </w:rPr>
              <w:t>序号</w:t>
            </w:r>
          </w:p>
        </w:tc>
        <w:tc>
          <w:tcPr>
            <w:tcW w:w="3118" w:type="dxa"/>
            <w:gridSpan w:val="2"/>
            <w:vAlign w:val="center"/>
          </w:tcPr>
          <w:p w:rsidR="00BB563D" w:rsidRDefault="006D57E1">
            <w:pPr>
              <w:spacing w:line="360" w:lineRule="exact"/>
              <w:jc w:val="center"/>
              <w:rPr>
                <w:rFonts w:ascii="仿宋_GB2312" w:eastAsia="仿宋_GB2312" w:hAnsi="黑体"/>
                <w:snapToGrid/>
                <w:sz w:val="28"/>
                <w:szCs w:val="28"/>
              </w:rPr>
            </w:pPr>
            <w:r>
              <w:rPr>
                <w:rFonts w:ascii="仿宋_GB2312" w:eastAsia="仿宋_GB2312" w:hAnsi="黑体" w:hint="eastAsia"/>
                <w:snapToGrid/>
                <w:sz w:val="28"/>
                <w:szCs w:val="28"/>
              </w:rPr>
              <w:t>重点行业</w:t>
            </w:r>
          </w:p>
        </w:tc>
        <w:tc>
          <w:tcPr>
            <w:tcW w:w="8505" w:type="dxa"/>
            <w:vAlign w:val="center"/>
          </w:tcPr>
          <w:p w:rsidR="00BB563D" w:rsidRDefault="006D57E1">
            <w:pPr>
              <w:spacing w:line="360" w:lineRule="exact"/>
              <w:jc w:val="center"/>
              <w:rPr>
                <w:rFonts w:ascii="仿宋_GB2312" w:eastAsia="仿宋_GB2312" w:hAnsi="黑体"/>
                <w:snapToGrid/>
                <w:sz w:val="28"/>
                <w:szCs w:val="28"/>
              </w:rPr>
            </w:pPr>
            <w:r>
              <w:rPr>
                <w:rFonts w:ascii="仿宋_GB2312" w:eastAsia="仿宋_GB2312" w:hAnsi="黑体" w:hint="eastAsia"/>
                <w:snapToGrid/>
                <w:sz w:val="28"/>
                <w:szCs w:val="28"/>
              </w:rPr>
              <w:t>工作举措</w:t>
            </w:r>
          </w:p>
        </w:tc>
        <w:tc>
          <w:tcPr>
            <w:tcW w:w="1418" w:type="dxa"/>
            <w:vAlign w:val="center"/>
          </w:tcPr>
          <w:p w:rsidR="00BB563D" w:rsidRDefault="006D57E1">
            <w:pPr>
              <w:spacing w:line="360" w:lineRule="exact"/>
              <w:jc w:val="center"/>
              <w:rPr>
                <w:rFonts w:ascii="仿宋_GB2312" w:eastAsia="仿宋_GB2312" w:hAnsi="黑体"/>
                <w:snapToGrid/>
                <w:sz w:val="28"/>
                <w:szCs w:val="28"/>
              </w:rPr>
            </w:pPr>
            <w:r>
              <w:rPr>
                <w:rFonts w:ascii="仿宋_GB2312" w:eastAsia="仿宋_GB2312" w:hAnsi="黑体" w:hint="eastAsia"/>
                <w:snapToGrid/>
                <w:sz w:val="28"/>
                <w:szCs w:val="28"/>
              </w:rPr>
              <w:t>进度安排</w:t>
            </w:r>
          </w:p>
        </w:tc>
      </w:tr>
      <w:tr w:rsidR="00BB563D">
        <w:trPr>
          <w:trHeight w:val="3905"/>
        </w:trPr>
        <w:tc>
          <w:tcPr>
            <w:tcW w:w="852"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1</w:t>
            </w:r>
          </w:p>
        </w:tc>
        <w:tc>
          <w:tcPr>
            <w:tcW w:w="1559" w:type="dxa"/>
            <w:vMerge w:val="restart"/>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船舶</w:t>
            </w:r>
          </w:p>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制造业</w:t>
            </w:r>
          </w:p>
        </w:tc>
        <w:tc>
          <w:tcPr>
            <w:tcW w:w="1559" w:type="dxa"/>
            <w:vAlign w:val="center"/>
          </w:tcPr>
          <w:p w:rsidR="00BB563D" w:rsidRDefault="006D57E1">
            <w:pPr>
              <w:spacing w:line="360" w:lineRule="exact"/>
              <w:jc w:val="left"/>
              <w:rPr>
                <w:rFonts w:ascii="仿宋_GB2312" w:eastAsia="仿宋_GB2312"/>
                <w:strike/>
                <w:snapToGrid/>
                <w:sz w:val="28"/>
                <w:szCs w:val="28"/>
              </w:rPr>
            </w:pPr>
            <w:r>
              <w:rPr>
                <w:rFonts w:ascii="仿宋_GB2312" w:eastAsia="仿宋_GB2312" w:hint="eastAsia"/>
                <w:snapToGrid/>
                <w:sz w:val="28"/>
                <w:szCs w:val="28"/>
              </w:rPr>
              <w:t>开展重大事故隐患排查整治</w:t>
            </w:r>
          </w:p>
        </w:tc>
        <w:tc>
          <w:tcPr>
            <w:tcW w:w="8505" w:type="dxa"/>
            <w:vAlign w:val="center"/>
          </w:tcPr>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从风险点、所在位置、形成原因、风险评价等级、管控措施等方面梳理形成《船舶制造业安全风险点（单元）辨识一览表》，分两个层次全面排查风险隐患。一是企业自查。组织全区所有船舶制造企业对照辨识表，开展自查自纠。二是区、镇普查。联合各地对属地船舶制造业进行全面体检式普查，通过“四不两直”暗查暗访、会商督办、督查通报等方式进行检查。全面开展危险源辨识，做到重大风险隐患动态管控“一表清”，全面摸清风险隐患底数。压紧压实船舶制造业安全生产主体责任，完善并落实每一名从业人员的安全生产岗位责任制。</w:t>
            </w:r>
          </w:p>
        </w:tc>
        <w:tc>
          <w:tcPr>
            <w:tcW w:w="1418"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二季度</w:t>
            </w:r>
          </w:p>
        </w:tc>
      </w:tr>
      <w:tr w:rsidR="00BB563D">
        <w:trPr>
          <w:trHeight w:val="1637"/>
        </w:trPr>
        <w:tc>
          <w:tcPr>
            <w:tcW w:w="852"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2</w:t>
            </w:r>
          </w:p>
        </w:tc>
        <w:tc>
          <w:tcPr>
            <w:tcW w:w="1559" w:type="dxa"/>
            <w:vMerge/>
            <w:vAlign w:val="center"/>
          </w:tcPr>
          <w:p w:rsidR="00BB563D" w:rsidRDefault="00BB563D">
            <w:pPr>
              <w:spacing w:line="360" w:lineRule="exact"/>
              <w:jc w:val="center"/>
              <w:rPr>
                <w:rFonts w:ascii="仿宋_GB2312" w:eastAsia="仿宋_GB2312"/>
                <w:snapToGrid/>
                <w:sz w:val="28"/>
                <w:szCs w:val="28"/>
              </w:rPr>
            </w:pPr>
          </w:p>
        </w:tc>
        <w:tc>
          <w:tcPr>
            <w:tcW w:w="1559" w:type="dxa"/>
            <w:vAlign w:val="center"/>
          </w:tcPr>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深入推进标准化达标创建</w:t>
            </w:r>
          </w:p>
          <w:p w:rsidR="00BB563D" w:rsidRDefault="00BB563D">
            <w:pPr>
              <w:spacing w:line="360" w:lineRule="exact"/>
              <w:jc w:val="left"/>
              <w:rPr>
                <w:rFonts w:ascii="仿宋_GB2312" w:eastAsia="仿宋_GB2312"/>
                <w:strike/>
                <w:snapToGrid/>
                <w:sz w:val="28"/>
                <w:szCs w:val="28"/>
              </w:rPr>
            </w:pPr>
          </w:p>
        </w:tc>
        <w:tc>
          <w:tcPr>
            <w:tcW w:w="8505" w:type="dxa"/>
            <w:vAlign w:val="center"/>
          </w:tcPr>
          <w:p w:rsidR="00BB563D" w:rsidRDefault="00BB563D">
            <w:pPr>
              <w:spacing w:line="360" w:lineRule="exact"/>
              <w:jc w:val="left"/>
              <w:rPr>
                <w:rFonts w:ascii="仿宋_GB2312" w:eastAsia="仿宋_GB2312"/>
                <w:snapToGrid/>
                <w:sz w:val="28"/>
                <w:szCs w:val="28"/>
              </w:rPr>
            </w:pPr>
          </w:p>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按照《造修船企业安全生产标准化基本要求》（AQ/T7008-2013），配合市工信局开展“回头看”，对标准化创建达标企业运行情况督查，重点对问题整改进行逐项跟踪落实，对标准化达标后运行质量差、经复核达不到标准要求的企业，进行重点督查。持续推进三级标准化达标创建，促进企业安全管理提档升级。</w:t>
            </w:r>
          </w:p>
          <w:p w:rsidR="00BB563D" w:rsidRDefault="00BB563D">
            <w:pPr>
              <w:spacing w:line="360" w:lineRule="exact"/>
              <w:jc w:val="left"/>
              <w:rPr>
                <w:rFonts w:ascii="仿宋_GB2312" w:eastAsia="仿宋_GB2312"/>
                <w:snapToGrid/>
                <w:sz w:val="28"/>
                <w:szCs w:val="28"/>
              </w:rPr>
            </w:pPr>
          </w:p>
        </w:tc>
        <w:tc>
          <w:tcPr>
            <w:tcW w:w="1418"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三季度</w:t>
            </w:r>
          </w:p>
        </w:tc>
      </w:tr>
      <w:tr w:rsidR="00BB563D">
        <w:trPr>
          <w:trHeight w:val="1977"/>
        </w:trPr>
        <w:tc>
          <w:tcPr>
            <w:tcW w:w="852"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lastRenderedPageBreak/>
              <w:t>3</w:t>
            </w:r>
          </w:p>
        </w:tc>
        <w:tc>
          <w:tcPr>
            <w:tcW w:w="3118" w:type="dxa"/>
            <w:gridSpan w:val="2"/>
            <w:vAlign w:val="center"/>
          </w:tcPr>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其他行业</w:t>
            </w:r>
          </w:p>
        </w:tc>
        <w:tc>
          <w:tcPr>
            <w:tcW w:w="8505" w:type="dxa"/>
            <w:vAlign w:val="center"/>
          </w:tcPr>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配合市工信局开展道路机动车辆生产企业及产品一致性检查；配合做好化工（危险化学品）企业老旧装置更新改造相关工作。</w:t>
            </w:r>
          </w:p>
        </w:tc>
        <w:tc>
          <w:tcPr>
            <w:tcW w:w="1418"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全    年</w:t>
            </w:r>
          </w:p>
        </w:tc>
      </w:tr>
      <w:tr w:rsidR="00BB563D">
        <w:trPr>
          <w:trHeight w:val="1076"/>
        </w:trPr>
        <w:tc>
          <w:tcPr>
            <w:tcW w:w="852"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4</w:t>
            </w:r>
          </w:p>
        </w:tc>
        <w:tc>
          <w:tcPr>
            <w:tcW w:w="3118" w:type="dxa"/>
            <w:gridSpan w:val="2"/>
            <w:vAlign w:val="center"/>
          </w:tcPr>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推进安全应急产业高质量发展</w:t>
            </w:r>
          </w:p>
        </w:tc>
        <w:tc>
          <w:tcPr>
            <w:tcW w:w="8505" w:type="dxa"/>
            <w:vAlign w:val="center"/>
          </w:tcPr>
          <w:p w:rsidR="00BB563D" w:rsidRDefault="006D57E1">
            <w:pPr>
              <w:spacing w:line="360" w:lineRule="exact"/>
              <w:jc w:val="left"/>
              <w:rPr>
                <w:rFonts w:ascii="仿宋_GB2312" w:eastAsia="仿宋_GB2312"/>
                <w:snapToGrid/>
                <w:sz w:val="28"/>
                <w:szCs w:val="28"/>
              </w:rPr>
            </w:pPr>
            <w:r>
              <w:rPr>
                <w:rFonts w:ascii="仿宋_GB2312" w:eastAsia="仿宋_GB2312" w:hint="eastAsia"/>
                <w:snapToGrid/>
                <w:sz w:val="28"/>
                <w:szCs w:val="28"/>
              </w:rPr>
              <w:t>会同区相关部门推动《常州市安全应急装备重点领域发展行动实施方案（2023-2025年）》各项措施落实，推进全区安全应急产业高质量发展。</w:t>
            </w:r>
          </w:p>
        </w:tc>
        <w:tc>
          <w:tcPr>
            <w:tcW w:w="1418" w:type="dxa"/>
            <w:vAlign w:val="center"/>
          </w:tcPr>
          <w:p w:rsidR="00BB563D" w:rsidRDefault="006D57E1">
            <w:pPr>
              <w:spacing w:line="360" w:lineRule="exact"/>
              <w:jc w:val="center"/>
              <w:rPr>
                <w:rFonts w:ascii="仿宋_GB2312" w:eastAsia="仿宋_GB2312"/>
                <w:snapToGrid/>
                <w:sz w:val="28"/>
                <w:szCs w:val="28"/>
              </w:rPr>
            </w:pPr>
            <w:r>
              <w:rPr>
                <w:rFonts w:ascii="仿宋_GB2312" w:eastAsia="仿宋_GB2312" w:hint="eastAsia"/>
                <w:snapToGrid/>
                <w:sz w:val="28"/>
                <w:szCs w:val="28"/>
              </w:rPr>
              <w:t>全    年</w:t>
            </w:r>
          </w:p>
        </w:tc>
      </w:tr>
    </w:tbl>
    <w:p w:rsidR="00BB563D" w:rsidRDefault="00BB563D">
      <w:pPr>
        <w:rPr>
          <w:rFonts w:ascii="仿宋_GB2312" w:eastAsia="仿宋_GB2312"/>
          <w:szCs w:val="32"/>
        </w:rPr>
        <w:sectPr w:rsidR="00BB563D" w:rsidSect="001700B0">
          <w:pgSz w:w="16838" w:h="11906" w:orient="landscape"/>
          <w:pgMar w:top="1531" w:right="1814" w:bottom="1531" w:left="1985" w:header="851" w:footer="992" w:gutter="0"/>
          <w:pgNumType w:fmt="numberInDash"/>
          <w:cols w:space="425"/>
          <w:docGrid w:type="linesAndChars" w:linePitch="435"/>
        </w:sectPr>
      </w:pPr>
    </w:p>
    <w:p w:rsidR="00BB563D" w:rsidRDefault="00BB563D">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Default="00980207">
      <w:pPr>
        <w:adjustRightInd w:val="0"/>
        <w:snapToGrid w:val="0"/>
        <w:spacing w:line="600" w:lineRule="atLeast"/>
        <w:jc w:val="left"/>
        <w:outlineLvl w:val="0"/>
        <w:rPr>
          <w:rFonts w:ascii="仿宋_GB2312" w:eastAsia="仿宋_GB2312"/>
        </w:rPr>
      </w:pPr>
    </w:p>
    <w:p w:rsidR="00980207" w:rsidRPr="00980207" w:rsidRDefault="00980207" w:rsidP="00980207">
      <w:pPr>
        <w:pBdr>
          <w:top w:val="single" w:sz="4" w:space="1" w:color="auto"/>
          <w:bottom w:val="single" w:sz="4" w:space="1" w:color="auto"/>
        </w:pBdr>
        <w:adjustRightInd w:val="0"/>
        <w:snapToGrid w:val="0"/>
        <w:spacing w:line="600" w:lineRule="atLeast"/>
        <w:ind w:firstLineChars="100" w:firstLine="280"/>
        <w:jc w:val="left"/>
        <w:outlineLvl w:val="0"/>
        <w:rPr>
          <w:rFonts w:eastAsia="仿宋_GB2312"/>
          <w:sz w:val="28"/>
          <w:szCs w:val="28"/>
        </w:rPr>
      </w:pPr>
      <w:r w:rsidRPr="00980207">
        <w:rPr>
          <w:rFonts w:eastAsia="仿宋_GB2312"/>
          <w:sz w:val="28"/>
          <w:szCs w:val="28"/>
        </w:rPr>
        <w:t>常州市武进区工业和信息化局办公室</w:t>
      </w:r>
      <w:r>
        <w:rPr>
          <w:rFonts w:eastAsia="仿宋_GB2312" w:hint="eastAsia"/>
          <w:sz w:val="28"/>
          <w:szCs w:val="28"/>
        </w:rPr>
        <w:t xml:space="preserve">               </w:t>
      </w:r>
      <w:r w:rsidRPr="00980207">
        <w:rPr>
          <w:rFonts w:eastAsia="仿宋_GB2312"/>
          <w:sz w:val="28"/>
          <w:szCs w:val="28"/>
        </w:rPr>
        <w:t>2024</w:t>
      </w:r>
      <w:r w:rsidRPr="00980207">
        <w:rPr>
          <w:rFonts w:eastAsia="仿宋_GB2312"/>
          <w:sz w:val="28"/>
          <w:szCs w:val="28"/>
        </w:rPr>
        <w:t>年</w:t>
      </w:r>
      <w:r w:rsidRPr="00980207">
        <w:rPr>
          <w:rFonts w:eastAsia="仿宋_GB2312"/>
          <w:sz w:val="28"/>
          <w:szCs w:val="28"/>
        </w:rPr>
        <w:t>4</w:t>
      </w:r>
      <w:r w:rsidRPr="00980207">
        <w:rPr>
          <w:rFonts w:eastAsia="仿宋_GB2312"/>
          <w:sz w:val="28"/>
          <w:szCs w:val="28"/>
        </w:rPr>
        <w:t>月</w:t>
      </w:r>
      <w:r w:rsidRPr="00980207">
        <w:rPr>
          <w:rFonts w:eastAsia="仿宋_GB2312"/>
          <w:sz w:val="28"/>
          <w:szCs w:val="28"/>
        </w:rPr>
        <w:t>28</w:t>
      </w:r>
      <w:r w:rsidRPr="00980207">
        <w:rPr>
          <w:rFonts w:eastAsia="仿宋_GB2312"/>
          <w:sz w:val="28"/>
          <w:szCs w:val="28"/>
        </w:rPr>
        <w:t>日印发</w:t>
      </w:r>
    </w:p>
    <w:sectPr w:rsidR="00980207" w:rsidRPr="00980207" w:rsidSect="001700B0">
      <w:pgSz w:w="11906" w:h="16838"/>
      <w:pgMar w:top="1814" w:right="1531" w:bottom="1985" w:left="153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65B" w:rsidRDefault="00E9765B">
      <w:pPr>
        <w:spacing w:line="240" w:lineRule="auto"/>
      </w:pPr>
      <w:r>
        <w:separator/>
      </w:r>
    </w:p>
  </w:endnote>
  <w:endnote w:type="continuationSeparator" w:id="1">
    <w:p w:rsidR="00E9765B" w:rsidRDefault="00E976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等线">
    <w:altName w:val="Arial Unicode MS"/>
    <w:charset w:val="86"/>
    <w:family w:val="auto"/>
    <w:pitch w:val="default"/>
    <w:sig w:usb0="00000000" w:usb1="00000000" w:usb2="00000016" w:usb3="00000000" w:csb0="0004000F" w:csb1="00000000"/>
  </w:font>
  <w:font w:name="方正黑体_GBK">
    <w:altName w:val="Arial Unicode MS"/>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641"/>
      <w:docPartObj>
        <w:docPartGallery w:val="Page Numbers (Bottom of Page)"/>
        <w:docPartUnique/>
      </w:docPartObj>
    </w:sdtPr>
    <w:sdtEndPr>
      <w:rPr>
        <w:rFonts w:ascii="宋体" w:eastAsia="宋体" w:hAnsi="宋体"/>
        <w:sz w:val="28"/>
        <w:szCs w:val="28"/>
      </w:rPr>
    </w:sdtEndPr>
    <w:sdtContent>
      <w:p w:rsidR="001700B0" w:rsidRPr="001700B0" w:rsidRDefault="00376922" w:rsidP="001700B0">
        <w:pPr>
          <w:pStyle w:val="a5"/>
          <w:rPr>
            <w:rFonts w:ascii="宋体" w:eastAsia="宋体" w:hAnsi="宋体"/>
            <w:sz w:val="28"/>
            <w:szCs w:val="28"/>
          </w:rPr>
        </w:pPr>
        <w:r w:rsidRPr="001700B0">
          <w:rPr>
            <w:rFonts w:ascii="宋体" w:eastAsia="宋体" w:hAnsi="宋体"/>
            <w:sz w:val="28"/>
            <w:szCs w:val="28"/>
          </w:rPr>
          <w:fldChar w:fldCharType="begin"/>
        </w:r>
        <w:r w:rsidR="001700B0" w:rsidRPr="001700B0">
          <w:rPr>
            <w:rFonts w:ascii="宋体" w:eastAsia="宋体" w:hAnsi="宋体"/>
            <w:sz w:val="28"/>
            <w:szCs w:val="28"/>
          </w:rPr>
          <w:instrText xml:space="preserve"> PAGE   \* MERGEFORMAT </w:instrText>
        </w:r>
        <w:r w:rsidRPr="001700B0">
          <w:rPr>
            <w:rFonts w:ascii="宋体" w:eastAsia="宋体" w:hAnsi="宋体"/>
            <w:sz w:val="28"/>
            <w:szCs w:val="28"/>
          </w:rPr>
          <w:fldChar w:fldCharType="separate"/>
        </w:r>
        <w:r w:rsidR="000B40FC" w:rsidRPr="000B40FC">
          <w:rPr>
            <w:rFonts w:ascii="宋体" w:eastAsia="宋体" w:hAnsi="宋体"/>
            <w:noProof/>
            <w:sz w:val="28"/>
            <w:szCs w:val="28"/>
            <w:lang w:val="zh-CN"/>
          </w:rPr>
          <w:t>-</w:t>
        </w:r>
        <w:r w:rsidR="000B40FC">
          <w:rPr>
            <w:rFonts w:ascii="宋体" w:eastAsia="宋体" w:hAnsi="宋体"/>
            <w:noProof/>
            <w:sz w:val="28"/>
            <w:szCs w:val="28"/>
          </w:rPr>
          <w:t xml:space="preserve"> 2 -</w:t>
        </w:r>
        <w:r w:rsidRPr="001700B0">
          <w:rPr>
            <w:rFonts w:ascii="宋体" w:eastAsia="宋体" w:hAnsi="宋体"/>
            <w:sz w:val="28"/>
            <w:szCs w:val="28"/>
          </w:rPr>
          <w:fldChar w:fldCharType="end"/>
        </w:r>
      </w:p>
    </w:sdtContent>
  </w:sdt>
  <w:p w:rsidR="001700B0" w:rsidRDefault="001700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642"/>
      <w:docPartObj>
        <w:docPartGallery w:val="Page Numbers (Bottom of Page)"/>
        <w:docPartUnique/>
      </w:docPartObj>
    </w:sdtPr>
    <w:sdtEndPr>
      <w:rPr>
        <w:rFonts w:ascii="宋体" w:eastAsia="宋体" w:hAnsi="宋体"/>
        <w:sz w:val="28"/>
        <w:szCs w:val="28"/>
      </w:rPr>
    </w:sdtEndPr>
    <w:sdtContent>
      <w:p w:rsidR="001700B0" w:rsidRPr="001700B0" w:rsidRDefault="00376922" w:rsidP="001700B0">
        <w:pPr>
          <w:pStyle w:val="a5"/>
          <w:jc w:val="right"/>
          <w:rPr>
            <w:rFonts w:ascii="宋体" w:eastAsia="宋体" w:hAnsi="宋体"/>
            <w:sz w:val="28"/>
            <w:szCs w:val="28"/>
          </w:rPr>
        </w:pPr>
        <w:r w:rsidRPr="001700B0">
          <w:rPr>
            <w:rFonts w:ascii="宋体" w:eastAsia="宋体" w:hAnsi="宋体"/>
            <w:sz w:val="28"/>
            <w:szCs w:val="28"/>
          </w:rPr>
          <w:fldChar w:fldCharType="begin"/>
        </w:r>
        <w:r w:rsidR="001700B0" w:rsidRPr="001700B0">
          <w:rPr>
            <w:rFonts w:ascii="宋体" w:eastAsia="宋体" w:hAnsi="宋体"/>
            <w:sz w:val="28"/>
            <w:szCs w:val="28"/>
          </w:rPr>
          <w:instrText xml:space="preserve"> PAGE   \* MERGEFORMAT </w:instrText>
        </w:r>
        <w:r w:rsidRPr="001700B0">
          <w:rPr>
            <w:rFonts w:ascii="宋体" w:eastAsia="宋体" w:hAnsi="宋体"/>
            <w:sz w:val="28"/>
            <w:szCs w:val="28"/>
          </w:rPr>
          <w:fldChar w:fldCharType="separate"/>
        </w:r>
        <w:r w:rsidR="000B40FC" w:rsidRPr="000B40FC">
          <w:rPr>
            <w:rFonts w:ascii="宋体" w:eastAsia="宋体" w:hAnsi="宋体"/>
            <w:noProof/>
            <w:sz w:val="28"/>
            <w:szCs w:val="28"/>
            <w:lang w:val="zh-CN"/>
          </w:rPr>
          <w:t>-</w:t>
        </w:r>
        <w:r w:rsidR="000B40FC">
          <w:rPr>
            <w:rFonts w:ascii="宋体" w:eastAsia="宋体" w:hAnsi="宋体"/>
            <w:noProof/>
            <w:sz w:val="28"/>
            <w:szCs w:val="28"/>
          </w:rPr>
          <w:t xml:space="preserve"> 1 -</w:t>
        </w:r>
        <w:r w:rsidRPr="001700B0">
          <w:rPr>
            <w:rFonts w:ascii="宋体" w:eastAsia="宋体" w:hAnsi="宋体"/>
            <w:sz w:val="28"/>
            <w:szCs w:val="28"/>
          </w:rPr>
          <w:fldChar w:fldCharType="end"/>
        </w:r>
      </w:p>
    </w:sdtContent>
  </w:sdt>
  <w:p w:rsidR="001700B0" w:rsidRDefault="001700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65B" w:rsidRDefault="00E9765B">
      <w:pPr>
        <w:spacing w:line="240" w:lineRule="auto"/>
      </w:pPr>
      <w:r>
        <w:separator/>
      </w:r>
    </w:p>
  </w:footnote>
  <w:footnote w:type="continuationSeparator" w:id="1">
    <w:p w:rsidR="00E9765B" w:rsidRDefault="00E9765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60"/>
  <w:drawingGridVerticalSpacing w:val="435"/>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docVars>
    <w:docVar w:name="commondata" w:val="eyJoZGlkIjoiZjBkNTU0MjE1ZmQwMDYwNzc1YjhmM2QwZDU3MjlmNGQifQ=="/>
  </w:docVars>
  <w:rsids>
    <w:rsidRoot w:val="00991D83"/>
    <w:rsid w:val="0001551D"/>
    <w:rsid w:val="0001721E"/>
    <w:rsid w:val="000203E1"/>
    <w:rsid w:val="000267D2"/>
    <w:rsid w:val="00026B08"/>
    <w:rsid w:val="000608D1"/>
    <w:rsid w:val="00081582"/>
    <w:rsid w:val="00094990"/>
    <w:rsid w:val="000B40FC"/>
    <w:rsid w:val="000D4A34"/>
    <w:rsid w:val="000D74C2"/>
    <w:rsid w:val="000E0C8A"/>
    <w:rsid w:val="00102FDE"/>
    <w:rsid w:val="001042DE"/>
    <w:rsid w:val="00105CF1"/>
    <w:rsid w:val="001148BD"/>
    <w:rsid w:val="00120D87"/>
    <w:rsid w:val="00122152"/>
    <w:rsid w:val="001223E1"/>
    <w:rsid w:val="00122EF6"/>
    <w:rsid w:val="00123A44"/>
    <w:rsid w:val="00123B1C"/>
    <w:rsid w:val="001332B0"/>
    <w:rsid w:val="00141F5B"/>
    <w:rsid w:val="0015712B"/>
    <w:rsid w:val="00167305"/>
    <w:rsid w:val="001700B0"/>
    <w:rsid w:val="00173952"/>
    <w:rsid w:val="0018105B"/>
    <w:rsid w:val="001818DE"/>
    <w:rsid w:val="00181DF7"/>
    <w:rsid w:val="00182E93"/>
    <w:rsid w:val="001835CF"/>
    <w:rsid w:val="001875A4"/>
    <w:rsid w:val="00194A28"/>
    <w:rsid w:val="001A3E27"/>
    <w:rsid w:val="001D4ED1"/>
    <w:rsid w:val="001D65FD"/>
    <w:rsid w:val="001E1633"/>
    <w:rsid w:val="001F34E2"/>
    <w:rsid w:val="001F4C8F"/>
    <w:rsid w:val="00201F35"/>
    <w:rsid w:val="00214439"/>
    <w:rsid w:val="0021470B"/>
    <w:rsid w:val="002271E1"/>
    <w:rsid w:val="00231121"/>
    <w:rsid w:val="00241424"/>
    <w:rsid w:val="002427EA"/>
    <w:rsid w:val="00245393"/>
    <w:rsid w:val="00245540"/>
    <w:rsid w:val="00246026"/>
    <w:rsid w:val="002707ED"/>
    <w:rsid w:val="00284E8E"/>
    <w:rsid w:val="002A0832"/>
    <w:rsid w:val="002A372D"/>
    <w:rsid w:val="002B6BE3"/>
    <w:rsid w:val="002C2BC2"/>
    <w:rsid w:val="002C2FFD"/>
    <w:rsid w:val="002C6324"/>
    <w:rsid w:val="002D6FC3"/>
    <w:rsid w:val="002E1723"/>
    <w:rsid w:val="003019C2"/>
    <w:rsid w:val="00303E50"/>
    <w:rsid w:val="003146B2"/>
    <w:rsid w:val="00324257"/>
    <w:rsid w:val="00330925"/>
    <w:rsid w:val="003368AB"/>
    <w:rsid w:val="00340473"/>
    <w:rsid w:val="00344011"/>
    <w:rsid w:val="00344794"/>
    <w:rsid w:val="00354C3C"/>
    <w:rsid w:val="00367DE4"/>
    <w:rsid w:val="00376922"/>
    <w:rsid w:val="003A07B6"/>
    <w:rsid w:val="003A41E7"/>
    <w:rsid w:val="003A514D"/>
    <w:rsid w:val="003A5FEC"/>
    <w:rsid w:val="003C229C"/>
    <w:rsid w:val="003C75A2"/>
    <w:rsid w:val="003E3C77"/>
    <w:rsid w:val="003E4586"/>
    <w:rsid w:val="003E4992"/>
    <w:rsid w:val="003E5A7A"/>
    <w:rsid w:val="003E71DE"/>
    <w:rsid w:val="003F0E40"/>
    <w:rsid w:val="00407FE6"/>
    <w:rsid w:val="0041468D"/>
    <w:rsid w:val="00425A2E"/>
    <w:rsid w:val="00426CFB"/>
    <w:rsid w:val="004405C3"/>
    <w:rsid w:val="004743FC"/>
    <w:rsid w:val="00481416"/>
    <w:rsid w:val="004A220B"/>
    <w:rsid w:val="004B02C1"/>
    <w:rsid w:val="004B56CA"/>
    <w:rsid w:val="004C5777"/>
    <w:rsid w:val="004E3E2A"/>
    <w:rsid w:val="004E7652"/>
    <w:rsid w:val="0050273C"/>
    <w:rsid w:val="0050561D"/>
    <w:rsid w:val="00515F4D"/>
    <w:rsid w:val="0052277D"/>
    <w:rsid w:val="00541CBD"/>
    <w:rsid w:val="00554009"/>
    <w:rsid w:val="0055558A"/>
    <w:rsid w:val="0059524B"/>
    <w:rsid w:val="005A13D6"/>
    <w:rsid w:val="005A1414"/>
    <w:rsid w:val="005A5AD8"/>
    <w:rsid w:val="005B3755"/>
    <w:rsid w:val="005B4064"/>
    <w:rsid w:val="005C028C"/>
    <w:rsid w:val="005C2AD5"/>
    <w:rsid w:val="005F0ADD"/>
    <w:rsid w:val="005F6955"/>
    <w:rsid w:val="00602F71"/>
    <w:rsid w:val="00610A3D"/>
    <w:rsid w:val="00623BF4"/>
    <w:rsid w:val="006254F8"/>
    <w:rsid w:val="00637F1E"/>
    <w:rsid w:val="00644408"/>
    <w:rsid w:val="00646221"/>
    <w:rsid w:val="00647CED"/>
    <w:rsid w:val="00693A36"/>
    <w:rsid w:val="006A19A9"/>
    <w:rsid w:val="006A438A"/>
    <w:rsid w:val="006A6DEA"/>
    <w:rsid w:val="006D57E1"/>
    <w:rsid w:val="006E637C"/>
    <w:rsid w:val="006F2EFD"/>
    <w:rsid w:val="006F33C7"/>
    <w:rsid w:val="006F699B"/>
    <w:rsid w:val="007208F4"/>
    <w:rsid w:val="0073015B"/>
    <w:rsid w:val="007640E6"/>
    <w:rsid w:val="00776AA8"/>
    <w:rsid w:val="007923F2"/>
    <w:rsid w:val="007B0E08"/>
    <w:rsid w:val="007B7B3D"/>
    <w:rsid w:val="007C4622"/>
    <w:rsid w:val="007E015C"/>
    <w:rsid w:val="007E630E"/>
    <w:rsid w:val="007E74B0"/>
    <w:rsid w:val="00817B37"/>
    <w:rsid w:val="00821DA5"/>
    <w:rsid w:val="00822703"/>
    <w:rsid w:val="008232A7"/>
    <w:rsid w:val="00830617"/>
    <w:rsid w:val="00830EC6"/>
    <w:rsid w:val="00836E8E"/>
    <w:rsid w:val="008479B9"/>
    <w:rsid w:val="0085069C"/>
    <w:rsid w:val="00852914"/>
    <w:rsid w:val="008651AB"/>
    <w:rsid w:val="00875A61"/>
    <w:rsid w:val="00883DF9"/>
    <w:rsid w:val="0089383D"/>
    <w:rsid w:val="00895062"/>
    <w:rsid w:val="00896111"/>
    <w:rsid w:val="008B1558"/>
    <w:rsid w:val="008C71D7"/>
    <w:rsid w:val="008D3201"/>
    <w:rsid w:val="008E11E2"/>
    <w:rsid w:val="00904FC1"/>
    <w:rsid w:val="009070DC"/>
    <w:rsid w:val="00907FCD"/>
    <w:rsid w:val="00914EDB"/>
    <w:rsid w:val="00915B90"/>
    <w:rsid w:val="009204A2"/>
    <w:rsid w:val="00926B60"/>
    <w:rsid w:val="00931875"/>
    <w:rsid w:val="00931968"/>
    <w:rsid w:val="0095161B"/>
    <w:rsid w:val="00954497"/>
    <w:rsid w:val="00970325"/>
    <w:rsid w:val="00974C5F"/>
    <w:rsid w:val="00980207"/>
    <w:rsid w:val="0098084B"/>
    <w:rsid w:val="00991D83"/>
    <w:rsid w:val="009934EE"/>
    <w:rsid w:val="009A2C40"/>
    <w:rsid w:val="009A585C"/>
    <w:rsid w:val="009B5E24"/>
    <w:rsid w:val="009B66B6"/>
    <w:rsid w:val="009C0368"/>
    <w:rsid w:val="009C19D9"/>
    <w:rsid w:val="009C1BA3"/>
    <w:rsid w:val="00A01816"/>
    <w:rsid w:val="00A05B5B"/>
    <w:rsid w:val="00A1691A"/>
    <w:rsid w:val="00A22B84"/>
    <w:rsid w:val="00A452F8"/>
    <w:rsid w:val="00A530F8"/>
    <w:rsid w:val="00A65D11"/>
    <w:rsid w:val="00A666F6"/>
    <w:rsid w:val="00A87FED"/>
    <w:rsid w:val="00A93259"/>
    <w:rsid w:val="00AA6148"/>
    <w:rsid w:val="00AA78BD"/>
    <w:rsid w:val="00AB310C"/>
    <w:rsid w:val="00AB5CA1"/>
    <w:rsid w:val="00AD113D"/>
    <w:rsid w:val="00AD7BA8"/>
    <w:rsid w:val="00AE396A"/>
    <w:rsid w:val="00AE7386"/>
    <w:rsid w:val="00AF1602"/>
    <w:rsid w:val="00AF275E"/>
    <w:rsid w:val="00AF2CB7"/>
    <w:rsid w:val="00AF7C96"/>
    <w:rsid w:val="00B003A2"/>
    <w:rsid w:val="00B06422"/>
    <w:rsid w:val="00B0652C"/>
    <w:rsid w:val="00B417BA"/>
    <w:rsid w:val="00B51C21"/>
    <w:rsid w:val="00B547BA"/>
    <w:rsid w:val="00B54A76"/>
    <w:rsid w:val="00B613A8"/>
    <w:rsid w:val="00B6793C"/>
    <w:rsid w:val="00B91FAC"/>
    <w:rsid w:val="00B97473"/>
    <w:rsid w:val="00BB563D"/>
    <w:rsid w:val="00BC3DC5"/>
    <w:rsid w:val="00BC6159"/>
    <w:rsid w:val="00BD00E5"/>
    <w:rsid w:val="00BE4B58"/>
    <w:rsid w:val="00BE5472"/>
    <w:rsid w:val="00BF75AD"/>
    <w:rsid w:val="00C36141"/>
    <w:rsid w:val="00C50BEF"/>
    <w:rsid w:val="00C55805"/>
    <w:rsid w:val="00C80252"/>
    <w:rsid w:val="00C815AC"/>
    <w:rsid w:val="00CA4E90"/>
    <w:rsid w:val="00CB0478"/>
    <w:rsid w:val="00CB542A"/>
    <w:rsid w:val="00CB71E6"/>
    <w:rsid w:val="00CD2EF3"/>
    <w:rsid w:val="00CF78AC"/>
    <w:rsid w:val="00D05A9F"/>
    <w:rsid w:val="00D15992"/>
    <w:rsid w:val="00D56CEB"/>
    <w:rsid w:val="00D56DD1"/>
    <w:rsid w:val="00D66695"/>
    <w:rsid w:val="00D74839"/>
    <w:rsid w:val="00D802A2"/>
    <w:rsid w:val="00D84B0B"/>
    <w:rsid w:val="00DB3BDC"/>
    <w:rsid w:val="00DC291A"/>
    <w:rsid w:val="00DC5D9A"/>
    <w:rsid w:val="00DC7051"/>
    <w:rsid w:val="00DD1B07"/>
    <w:rsid w:val="00DF53DD"/>
    <w:rsid w:val="00DF6556"/>
    <w:rsid w:val="00DF6E66"/>
    <w:rsid w:val="00E04858"/>
    <w:rsid w:val="00E066BA"/>
    <w:rsid w:val="00E1482C"/>
    <w:rsid w:val="00E16062"/>
    <w:rsid w:val="00E20C3B"/>
    <w:rsid w:val="00E30E7F"/>
    <w:rsid w:val="00E52480"/>
    <w:rsid w:val="00E623C8"/>
    <w:rsid w:val="00E81198"/>
    <w:rsid w:val="00E8278C"/>
    <w:rsid w:val="00E9765B"/>
    <w:rsid w:val="00EB7AEF"/>
    <w:rsid w:val="00EC092F"/>
    <w:rsid w:val="00EC0CFE"/>
    <w:rsid w:val="00ED15EE"/>
    <w:rsid w:val="00EE633C"/>
    <w:rsid w:val="00EF4355"/>
    <w:rsid w:val="00F120C6"/>
    <w:rsid w:val="00F16024"/>
    <w:rsid w:val="00F16CB4"/>
    <w:rsid w:val="00F22EFC"/>
    <w:rsid w:val="00F3396B"/>
    <w:rsid w:val="00F339B3"/>
    <w:rsid w:val="00F443B8"/>
    <w:rsid w:val="00F4751B"/>
    <w:rsid w:val="00F603B6"/>
    <w:rsid w:val="00F74749"/>
    <w:rsid w:val="00F87792"/>
    <w:rsid w:val="00FA3648"/>
    <w:rsid w:val="00FA5530"/>
    <w:rsid w:val="00FE0E03"/>
    <w:rsid w:val="00FF797F"/>
    <w:rsid w:val="1A7901AF"/>
    <w:rsid w:val="5B661111"/>
    <w:rsid w:val="603118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3D"/>
    <w:pPr>
      <w:spacing w:line="590" w:lineRule="exact"/>
      <w:jc w:val="both"/>
    </w:pPr>
    <w:rPr>
      <w:snapToGrid w:val="0"/>
      <w:kern w:val="2"/>
      <w:sz w:val="32"/>
    </w:rPr>
  </w:style>
  <w:style w:type="paragraph" w:styleId="1">
    <w:name w:val="heading 1"/>
    <w:basedOn w:val="a"/>
    <w:next w:val="a"/>
    <w:link w:val="1Char"/>
    <w:autoRedefine/>
    <w:uiPriority w:val="9"/>
    <w:qFormat/>
    <w:rsid w:val="00BB563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BB563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autoRedefine/>
    <w:uiPriority w:val="9"/>
    <w:semiHidden/>
    <w:unhideWhenUsed/>
    <w:qFormat/>
    <w:rsid w:val="00BB563D"/>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Char"/>
    <w:autoRedefine/>
    <w:uiPriority w:val="9"/>
    <w:semiHidden/>
    <w:unhideWhenUsed/>
    <w:qFormat/>
    <w:rsid w:val="00BB563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BB563D"/>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Char"/>
    <w:autoRedefine/>
    <w:uiPriority w:val="9"/>
    <w:semiHidden/>
    <w:unhideWhenUsed/>
    <w:qFormat/>
    <w:rsid w:val="00BB563D"/>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BB563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autoRedefine/>
    <w:uiPriority w:val="9"/>
    <w:semiHidden/>
    <w:unhideWhenUsed/>
    <w:qFormat/>
    <w:rsid w:val="00BB563D"/>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autoRedefine/>
    <w:uiPriority w:val="9"/>
    <w:semiHidden/>
    <w:unhideWhenUsed/>
    <w:qFormat/>
    <w:rsid w:val="00BB563D"/>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rsid w:val="00BB563D"/>
    <w:pPr>
      <w:ind w:leftChars="2500" w:left="100"/>
    </w:pPr>
  </w:style>
  <w:style w:type="paragraph" w:styleId="a4">
    <w:name w:val="Balloon Text"/>
    <w:basedOn w:val="a"/>
    <w:link w:val="Char0"/>
    <w:uiPriority w:val="99"/>
    <w:semiHidden/>
    <w:unhideWhenUsed/>
    <w:rsid w:val="00BB563D"/>
    <w:pPr>
      <w:spacing w:line="240" w:lineRule="auto"/>
    </w:pPr>
    <w:rPr>
      <w:sz w:val="18"/>
      <w:szCs w:val="18"/>
    </w:rPr>
  </w:style>
  <w:style w:type="paragraph" w:styleId="a5">
    <w:name w:val="footer"/>
    <w:basedOn w:val="a"/>
    <w:link w:val="Char1"/>
    <w:autoRedefine/>
    <w:uiPriority w:val="99"/>
    <w:unhideWhenUsed/>
    <w:qFormat/>
    <w:rsid w:val="00BB563D"/>
    <w:pPr>
      <w:tabs>
        <w:tab w:val="center" w:pos="4153"/>
        <w:tab w:val="right" w:pos="8306"/>
      </w:tabs>
      <w:snapToGrid w:val="0"/>
      <w:spacing w:line="240" w:lineRule="atLeast"/>
      <w:jc w:val="left"/>
    </w:pPr>
    <w:rPr>
      <w:sz w:val="18"/>
      <w:szCs w:val="18"/>
    </w:rPr>
  </w:style>
  <w:style w:type="paragraph" w:styleId="a6">
    <w:name w:val="header"/>
    <w:basedOn w:val="a"/>
    <w:link w:val="Char2"/>
    <w:autoRedefine/>
    <w:uiPriority w:val="99"/>
    <w:unhideWhenUsed/>
    <w:qFormat/>
    <w:rsid w:val="00BB563D"/>
    <w:pPr>
      <w:tabs>
        <w:tab w:val="center" w:pos="4153"/>
        <w:tab w:val="right" w:pos="8306"/>
      </w:tabs>
      <w:snapToGrid w:val="0"/>
      <w:spacing w:line="240" w:lineRule="atLeast"/>
      <w:jc w:val="center"/>
    </w:pPr>
    <w:rPr>
      <w:sz w:val="18"/>
      <w:szCs w:val="18"/>
    </w:rPr>
  </w:style>
  <w:style w:type="paragraph" w:styleId="a7">
    <w:name w:val="Subtitle"/>
    <w:basedOn w:val="a"/>
    <w:next w:val="a"/>
    <w:link w:val="Char3"/>
    <w:autoRedefine/>
    <w:uiPriority w:val="11"/>
    <w:qFormat/>
    <w:rsid w:val="00BB563D"/>
    <w:pPr>
      <w:spacing w:after="160"/>
      <w:jc w:val="center"/>
    </w:pPr>
    <w:rPr>
      <w:rFonts w:asciiTheme="majorHAnsi" w:eastAsiaTheme="majorEastAsia" w:hAnsiTheme="majorHAnsi" w:cstheme="majorBidi"/>
      <w:color w:val="595959" w:themeColor="text1" w:themeTint="A6"/>
      <w:spacing w:val="15"/>
      <w:sz w:val="28"/>
      <w:szCs w:val="28"/>
    </w:rPr>
  </w:style>
  <w:style w:type="paragraph" w:styleId="a8">
    <w:name w:val="Title"/>
    <w:basedOn w:val="a"/>
    <w:next w:val="a"/>
    <w:link w:val="Char4"/>
    <w:autoRedefine/>
    <w:uiPriority w:val="10"/>
    <w:qFormat/>
    <w:rsid w:val="00BB563D"/>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9">
    <w:name w:val="Table Grid"/>
    <w:basedOn w:val="a1"/>
    <w:autoRedefine/>
    <w:uiPriority w:val="39"/>
    <w:qFormat/>
    <w:rsid w:val="00BB563D"/>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autoRedefine/>
    <w:uiPriority w:val="9"/>
    <w:qFormat/>
    <w:rsid w:val="00BB563D"/>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autoRedefine/>
    <w:uiPriority w:val="9"/>
    <w:semiHidden/>
    <w:qFormat/>
    <w:rsid w:val="00BB563D"/>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autoRedefine/>
    <w:uiPriority w:val="9"/>
    <w:semiHidden/>
    <w:qFormat/>
    <w:rsid w:val="00BB563D"/>
    <w:rPr>
      <w:rFonts w:asciiTheme="majorHAnsi" w:eastAsiaTheme="majorEastAsia" w:hAnsiTheme="majorHAnsi" w:cstheme="majorBidi"/>
      <w:color w:val="0F4761" w:themeColor="accent1" w:themeShade="BF"/>
      <w:szCs w:val="32"/>
    </w:rPr>
  </w:style>
  <w:style w:type="character" w:customStyle="1" w:styleId="4Char">
    <w:name w:val="标题 4 Char"/>
    <w:basedOn w:val="a0"/>
    <w:link w:val="4"/>
    <w:autoRedefine/>
    <w:uiPriority w:val="9"/>
    <w:semiHidden/>
    <w:qFormat/>
    <w:rsid w:val="00BB563D"/>
    <w:rPr>
      <w:rFonts w:asciiTheme="minorHAnsi" w:eastAsiaTheme="minorEastAsia" w:hAnsiTheme="minorHAnsi" w:cstheme="majorBidi"/>
      <w:color w:val="0F4761" w:themeColor="accent1" w:themeShade="BF"/>
      <w:sz w:val="28"/>
      <w:szCs w:val="28"/>
    </w:rPr>
  </w:style>
  <w:style w:type="character" w:customStyle="1" w:styleId="5Char">
    <w:name w:val="标题 5 Char"/>
    <w:basedOn w:val="a0"/>
    <w:link w:val="5"/>
    <w:autoRedefine/>
    <w:uiPriority w:val="9"/>
    <w:semiHidden/>
    <w:qFormat/>
    <w:rsid w:val="00BB563D"/>
    <w:rPr>
      <w:rFonts w:asciiTheme="minorHAnsi" w:eastAsiaTheme="minorEastAsia" w:hAnsiTheme="minorHAnsi" w:cstheme="majorBidi"/>
      <w:color w:val="0F4761" w:themeColor="accent1" w:themeShade="BF"/>
      <w:sz w:val="24"/>
      <w:szCs w:val="24"/>
    </w:rPr>
  </w:style>
  <w:style w:type="character" w:customStyle="1" w:styleId="6Char">
    <w:name w:val="标题 6 Char"/>
    <w:basedOn w:val="a0"/>
    <w:link w:val="6"/>
    <w:autoRedefine/>
    <w:uiPriority w:val="9"/>
    <w:semiHidden/>
    <w:qFormat/>
    <w:rsid w:val="00BB563D"/>
    <w:rPr>
      <w:rFonts w:asciiTheme="minorHAnsi" w:eastAsiaTheme="minorEastAsia" w:hAnsiTheme="minorHAnsi" w:cstheme="majorBidi"/>
      <w:b/>
      <w:bCs/>
      <w:color w:val="0F4761" w:themeColor="accent1" w:themeShade="BF"/>
    </w:rPr>
  </w:style>
  <w:style w:type="character" w:customStyle="1" w:styleId="7Char">
    <w:name w:val="标题 7 Char"/>
    <w:basedOn w:val="a0"/>
    <w:link w:val="7"/>
    <w:autoRedefine/>
    <w:uiPriority w:val="9"/>
    <w:semiHidden/>
    <w:qFormat/>
    <w:rsid w:val="00BB563D"/>
    <w:rPr>
      <w:rFonts w:asciiTheme="minorHAnsi" w:eastAsiaTheme="minorEastAsia" w:hAnsiTheme="minorHAnsi" w:cstheme="majorBidi"/>
      <w:b/>
      <w:bCs/>
      <w:color w:val="595959" w:themeColor="text1" w:themeTint="A6"/>
    </w:rPr>
  </w:style>
  <w:style w:type="character" w:customStyle="1" w:styleId="8Char">
    <w:name w:val="标题 8 Char"/>
    <w:basedOn w:val="a0"/>
    <w:link w:val="8"/>
    <w:autoRedefine/>
    <w:uiPriority w:val="9"/>
    <w:semiHidden/>
    <w:qFormat/>
    <w:rsid w:val="00BB563D"/>
    <w:rPr>
      <w:rFonts w:asciiTheme="minorHAnsi" w:eastAsiaTheme="minorEastAsia" w:hAnsiTheme="minorHAnsi" w:cstheme="majorBidi"/>
      <w:color w:val="595959" w:themeColor="text1" w:themeTint="A6"/>
    </w:rPr>
  </w:style>
  <w:style w:type="character" w:customStyle="1" w:styleId="9Char">
    <w:name w:val="标题 9 Char"/>
    <w:basedOn w:val="a0"/>
    <w:link w:val="9"/>
    <w:autoRedefine/>
    <w:uiPriority w:val="9"/>
    <w:semiHidden/>
    <w:qFormat/>
    <w:rsid w:val="00BB563D"/>
    <w:rPr>
      <w:rFonts w:asciiTheme="minorHAnsi" w:eastAsiaTheme="majorEastAsia" w:hAnsiTheme="minorHAnsi" w:cstheme="majorBidi"/>
      <w:color w:val="595959" w:themeColor="text1" w:themeTint="A6"/>
    </w:rPr>
  </w:style>
  <w:style w:type="character" w:customStyle="1" w:styleId="Char4">
    <w:name w:val="标题 Char"/>
    <w:basedOn w:val="a0"/>
    <w:link w:val="a8"/>
    <w:autoRedefine/>
    <w:uiPriority w:val="10"/>
    <w:qFormat/>
    <w:rsid w:val="00BB563D"/>
    <w:rPr>
      <w:rFonts w:asciiTheme="majorHAnsi" w:eastAsiaTheme="majorEastAsia" w:hAnsiTheme="majorHAnsi" w:cstheme="majorBidi"/>
      <w:spacing w:val="-10"/>
      <w:kern w:val="28"/>
      <w:sz w:val="56"/>
      <w:szCs w:val="56"/>
    </w:rPr>
  </w:style>
  <w:style w:type="character" w:customStyle="1" w:styleId="Char3">
    <w:name w:val="副标题 Char"/>
    <w:basedOn w:val="a0"/>
    <w:link w:val="a7"/>
    <w:autoRedefine/>
    <w:uiPriority w:val="11"/>
    <w:qFormat/>
    <w:rsid w:val="00BB563D"/>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5"/>
    <w:autoRedefine/>
    <w:uiPriority w:val="29"/>
    <w:qFormat/>
    <w:rsid w:val="00BB563D"/>
    <w:pPr>
      <w:spacing w:before="160" w:after="160"/>
      <w:jc w:val="center"/>
    </w:pPr>
    <w:rPr>
      <w:i/>
      <w:iCs/>
      <w:color w:val="404040" w:themeColor="text1" w:themeTint="BF"/>
    </w:rPr>
  </w:style>
  <w:style w:type="character" w:customStyle="1" w:styleId="Char5">
    <w:name w:val="引用 Char"/>
    <w:basedOn w:val="a0"/>
    <w:link w:val="aa"/>
    <w:autoRedefine/>
    <w:uiPriority w:val="29"/>
    <w:qFormat/>
    <w:rsid w:val="00BB563D"/>
    <w:rPr>
      <w:i/>
      <w:iCs/>
      <w:color w:val="404040" w:themeColor="text1" w:themeTint="BF"/>
    </w:rPr>
  </w:style>
  <w:style w:type="paragraph" w:styleId="ab">
    <w:name w:val="List Paragraph"/>
    <w:basedOn w:val="a"/>
    <w:autoRedefine/>
    <w:uiPriority w:val="34"/>
    <w:qFormat/>
    <w:rsid w:val="00BB563D"/>
    <w:pPr>
      <w:ind w:left="720"/>
      <w:contextualSpacing/>
    </w:pPr>
  </w:style>
  <w:style w:type="character" w:customStyle="1" w:styleId="10">
    <w:name w:val="明显强调1"/>
    <w:basedOn w:val="a0"/>
    <w:autoRedefine/>
    <w:uiPriority w:val="21"/>
    <w:qFormat/>
    <w:rsid w:val="00BB563D"/>
    <w:rPr>
      <w:i/>
      <w:iCs/>
      <w:color w:val="0F4761" w:themeColor="accent1" w:themeShade="BF"/>
    </w:rPr>
  </w:style>
  <w:style w:type="paragraph" w:styleId="ac">
    <w:name w:val="Intense Quote"/>
    <w:basedOn w:val="a"/>
    <w:next w:val="a"/>
    <w:link w:val="Char6"/>
    <w:autoRedefine/>
    <w:uiPriority w:val="30"/>
    <w:qFormat/>
    <w:rsid w:val="00BB5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明显引用 Char"/>
    <w:basedOn w:val="a0"/>
    <w:link w:val="ac"/>
    <w:autoRedefine/>
    <w:uiPriority w:val="30"/>
    <w:qFormat/>
    <w:rsid w:val="00BB563D"/>
    <w:rPr>
      <w:i/>
      <w:iCs/>
      <w:color w:val="0F4761" w:themeColor="accent1" w:themeShade="BF"/>
    </w:rPr>
  </w:style>
  <w:style w:type="character" w:customStyle="1" w:styleId="11">
    <w:name w:val="明显参考1"/>
    <w:basedOn w:val="a0"/>
    <w:autoRedefine/>
    <w:uiPriority w:val="32"/>
    <w:qFormat/>
    <w:rsid w:val="00BB563D"/>
    <w:rPr>
      <w:b/>
      <w:bCs/>
      <w:smallCaps/>
      <w:color w:val="0F4761" w:themeColor="accent1" w:themeShade="BF"/>
      <w:spacing w:val="5"/>
    </w:rPr>
  </w:style>
  <w:style w:type="character" w:customStyle="1" w:styleId="Char">
    <w:name w:val="日期 Char"/>
    <w:basedOn w:val="a0"/>
    <w:link w:val="a3"/>
    <w:autoRedefine/>
    <w:uiPriority w:val="99"/>
    <w:semiHidden/>
    <w:qFormat/>
    <w:rsid w:val="00BB563D"/>
  </w:style>
  <w:style w:type="character" w:customStyle="1" w:styleId="Char2">
    <w:name w:val="页眉 Char"/>
    <w:basedOn w:val="a0"/>
    <w:link w:val="a6"/>
    <w:autoRedefine/>
    <w:uiPriority w:val="99"/>
    <w:qFormat/>
    <w:rsid w:val="00BB563D"/>
    <w:rPr>
      <w:sz w:val="18"/>
      <w:szCs w:val="18"/>
    </w:rPr>
  </w:style>
  <w:style w:type="character" w:customStyle="1" w:styleId="Char1">
    <w:name w:val="页脚 Char"/>
    <w:basedOn w:val="a0"/>
    <w:link w:val="a5"/>
    <w:autoRedefine/>
    <w:uiPriority w:val="99"/>
    <w:qFormat/>
    <w:rsid w:val="00BB563D"/>
    <w:rPr>
      <w:sz w:val="18"/>
      <w:szCs w:val="18"/>
    </w:rPr>
  </w:style>
  <w:style w:type="character" w:customStyle="1" w:styleId="Char0">
    <w:name w:val="批注框文本 Char"/>
    <w:basedOn w:val="a0"/>
    <w:link w:val="a4"/>
    <w:uiPriority w:val="99"/>
    <w:semiHidden/>
    <w:rsid w:val="00BB563D"/>
    <w:rPr>
      <w:snapToGrid w:val="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铭方 吕</dc:creator>
  <cp:lastModifiedBy>工业和信息化局</cp:lastModifiedBy>
  <cp:revision>2</cp:revision>
  <cp:lastPrinted>2024-04-12T09:20:00Z</cp:lastPrinted>
  <dcterms:created xsi:type="dcterms:W3CDTF">2024-07-30T06:07:00Z</dcterms:created>
  <dcterms:modified xsi:type="dcterms:W3CDTF">2024-07-30T06:07:00Z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534E22E6247E43BCA18E57D5DE49A118_12</vt:lpwstr>
  </property>
</Properties>
</file>