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18C8">
      <w:pPr>
        <w:adjustRightInd w:val="0"/>
        <w:snapToGrid w:val="0"/>
        <w:spacing w:line="560" w:lineRule="atLeast"/>
        <w:jc w:val="center"/>
        <w:rPr>
          <w:rFonts w:ascii="Times New Roman" w:hAnsi="Times New Roman" w:eastAsia="方正小标宋简体"/>
          <w:kern w:val="0"/>
          <w:sz w:val="44"/>
          <w:szCs w:val="44"/>
        </w:rPr>
      </w:pPr>
      <w:bookmarkStart w:id="0" w:name="_GoBack"/>
      <w:r>
        <w:rPr>
          <w:rFonts w:ascii="Times New Roman" w:eastAsia="方正小标宋简体"/>
          <w:sz w:val="44"/>
        </w:rPr>
        <w:t>武进区市场监督管理局</w:t>
      </w:r>
      <w:r>
        <w:rPr>
          <w:rFonts w:ascii="Times New Roman" w:eastAsia="方正小标宋简体"/>
          <w:kern w:val="0"/>
          <w:sz w:val="44"/>
          <w:szCs w:val="44"/>
        </w:rPr>
        <w:t>关于开展</w:t>
      </w:r>
      <w:r>
        <w:rPr>
          <w:rFonts w:ascii="Times New Roman" w:hAnsi="Times New Roman" w:eastAsia="方正小标宋简体"/>
          <w:kern w:val="0"/>
          <w:sz w:val="44"/>
          <w:szCs w:val="44"/>
        </w:rPr>
        <w:t>2024</w:t>
      </w:r>
      <w:r>
        <w:rPr>
          <w:rFonts w:ascii="Times New Roman" w:eastAsia="方正小标宋简体"/>
          <w:kern w:val="0"/>
          <w:sz w:val="44"/>
          <w:szCs w:val="44"/>
        </w:rPr>
        <w:t>年度</w:t>
      </w:r>
      <w:r>
        <w:rPr>
          <w:rFonts w:ascii="Times New Roman" w:hAnsi="Times New Roman" w:eastAsia="方正小标宋简体"/>
          <w:kern w:val="0"/>
          <w:sz w:val="44"/>
          <w:szCs w:val="44"/>
        </w:rPr>
        <w:t>“</w:t>
      </w:r>
      <w:r>
        <w:rPr>
          <w:rFonts w:ascii="Times New Roman" w:eastAsia="方正小标宋简体"/>
          <w:kern w:val="0"/>
          <w:sz w:val="44"/>
          <w:szCs w:val="44"/>
        </w:rPr>
        <w:t>服务</w:t>
      </w:r>
      <w:r>
        <w:rPr>
          <w:rFonts w:ascii="Times New Roman" w:hAnsi="Times New Roman" w:eastAsia="方正小标宋简体"/>
          <w:kern w:val="0"/>
          <w:sz w:val="44"/>
          <w:szCs w:val="44"/>
        </w:rPr>
        <w:t xml:space="preserve">532 </w:t>
      </w:r>
      <w:r>
        <w:rPr>
          <w:rFonts w:ascii="Times New Roman" w:eastAsia="方正小标宋简体"/>
          <w:kern w:val="0"/>
          <w:sz w:val="44"/>
          <w:szCs w:val="44"/>
        </w:rPr>
        <w:t>市监在行动</w:t>
      </w:r>
      <w:r>
        <w:rPr>
          <w:rFonts w:ascii="Times New Roman" w:hAnsi="Times New Roman" w:eastAsia="方正小标宋简体"/>
          <w:kern w:val="0"/>
          <w:sz w:val="44"/>
          <w:szCs w:val="44"/>
        </w:rPr>
        <w:t>”</w:t>
      </w:r>
      <w:r>
        <w:rPr>
          <w:rFonts w:ascii="Times New Roman" w:eastAsia="方正小标宋简体"/>
          <w:kern w:val="0"/>
          <w:sz w:val="44"/>
          <w:szCs w:val="44"/>
        </w:rPr>
        <w:t>主题活动的实施意见</w:t>
      </w:r>
    </w:p>
    <w:bookmarkEnd w:id="0"/>
    <w:p w14:paraId="401E5443">
      <w:pPr>
        <w:adjustRightInd w:val="0"/>
        <w:snapToGrid w:val="0"/>
        <w:spacing w:line="560" w:lineRule="atLeast"/>
        <w:rPr>
          <w:rFonts w:ascii="Times New Roman" w:hAnsi="Times New Roman" w:eastAsia="仿宋_GB2312"/>
          <w:sz w:val="32"/>
          <w:szCs w:val="32"/>
        </w:rPr>
      </w:pPr>
    </w:p>
    <w:p w14:paraId="3849F78C">
      <w:pPr>
        <w:adjustRightInd w:val="0"/>
        <w:snapToGrid w:val="0"/>
        <w:spacing w:line="560" w:lineRule="atLeast"/>
        <w:ind w:firstLine="640" w:firstLineChars="200"/>
        <w:jc w:val="left"/>
        <w:rPr>
          <w:rFonts w:ascii="Times New Roman" w:hAnsi="Times New Roman" w:eastAsia="仿宋_GB2312"/>
          <w:sz w:val="32"/>
          <w:szCs w:val="32"/>
        </w:rPr>
      </w:pPr>
      <w:r>
        <w:rPr>
          <w:rFonts w:ascii="Times New Roman" w:eastAsia="仿宋_GB2312"/>
          <w:sz w:val="32"/>
          <w:szCs w:val="32"/>
        </w:rPr>
        <w:t>为深入贯彻落实区委区政府《常州市武进区贯彻落实市</w:t>
      </w:r>
      <w:r>
        <w:rPr>
          <w:rFonts w:ascii="Times New Roman" w:hAnsi="Times New Roman" w:eastAsia="仿宋_GB2312"/>
          <w:sz w:val="32"/>
          <w:szCs w:val="32"/>
        </w:rPr>
        <w:t>“532”</w:t>
      </w:r>
      <w:r>
        <w:rPr>
          <w:rFonts w:ascii="Times New Roman" w:eastAsia="仿宋_GB2312"/>
          <w:sz w:val="32"/>
          <w:szCs w:val="32"/>
        </w:rPr>
        <w:t>发展战略的实施意见》的文件精神，结合全局年度工作会议</w:t>
      </w:r>
      <w:r>
        <w:rPr>
          <w:rFonts w:ascii="Times New Roman" w:hAnsi="Times New Roman" w:eastAsia="仿宋_GB2312"/>
          <w:sz w:val="32"/>
          <w:szCs w:val="32"/>
        </w:rPr>
        <w:t>“</w:t>
      </w:r>
      <w:r>
        <w:rPr>
          <w:rFonts w:ascii="Times New Roman" w:eastAsia="仿宋_GB2312"/>
          <w:sz w:val="32"/>
          <w:szCs w:val="32"/>
        </w:rPr>
        <w:t>讲政治、强监管、促发展、保安全、优服务、好作风</w:t>
      </w:r>
      <w:r>
        <w:rPr>
          <w:rFonts w:ascii="Times New Roman" w:hAnsi="Times New Roman" w:eastAsia="仿宋_GB2312"/>
          <w:sz w:val="32"/>
          <w:szCs w:val="32"/>
        </w:rPr>
        <w:t>”</w:t>
      </w:r>
      <w:r>
        <w:rPr>
          <w:rFonts w:ascii="Times New Roman" w:eastAsia="仿宋_GB2312"/>
          <w:sz w:val="32"/>
          <w:szCs w:val="32"/>
        </w:rPr>
        <w:t>六大重点工作的具体部署，切实彰显武进市场监管部门在全市</w:t>
      </w:r>
      <w:r>
        <w:rPr>
          <w:rFonts w:ascii="Times New Roman" w:hAnsi="Times New Roman" w:eastAsia="仿宋_GB2312"/>
          <w:sz w:val="32"/>
          <w:szCs w:val="32"/>
        </w:rPr>
        <w:t>“532”</w:t>
      </w:r>
      <w:r>
        <w:rPr>
          <w:rFonts w:ascii="Times New Roman" w:eastAsia="仿宋_GB2312"/>
          <w:sz w:val="32"/>
          <w:szCs w:val="32"/>
        </w:rPr>
        <w:t>发展战略的积极作用，确保区委区政府决策部署落地见效，特制定本意见。</w:t>
      </w:r>
    </w:p>
    <w:p w14:paraId="3A4D19D7">
      <w:pPr>
        <w:adjustRightInd w:val="0"/>
        <w:snapToGrid w:val="0"/>
        <w:spacing w:line="560" w:lineRule="atLeast"/>
        <w:ind w:firstLine="640" w:firstLineChars="200"/>
        <w:rPr>
          <w:rFonts w:ascii="Times New Roman" w:hAnsi="Times New Roman" w:eastAsia="黑体"/>
          <w:sz w:val="32"/>
          <w:szCs w:val="32"/>
        </w:rPr>
      </w:pPr>
      <w:r>
        <w:rPr>
          <w:rFonts w:ascii="Times New Roman" w:eastAsia="黑体"/>
          <w:sz w:val="32"/>
          <w:szCs w:val="32"/>
        </w:rPr>
        <w:t>一、总体要求</w:t>
      </w:r>
    </w:p>
    <w:p w14:paraId="2468D740">
      <w:pPr>
        <w:adjustRightInd w:val="0"/>
        <w:snapToGrid w:val="0"/>
        <w:spacing w:line="560" w:lineRule="atLeast"/>
        <w:ind w:firstLine="640" w:firstLineChars="200"/>
        <w:rPr>
          <w:rFonts w:ascii="Times New Roman" w:hAnsi="Times New Roman" w:eastAsia="仿宋_GB2312"/>
          <w:sz w:val="32"/>
          <w:szCs w:val="32"/>
        </w:rPr>
      </w:pPr>
      <w:r>
        <w:rPr>
          <w:rFonts w:ascii="Times New Roman" w:eastAsia="仿宋_GB2312"/>
          <w:sz w:val="32"/>
          <w:szCs w:val="32"/>
        </w:rPr>
        <w:t>坚持以习近平新时代中国特色社会主义思想为指导，深入贯彻党的二十大精神和习近平总书记对江苏工作重要讲话重要指示精神，完整准确全面贯彻新发展理念，紧密结合</w:t>
      </w:r>
      <w:r>
        <w:rPr>
          <w:rFonts w:ascii="Times New Roman" w:hAnsi="Times New Roman" w:eastAsia="仿宋_GB2312"/>
          <w:sz w:val="32"/>
          <w:szCs w:val="32"/>
        </w:rPr>
        <w:t>“532”</w:t>
      </w:r>
      <w:r>
        <w:rPr>
          <w:rFonts w:ascii="Times New Roman" w:eastAsia="仿宋_GB2312"/>
          <w:sz w:val="32"/>
          <w:szCs w:val="32"/>
        </w:rPr>
        <w:t>发展战略，发挥好市场监管职能，坚持清单化管理、项目化推进，在奋力书写中国式现代化武进答卷中担当作为。全局要深刻理解</w:t>
      </w:r>
      <w:r>
        <w:rPr>
          <w:rFonts w:ascii="Times New Roman" w:hAnsi="Times New Roman" w:eastAsia="仿宋_GB2312"/>
          <w:sz w:val="32"/>
          <w:szCs w:val="32"/>
        </w:rPr>
        <w:t>“532”</w:t>
      </w:r>
      <w:r>
        <w:rPr>
          <w:rFonts w:ascii="Times New Roman" w:eastAsia="仿宋_GB2312"/>
          <w:sz w:val="32"/>
          <w:szCs w:val="32"/>
        </w:rPr>
        <w:t>发展战略的内在逻辑和丰富内涵，广泛凝聚</w:t>
      </w:r>
      <w:r>
        <w:rPr>
          <w:rFonts w:ascii="Times New Roman" w:hAnsi="Times New Roman" w:eastAsia="仿宋_GB2312"/>
          <w:sz w:val="32"/>
          <w:szCs w:val="32"/>
        </w:rPr>
        <w:t>“</w:t>
      </w:r>
      <w:r>
        <w:rPr>
          <w:rFonts w:ascii="Times New Roman" w:eastAsia="仿宋_GB2312"/>
          <w:sz w:val="32"/>
          <w:szCs w:val="32"/>
        </w:rPr>
        <w:t>上下一心、同频共振</w:t>
      </w:r>
      <w:r>
        <w:rPr>
          <w:rFonts w:ascii="Times New Roman" w:hAnsi="Times New Roman" w:eastAsia="仿宋_GB2312"/>
          <w:sz w:val="32"/>
          <w:szCs w:val="32"/>
        </w:rPr>
        <w:t>”</w:t>
      </w:r>
      <w:r>
        <w:rPr>
          <w:rFonts w:ascii="Times New Roman" w:eastAsia="仿宋_GB2312"/>
          <w:sz w:val="32"/>
          <w:szCs w:val="32"/>
        </w:rPr>
        <w:t>的思想共识，坚决扛起</w:t>
      </w:r>
      <w:r>
        <w:rPr>
          <w:rFonts w:ascii="Times New Roman" w:hAnsi="Times New Roman" w:eastAsia="仿宋_GB2312"/>
          <w:sz w:val="32"/>
          <w:szCs w:val="32"/>
        </w:rPr>
        <w:t>“</w:t>
      </w:r>
      <w:r>
        <w:rPr>
          <w:rFonts w:ascii="Times New Roman" w:eastAsia="仿宋_GB2312"/>
          <w:sz w:val="32"/>
          <w:szCs w:val="32"/>
        </w:rPr>
        <w:t>只争朝夕、时不我待</w:t>
      </w:r>
      <w:r>
        <w:rPr>
          <w:rFonts w:ascii="Times New Roman" w:hAnsi="Times New Roman" w:eastAsia="仿宋_GB2312"/>
          <w:sz w:val="32"/>
          <w:szCs w:val="32"/>
        </w:rPr>
        <w:t>”</w:t>
      </w:r>
      <w:r>
        <w:rPr>
          <w:rFonts w:ascii="Times New Roman" w:eastAsia="仿宋_GB2312"/>
          <w:sz w:val="32"/>
          <w:szCs w:val="32"/>
        </w:rPr>
        <w:t>的实干担当，确保</w:t>
      </w:r>
      <w:r>
        <w:rPr>
          <w:rFonts w:ascii="Times New Roman" w:hAnsi="Times New Roman" w:eastAsia="仿宋_GB2312"/>
          <w:sz w:val="32"/>
          <w:szCs w:val="32"/>
        </w:rPr>
        <w:t>“</w:t>
      </w:r>
      <w:r>
        <w:rPr>
          <w:rFonts w:ascii="Times New Roman" w:eastAsia="仿宋_GB2312"/>
          <w:sz w:val="32"/>
          <w:szCs w:val="32"/>
        </w:rPr>
        <w:t>服务</w:t>
      </w:r>
      <w:r>
        <w:rPr>
          <w:rFonts w:ascii="Times New Roman" w:hAnsi="Times New Roman" w:eastAsia="仿宋_GB2312"/>
          <w:sz w:val="32"/>
          <w:szCs w:val="32"/>
        </w:rPr>
        <w:t xml:space="preserve">532 </w:t>
      </w:r>
      <w:r>
        <w:rPr>
          <w:rFonts w:ascii="Times New Roman" w:eastAsia="仿宋_GB2312"/>
          <w:sz w:val="32"/>
          <w:szCs w:val="32"/>
        </w:rPr>
        <w:t>市监在行动</w:t>
      </w:r>
      <w:r>
        <w:rPr>
          <w:rFonts w:ascii="Times New Roman" w:hAnsi="Times New Roman" w:eastAsia="仿宋_GB2312"/>
          <w:sz w:val="32"/>
          <w:szCs w:val="32"/>
        </w:rPr>
        <w:t>”</w:t>
      </w:r>
      <w:r>
        <w:rPr>
          <w:rFonts w:ascii="Times New Roman" w:eastAsia="仿宋_GB2312"/>
          <w:sz w:val="32"/>
          <w:szCs w:val="32"/>
        </w:rPr>
        <w:t>主题活动全面落实、取得成效，为推动</w:t>
      </w:r>
      <w:r>
        <w:rPr>
          <w:rFonts w:ascii="Times New Roman" w:hAnsi="Times New Roman" w:eastAsia="仿宋_GB2312"/>
          <w:sz w:val="32"/>
          <w:szCs w:val="32"/>
        </w:rPr>
        <w:t>“532”</w:t>
      </w:r>
      <w:r>
        <w:rPr>
          <w:rFonts w:ascii="Times New Roman" w:eastAsia="仿宋_GB2312"/>
          <w:sz w:val="32"/>
          <w:szCs w:val="32"/>
        </w:rPr>
        <w:t>战略在武进的实践作出更多市场监管贡献。</w:t>
      </w:r>
    </w:p>
    <w:p w14:paraId="5CCA0785">
      <w:pPr>
        <w:adjustRightInd w:val="0"/>
        <w:snapToGrid w:val="0"/>
        <w:spacing w:line="560" w:lineRule="atLeast"/>
        <w:ind w:firstLine="640" w:firstLineChars="200"/>
        <w:rPr>
          <w:rFonts w:ascii="Times New Roman" w:hAnsi="Times New Roman" w:eastAsia="黑体"/>
          <w:sz w:val="32"/>
          <w:szCs w:val="32"/>
        </w:rPr>
      </w:pPr>
      <w:r>
        <w:rPr>
          <w:rFonts w:ascii="Times New Roman" w:eastAsia="黑体"/>
          <w:sz w:val="32"/>
          <w:szCs w:val="32"/>
        </w:rPr>
        <w:t>二、组织领导</w:t>
      </w:r>
    </w:p>
    <w:p w14:paraId="58C86624">
      <w:pPr>
        <w:adjustRightInd w:val="0"/>
        <w:snapToGrid w:val="0"/>
        <w:spacing w:line="560" w:lineRule="atLeast"/>
        <w:ind w:firstLine="640" w:firstLineChars="200"/>
        <w:rPr>
          <w:rFonts w:ascii="Times New Roman" w:hAnsi="Times New Roman" w:eastAsia="仿宋_GB2312"/>
          <w:sz w:val="32"/>
          <w:szCs w:val="32"/>
        </w:rPr>
      </w:pPr>
      <w:r>
        <w:rPr>
          <w:rFonts w:ascii="Times New Roman" w:eastAsia="楷体_GB2312"/>
          <w:sz w:val="32"/>
          <w:szCs w:val="32"/>
        </w:rPr>
        <w:t>（一）紧扣目标任务。</w:t>
      </w:r>
      <w:r>
        <w:rPr>
          <w:rFonts w:ascii="Times New Roman" w:eastAsia="仿宋_GB2312"/>
          <w:sz w:val="32"/>
          <w:szCs w:val="32"/>
        </w:rPr>
        <w:t>紧扣《</w:t>
      </w:r>
      <w:r>
        <w:rPr>
          <w:rFonts w:ascii="Times New Roman" w:hAnsi="Times New Roman" w:eastAsia="仿宋_GB2312"/>
          <w:sz w:val="32"/>
          <w:szCs w:val="32"/>
        </w:rPr>
        <w:t>“</w:t>
      </w:r>
      <w:r>
        <w:rPr>
          <w:rFonts w:ascii="Times New Roman" w:eastAsia="仿宋_GB2312"/>
          <w:sz w:val="32"/>
          <w:szCs w:val="32"/>
        </w:rPr>
        <w:t>服务</w:t>
      </w:r>
      <w:r>
        <w:rPr>
          <w:rFonts w:ascii="Times New Roman" w:hAnsi="Times New Roman" w:eastAsia="仿宋_GB2312"/>
          <w:sz w:val="32"/>
          <w:szCs w:val="32"/>
        </w:rPr>
        <w:t xml:space="preserve">532 </w:t>
      </w:r>
      <w:r>
        <w:rPr>
          <w:rFonts w:ascii="Times New Roman" w:eastAsia="仿宋_GB2312"/>
          <w:sz w:val="32"/>
          <w:szCs w:val="32"/>
        </w:rPr>
        <w:t>市监在行动</w:t>
      </w:r>
      <w:r>
        <w:rPr>
          <w:rFonts w:ascii="Times New Roman" w:hAnsi="Times New Roman" w:eastAsia="仿宋_GB2312"/>
          <w:sz w:val="32"/>
          <w:szCs w:val="32"/>
        </w:rPr>
        <w:t>”</w:t>
      </w:r>
      <w:r>
        <w:rPr>
          <w:rFonts w:ascii="Times New Roman" w:eastAsia="仿宋_GB2312"/>
          <w:sz w:val="32"/>
          <w:szCs w:val="32"/>
        </w:rPr>
        <w:t>项目清单》确定的任务，依据职责权限，认真梳理，细化任务，量化目标，明确措施，狠抓落实。各牵头部门要紧盯任务目标，倒排序时进度，推动各项任务落地见效。</w:t>
      </w:r>
    </w:p>
    <w:p w14:paraId="79CC20C4">
      <w:pPr>
        <w:adjustRightInd w:val="0"/>
        <w:snapToGrid w:val="0"/>
        <w:spacing w:line="560" w:lineRule="atLeast"/>
        <w:ind w:firstLine="640" w:firstLineChars="200"/>
        <w:rPr>
          <w:rFonts w:ascii="Times New Roman" w:hAnsi="Times New Roman" w:eastAsia="楷体_GB2312"/>
          <w:b/>
          <w:sz w:val="32"/>
          <w:szCs w:val="32"/>
        </w:rPr>
      </w:pPr>
      <w:r>
        <w:rPr>
          <w:rFonts w:ascii="Times New Roman" w:eastAsia="楷体_GB2312"/>
          <w:sz w:val="32"/>
          <w:szCs w:val="32"/>
        </w:rPr>
        <w:t>（二）完善工作机制。</w:t>
      </w:r>
      <w:r>
        <w:rPr>
          <w:rFonts w:ascii="Times New Roman" w:eastAsia="仿宋_GB2312"/>
          <w:sz w:val="32"/>
          <w:szCs w:val="32"/>
        </w:rPr>
        <w:t>建立局领导牵头负责推进机制，协调推进项目清单，研究存在问题、协调解决困难。建立季度报告制度，项目牵头部门每季度报告重点项目实施进展情况，提交自身解决不了的困难问题，及时发现问题，解决问题。</w:t>
      </w:r>
    </w:p>
    <w:p w14:paraId="16789393">
      <w:pPr>
        <w:adjustRightInd w:val="0"/>
        <w:snapToGrid w:val="0"/>
        <w:spacing w:line="560" w:lineRule="atLeast"/>
        <w:ind w:firstLine="640" w:firstLineChars="200"/>
        <w:rPr>
          <w:rFonts w:ascii="Times New Roman" w:hAnsi="Times New Roman" w:eastAsia="仿宋_GB2312"/>
          <w:sz w:val="32"/>
          <w:szCs w:val="32"/>
        </w:rPr>
      </w:pPr>
      <w:r>
        <w:rPr>
          <w:rFonts w:ascii="Times New Roman" w:eastAsia="楷体_GB2312"/>
          <w:sz w:val="32"/>
          <w:szCs w:val="32"/>
        </w:rPr>
        <w:t>（三）强化协同配合。</w:t>
      </w:r>
      <w:r>
        <w:rPr>
          <w:rFonts w:ascii="Times New Roman" w:eastAsia="仿宋_GB2312"/>
          <w:sz w:val="32"/>
          <w:szCs w:val="32"/>
        </w:rPr>
        <w:t>局领导要切实抓好分管领域工作，亲自挂帅、靠前指挥。牵头部门要对项目推进负总责，勇于担当、积极作为，切实抓好资源统筹和力量调配。各有关配合部门要各司其职、密切配合、协调作战，共同推进项目实施。各分局要充分落实属地责任，坚持上下联动，形成抓工作落实的整体合力。要注重对外工作的协调，加大和其他部门以及板块的互动，结合</w:t>
      </w:r>
      <w:r>
        <w:rPr>
          <w:rFonts w:ascii="Times New Roman" w:hAnsi="Times New Roman" w:eastAsia="仿宋_GB2312"/>
          <w:sz w:val="32"/>
          <w:szCs w:val="32"/>
        </w:rPr>
        <w:t>“532”</w:t>
      </w:r>
      <w:r>
        <w:rPr>
          <w:rFonts w:ascii="Times New Roman" w:eastAsia="仿宋_GB2312"/>
          <w:sz w:val="32"/>
          <w:szCs w:val="32"/>
        </w:rPr>
        <w:t>战略的项目要求，具体做好牵头项目的推进和配合项目的落实工作。</w:t>
      </w:r>
    </w:p>
    <w:p w14:paraId="73C6348E">
      <w:pPr>
        <w:adjustRightInd w:val="0"/>
        <w:snapToGrid w:val="0"/>
        <w:spacing w:line="560" w:lineRule="atLeast"/>
        <w:ind w:firstLine="640" w:firstLineChars="200"/>
        <w:rPr>
          <w:rFonts w:ascii="Times New Roman" w:hAnsi="Times New Roman" w:eastAsia="黑体"/>
          <w:sz w:val="32"/>
          <w:szCs w:val="32"/>
        </w:rPr>
      </w:pPr>
      <w:r>
        <w:rPr>
          <w:rFonts w:ascii="Times New Roman" w:eastAsia="黑体"/>
          <w:sz w:val="32"/>
          <w:szCs w:val="32"/>
        </w:rPr>
        <w:t>三、工作要求</w:t>
      </w:r>
    </w:p>
    <w:p w14:paraId="565B6553">
      <w:pPr>
        <w:adjustRightInd w:val="0"/>
        <w:snapToGrid w:val="0"/>
        <w:spacing w:line="560" w:lineRule="atLeast"/>
        <w:ind w:firstLine="640" w:firstLineChars="200"/>
        <w:rPr>
          <w:rFonts w:ascii="Times New Roman" w:hAnsi="Times New Roman" w:eastAsia="仿宋_GB2312"/>
          <w:sz w:val="32"/>
          <w:szCs w:val="32"/>
        </w:rPr>
      </w:pPr>
      <w:r>
        <w:rPr>
          <w:rFonts w:ascii="Times New Roman" w:eastAsia="楷体_GB2312"/>
          <w:sz w:val="32"/>
          <w:szCs w:val="32"/>
        </w:rPr>
        <w:t>（一）统筹联动，融入发展大局。</w:t>
      </w:r>
      <w:r>
        <w:rPr>
          <w:rFonts w:ascii="Times New Roman" w:eastAsia="仿宋_GB2312"/>
          <w:sz w:val="32"/>
          <w:szCs w:val="32"/>
        </w:rPr>
        <w:t>要把市场监管工作放在全区发展大局去谋划，跳出部门惯性思维去思考，融入</w:t>
      </w:r>
      <w:r>
        <w:rPr>
          <w:rFonts w:ascii="Times New Roman" w:hAnsi="Times New Roman" w:eastAsia="仿宋_GB2312"/>
          <w:sz w:val="32"/>
          <w:szCs w:val="32"/>
        </w:rPr>
        <w:t>532</w:t>
      </w:r>
      <w:r>
        <w:rPr>
          <w:rFonts w:ascii="Times New Roman" w:eastAsia="仿宋_GB2312"/>
          <w:sz w:val="32"/>
          <w:szCs w:val="32"/>
        </w:rPr>
        <w:t>发展战略总体规划去推进，自觉从全局高度观察和分析问题，找准与其他项目的联结点，借势发力，协调联动，一体谋划、整体推进。</w:t>
      </w:r>
    </w:p>
    <w:p w14:paraId="36EAC658">
      <w:pPr>
        <w:adjustRightInd w:val="0"/>
        <w:snapToGrid w:val="0"/>
        <w:spacing w:line="560" w:lineRule="atLeast"/>
        <w:ind w:firstLine="640" w:firstLineChars="200"/>
        <w:rPr>
          <w:rFonts w:ascii="Times New Roman" w:hAnsi="Times New Roman" w:eastAsia="仿宋_GB2312"/>
          <w:sz w:val="32"/>
          <w:szCs w:val="32"/>
        </w:rPr>
      </w:pPr>
      <w:r>
        <w:rPr>
          <w:rFonts w:ascii="Times New Roman" w:eastAsia="楷体_GB2312"/>
          <w:sz w:val="32"/>
          <w:szCs w:val="32"/>
        </w:rPr>
        <w:t>（二）落细落实，打造优质品牌。</w:t>
      </w:r>
      <w:r>
        <w:rPr>
          <w:rFonts w:ascii="Times New Roman" w:eastAsia="仿宋_GB2312"/>
          <w:sz w:val="32"/>
          <w:szCs w:val="32"/>
        </w:rPr>
        <w:t>要以最高标准、最严要求推动</w:t>
      </w:r>
      <w:r>
        <w:rPr>
          <w:rFonts w:ascii="Times New Roman" w:hAnsi="Times New Roman" w:eastAsia="仿宋_GB2312"/>
          <w:sz w:val="32"/>
          <w:szCs w:val="32"/>
        </w:rPr>
        <w:t>“</w:t>
      </w:r>
      <w:r>
        <w:rPr>
          <w:rFonts w:ascii="Times New Roman" w:eastAsia="仿宋_GB2312"/>
          <w:sz w:val="32"/>
          <w:szCs w:val="32"/>
        </w:rPr>
        <w:t>服务</w:t>
      </w:r>
      <w:r>
        <w:rPr>
          <w:rFonts w:ascii="Times New Roman" w:hAnsi="Times New Roman" w:eastAsia="仿宋_GB2312"/>
          <w:sz w:val="32"/>
          <w:szCs w:val="32"/>
        </w:rPr>
        <w:t xml:space="preserve">532 </w:t>
      </w:r>
      <w:r>
        <w:rPr>
          <w:rFonts w:ascii="Times New Roman" w:eastAsia="仿宋_GB2312"/>
          <w:sz w:val="32"/>
          <w:szCs w:val="32"/>
        </w:rPr>
        <w:t>市监在行动</w:t>
      </w:r>
      <w:r>
        <w:rPr>
          <w:rFonts w:ascii="Times New Roman" w:hAnsi="Times New Roman" w:eastAsia="仿宋_GB2312"/>
          <w:sz w:val="32"/>
          <w:szCs w:val="32"/>
        </w:rPr>
        <w:t>”</w:t>
      </w:r>
      <w:r>
        <w:rPr>
          <w:rFonts w:ascii="Times New Roman" w:eastAsia="仿宋_GB2312"/>
          <w:sz w:val="32"/>
          <w:szCs w:val="32"/>
        </w:rPr>
        <w:t>项目落地落细，把</w:t>
      </w:r>
      <w:r>
        <w:rPr>
          <w:rFonts w:ascii="Times New Roman" w:hAnsi="Times New Roman" w:eastAsia="仿宋_GB2312"/>
          <w:sz w:val="32"/>
          <w:szCs w:val="32"/>
        </w:rPr>
        <w:t>“</w:t>
      </w:r>
      <w:r>
        <w:rPr>
          <w:rFonts w:ascii="Times New Roman" w:eastAsia="仿宋_GB2312"/>
          <w:sz w:val="32"/>
          <w:szCs w:val="32"/>
        </w:rPr>
        <w:t>项目单</w:t>
      </w:r>
      <w:r>
        <w:rPr>
          <w:rFonts w:ascii="Times New Roman" w:hAnsi="Times New Roman" w:eastAsia="仿宋_GB2312"/>
          <w:sz w:val="32"/>
          <w:szCs w:val="32"/>
        </w:rPr>
        <w:t>”</w:t>
      </w:r>
      <w:r>
        <w:rPr>
          <w:rFonts w:ascii="Times New Roman" w:eastAsia="仿宋_GB2312"/>
          <w:sz w:val="32"/>
          <w:szCs w:val="32"/>
        </w:rPr>
        <w:t>变为</w:t>
      </w:r>
      <w:r>
        <w:rPr>
          <w:rFonts w:ascii="Times New Roman" w:hAnsi="Times New Roman" w:eastAsia="仿宋_GB2312"/>
          <w:sz w:val="32"/>
          <w:szCs w:val="32"/>
        </w:rPr>
        <w:t>“</w:t>
      </w:r>
      <w:r>
        <w:rPr>
          <w:rFonts w:ascii="Times New Roman" w:eastAsia="仿宋_GB2312"/>
          <w:sz w:val="32"/>
          <w:szCs w:val="32"/>
        </w:rPr>
        <w:t>成绩单</w:t>
      </w:r>
      <w:r>
        <w:rPr>
          <w:rFonts w:ascii="Times New Roman" w:hAnsi="Times New Roman" w:eastAsia="仿宋_GB2312"/>
          <w:sz w:val="32"/>
          <w:szCs w:val="32"/>
        </w:rPr>
        <w:t>”</w:t>
      </w:r>
      <w:r>
        <w:rPr>
          <w:rFonts w:ascii="Times New Roman" w:eastAsia="仿宋_GB2312"/>
          <w:sz w:val="32"/>
          <w:szCs w:val="32"/>
        </w:rPr>
        <w:t>，努力当好推进工作落实的排头兵。要加大工作宣传力度，积极宣传在主题活动中涌现出的先进典型事例，切实彰显市场监管部门在</w:t>
      </w:r>
      <w:r>
        <w:rPr>
          <w:rFonts w:ascii="Times New Roman" w:hAnsi="Times New Roman" w:eastAsia="仿宋_GB2312"/>
          <w:sz w:val="32"/>
          <w:szCs w:val="32"/>
        </w:rPr>
        <w:t>“532”</w:t>
      </w:r>
      <w:r>
        <w:rPr>
          <w:rFonts w:ascii="Times New Roman" w:eastAsia="仿宋_GB2312"/>
          <w:sz w:val="32"/>
          <w:szCs w:val="32"/>
        </w:rPr>
        <w:t>战略中的积极作用。</w:t>
      </w:r>
    </w:p>
    <w:p w14:paraId="770A4AEE">
      <w:pPr>
        <w:adjustRightInd w:val="0"/>
        <w:snapToGrid w:val="0"/>
        <w:spacing w:line="560" w:lineRule="atLeast"/>
        <w:ind w:firstLine="640" w:firstLineChars="200"/>
        <w:rPr>
          <w:rFonts w:ascii="Times New Roman" w:hAnsi="Times New Roman" w:eastAsia="仿宋_GB2312"/>
          <w:sz w:val="32"/>
          <w:szCs w:val="32"/>
        </w:rPr>
      </w:pPr>
      <w:r>
        <w:rPr>
          <w:rFonts w:ascii="Times New Roman" w:eastAsia="楷体_GB2312"/>
          <w:sz w:val="32"/>
          <w:szCs w:val="32"/>
        </w:rPr>
        <w:t>（三）攻坚克难，确保善作善成。</w:t>
      </w:r>
      <w:r>
        <w:rPr>
          <w:rFonts w:ascii="Times New Roman" w:eastAsia="仿宋_GB2312"/>
          <w:sz w:val="32"/>
          <w:szCs w:val="32"/>
        </w:rPr>
        <w:t>要坚持目标导向、结果导向，对推进工作中遇到的困难，要敢于迎难而上，直面问题，善于在解决困难矛盾中增长才干，避免遇到困难就绕道而行，降格以求。要拓展思路积极探索，既脚踏实地又富有创造性地开展工作，用担当实干确保高质量完成各项工作。要大力开展评先评优活动，各单位项目完成情况要作为评价相关科室年度工作完成情况的重要指标，适时组织开展全局项目的评优活动。</w:t>
      </w:r>
    </w:p>
    <w:p w14:paraId="2AAC0FF8">
      <w:pPr>
        <w:adjustRightInd w:val="0"/>
        <w:snapToGrid w:val="0"/>
        <w:spacing w:line="560" w:lineRule="atLeast"/>
        <w:ind w:left="1268" w:leftChars="304" w:hanging="630" w:hangingChars="300"/>
        <w:rPr>
          <w:rFonts w:ascii="Times New Roman" w:hAnsi="Times New Roman"/>
          <w:color w:val="000000"/>
          <w:szCs w:val="21"/>
          <w:shd w:val="clear" w:color="auto" w:fill="FFFFFF"/>
        </w:rPr>
      </w:pPr>
    </w:p>
    <w:p w14:paraId="1E76009E">
      <w:pPr>
        <w:adjustRightInd w:val="0"/>
        <w:snapToGrid w:val="0"/>
        <w:spacing w:line="560" w:lineRule="atLeast"/>
        <w:ind w:firstLine="640" w:firstLineChars="200"/>
        <w:rPr>
          <w:rFonts w:ascii="Times New Roman" w:hAnsi="Times New Roman" w:eastAsia="仿宋_GB2312"/>
          <w:sz w:val="32"/>
          <w:szCs w:val="32"/>
        </w:rPr>
      </w:pPr>
      <w:r>
        <w:rPr>
          <w:rFonts w:ascii="Times New Roman" w:eastAsia="仿宋_GB2312"/>
          <w:sz w:val="32"/>
          <w:szCs w:val="32"/>
        </w:rPr>
        <w:t>附件：</w:t>
      </w:r>
      <w:r>
        <w:rPr>
          <w:rFonts w:ascii="Times New Roman" w:hAnsi="Times New Roman" w:eastAsia="仿宋_GB2312"/>
          <w:sz w:val="32"/>
          <w:szCs w:val="32"/>
        </w:rPr>
        <w:t>2024</w:t>
      </w:r>
      <w:r>
        <w:rPr>
          <w:rFonts w:ascii="Times New Roman" w:eastAsia="仿宋_GB2312"/>
          <w:sz w:val="32"/>
          <w:szCs w:val="32"/>
        </w:rPr>
        <w:t>年度</w:t>
      </w:r>
      <w:r>
        <w:rPr>
          <w:rFonts w:ascii="Times New Roman" w:hAnsi="Times New Roman" w:eastAsia="仿宋_GB2312"/>
          <w:sz w:val="32"/>
          <w:szCs w:val="32"/>
        </w:rPr>
        <w:t>“</w:t>
      </w:r>
      <w:r>
        <w:rPr>
          <w:rFonts w:ascii="Times New Roman" w:eastAsia="仿宋_GB2312"/>
          <w:sz w:val="32"/>
          <w:szCs w:val="32"/>
        </w:rPr>
        <w:t>服务</w:t>
      </w:r>
      <w:r>
        <w:rPr>
          <w:rFonts w:ascii="Times New Roman" w:hAnsi="Times New Roman" w:eastAsia="仿宋_GB2312"/>
          <w:sz w:val="32"/>
          <w:szCs w:val="32"/>
        </w:rPr>
        <w:t xml:space="preserve">532 </w:t>
      </w:r>
      <w:r>
        <w:rPr>
          <w:rFonts w:ascii="Times New Roman" w:eastAsia="仿宋_GB2312"/>
          <w:sz w:val="32"/>
          <w:szCs w:val="32"/>
        </w:rPr>
        <w:t>市监在行动</w:t>
      </w:r>
      <w:r>
        <w:rPr>
          <w:rFonts w:ascii="Times New Roman" w:hAnsi="Times New Roman" w:eastAsia="仿宋_GB2312"/>
          <w:sz w:val="32"/>
          <w:szCs w:val="32"/>
        </w:rPr>
        <w:t>”</w:t>
      </w:r>
      <w:r>
        <w:rPr>
          <w:rFonts w:ascii="Times New Roman" w:eastAsia="仿宋_GB2312"/>
          <w:sz w:val="32"/>
          <w:szCs w:val="32"/>
        </w:rPr>
        <w:t>项目清单</w:t>
      </w:r>
    </w:p>
    <w:p w14:paraId="09EAA600">
      <w:pPr>
        <w:adjustRightInd w:val="0"/>
        <w:snapToGrid w:val="0"/>
        <w:spacing w:line="560" w:lineRule="atLeast"/>
        <w:ind w:left="1502" w:leftChars="304" w:hanging="864" w:hangingChars="300"/>
        <w:rPr>
          <w:rFonts w:hint="eastAsia" w:eastAsia="仿宋_GB2312"/>
          <w:w w:val="90"/>
          <w:sz w:val="32"/>
          <w:szCs w:val="32"/>
        </w:rPr>
      </w:pPr>
    </w:p>
    <w:p w14:paraId="1F0B2362">
      <w:pPr>
        <w:adjustRightInd w:val="0"/>
        <w:snapToGrid w:val="0"/>
        <w:spacing w:line="560" w:lineRule="atLeast"/>
        <w:ind w:left="1502" w:leftChars="304" w:hanging="864" w:hangingChars="300"/>
        <w:rPr>
          <w:rFonts w:hint="eastAsia" w:eastAsia="仿宋_GB2312"/>
          <w:w w:val="90"/>
          <w:sz w:val="32"/>
          <w:szCs w:val="32"/>
        </w:rPr>
      </w:pPr>
    </w:p>
    <w:p w14:paraId="51FC74EB">
      <w:pPr>
        <w:adjustRightInd w:val="0"/>
        <w:snapToGrid w:val="0"/>
        <w:spacing w:line="560" w:lineRule="atLeast"/>
        <w:ind w:left="1502" w:leftChars="304" w:hanging="864" w:hangingChars="300"/>
        <w:rPr>
          <w:rFonts w:hint="eastAsia" w:eastAsia="仿宋_GB2312"/>
          <w:w w:val="90"/>
          <w:sz w:val="32"/>
          <w:szCs w:val="32"/>
        </w:rPr>
      </w:pPr>
    </w:p>
    <w:p w14:paraId="14A7A948">
      <w:pPr>
        <w:adjustRightInd w:val="0"/>
        <w:snapToGrid w:val="0"/>
        <w:spacing w:line="560" w:lineRule="atLeast"/>
        <w:ind w:left="1502" w:leftChars="304" w:hanging="864" w:hangingChars="300"/>
        <w:rPr>
          <w:rFonts w:hint="eastAsia" w:eastAsia="仿宋_GB2312"/>
          <w:w w:val="90"/>
          <w:sz w:val="32"/>
          <w:szCs w:val="32"/>
        </w:rPr>
      </w:pPr>
    </w:p>
    <w:p w14:paraId="1F0BF245">
      <w:pPr>
        <w:adjustRightInd w:val="0"/>
        <w:snapToGrid w:val="0"/>
        <w:spacing w:line="560" w:lineRule="atLeast"/>
        <w:ind w:left="1502" w:leftChars="304" w:hanging="864" w:hangingChars="300"/>
        <w:rPr>
          <w:rFonts w:hint="eastAsia" w:eastAsia="仿宋_GB2312"/>
          <w:w w:val="90"/>
          <w:sz w:val="32"/>
          <w:szCs w:val="32"/>
        </w:rPr>
      </w:pPr>
    </w:p>
    <w:p w14:paraId="213C2A73">
      <w:pPr>
        <w:adjustRightInd w:val="0"/>
        <w:snapToGrid w:val="0"/>
        <w:spacing w:line="560" w:lineRule="atLeast"/>
        <w:ind w:left="1502" w:leftChars="304" w:hanging="864" w:hangingChars="300"/>
        <w:rPr>
          <w:rFonts w:hint="eastAsia" w:eastAsia="仿宋_GB2312"/>
          <w:w w:val="90"/>
          <w:sz w:val="32"/>
          <w:szCs w:val="32"/>
        </w:rPr>
      </w:pPr>
    </w:p>
    <w:p w14:paraId="3094ACD0">
      <w:pPr>
        <w:adjustRightInd w:val="0"/>
        <w:snapToGrid w:val="0"/>
        <w:spacing w:line="560" w:lineRule="atLeast"/>
        <w:ind w:left="1502" w:leftChars="304" w:hanging="864" w:hangingChars="300"/>
        <w:rPr>
          <w:rFonts w:hint="eastAsia" w:eastAsia="仿宋_GB2312"/>
          <w:w w:val="90"/>
          <w:sz w:val="32"/>
          <w:szCs w:val="32"/>
        </w:rPr>
      </w:pPr>
    </w:p>
    <w:p w14:paraId="71838C9C">
      <w:pPr>
        <w:adjustRightInd w:val="0"/>
        <w:snapToGrid w:val="0"/>
        <w:spacing w:line="560" w:lineRule="atLeast"/>
        <w:ind w:left="1502" w:leftChars="304" w:hanging="864" w:hangingChars="300"/>
        <w:rPr>
          <w:rFonts w:hint="eastAsia" w:eastAsia="仿宋_GB2312"/>
          <w:w w:val="90"/>
          <w:sz w:val="32"/>
          <w:szCs w:val="32"/>
        </w:rPr>
      </w:pPr>
    </w:p>
    <w:p w14:paraId="5AA64160">
      <w:pPr>
        <w:adjustRightInd w:val="0"/>
        <w:snapToGrid w:val="0"/>
        <w:spacing w:line="560" w:lineRule="atLeast"/>
        <w:ind w:left="1502" w:leftChars="304" w:hanging="864" w:hangingChars="300"/>
        <w:rPr>
          <w:rFonts w:hint="eastAsia" w:eastAsia="仿宋_GB2312"/>
          <w:w w:val="90"/>
          <w:sz w:val="32"/>
          <w:szCs w:val="32"/>
        </w:rPr>
      </w:pPr>
    </w:p>
    <w:p w14:paraId="217D804B">
      <w:pPr>
        <w:rPr>
          <w:rFonts w:ascii="Times New Roman" w:hAnsi="Times New Roman"/>
        </w:rPr>
      </w:pPr>
    </w:p>
    <w:p w14:paraId="3CC0A252">
      <w:pPr>
        <w:spacing w:line="540" w:lineRule="exact"/>
        <w:ind w:firstLine="210" w:firstLineChars="100"/>
        <w:rPr>
          <w:rFonts w:ascii="Times New Roman" w:hAnsi="Times New Roman" w:eastAsia="仿宋_GB2312"/>
          <w:sz w:val="28"/>
          <w:szCs w:val="28"/>
        </w:rPr>
      </w:pPr>
      <w:r>
        <w:rPr>
          <w:rFonts w:ascii="Times New Roman" w:hAnsi="Times New Roman"/>
        </w:rPr>
        <w:pict>
          <v:line id="_x0000_s1028" o:spid="_x0000_s1028" o:spt="20" style="position:absolute;left:0pt;margin-left:0pt;margin-top:0.55pt;height:0pt;width:423pt;z-index:251660288;mso-width-relative:page;mso-height-relative:page;" coordsize="21600,21600">
            <v:path arrowok="t"/>
            <v:fill focussize="0,0"/>
            <v:stroke/>
            <v:imagedata o:title=""/>
            <o:lock v:ext="edit"/>
          </v:line>
        </w:pict>
      </w:r>
      <w:r>
        <w:rPr>
          <w:rFonts w:ascii="Times New Roman" w:hAnsi="Times New Roman"/>
        </w:rPr>
        <w:pict>
          <v:line id="_x0000_s1027" o:spid="_x0000_s1027" o:spt="20" style="position:absolute;left:0pt;margin-left:0pt;margin-top:26.05pt;height:0pt;width:423pt;z-index:251659264;mso-width-relative:page;mso-height-relative:page;" coordsize="21600,21600">
            <v:path arrowok="t"/>
            <v:fill focussize="0,0"/>
            <v:stroke/>
            <v:imagedata o:title=""/>
            <o:lock v:ext="edit"/>
          </v:line>
        </w:pict>
      </w:r>
      <w:r>
        <w:rPr>
          <w:rFonts w:ascii="Times New Roman" w:eastAsia="仿宋_GB2312"/>
          <w:sz w:val="28"/>
          <w:szCs w:val="28"/>
        </w:rPr>
        <w:t>常州市武进区市场监督管理局办公室</w:t>
      </w:r>
      <w:r>
        <w:rPr>
          <w:rFonts w:ascii="Times New Roman" w:hAnsi="Times New Roman" w:eastAsia="仿宋_GB2312"/>
          <w:sz w:val="28"/>
          <w:szCs w:val="28"/>
        </w:rPr>
        <w:t xml:space="preserve">    2024</w:t>
      </w:r>
      <w:r>
        <w:rPr>
          <w:rFonts w:ascii="Times New Roman" w:eastAsia="仿宋_GB2312"/>
          <w:sz w:val="28"/>
          <w:szCs w:val="28"/>
        </w:rPr>
        <w:t>年</w:t>
      </w:r>
      <w:r>
        <w:rPr>
          <w:rFonts w:ascii="Times New Roman" w:hAnsi="Times New Roman" w:eastAsia="仿宋_GB2312"/>
          <w:sz w:val="28"/>
          <w:szCs w:val="28"/>
        </w:rPr>
        <w:t>4</w:t>
      </w:r>
      <w:r>
        <w:rPr>
          <w:rFonts w:ascii="Times New Roman" w:eastAsia="仿宋_GB2312"/>
          <w:sz w:val="28"/>
          <w:szCs w:val="28"/>
        </w:rPr>
        <w:t>月</w:t>
      </w:r>
      <w:r>
        <w:rPr>
          <w:rFonts w:ascii="Times New Roman" w:hAnsi="Times New Roman" w:eastAsia="仿宋_GB2312"/>
          <w:sz w:val="28"/>
          <w:szCs w:val="28"/>
        </w:rPr>
        <w:t>15</w:t>
      </w:r>
      <w:r>
        <w:rPr>
          <w:rFonts w:ascii="Times New Roman" w:eastAsia="仿宋_GB2312"/>
          <w:sz w:val="28"/>
          <w:szCs w:val="28"/>
        </w:rPr>
        <w:t>日印发</w:t>
      </w:r>
    </w:p>
    <w:p w14:paraId="26DA8906">
      <w:pPr>
        <w:rPr>
          <w:rFonts w:hint="eastAsia"/>
        </w:rPr>
      </w:pPr>
    </w:p>
    <w:p w14:paraId="0266D08B">
      <w:pPr>
        <w:adjustRightInd w:val="0"/>
        <w:snapToGrid w:val="0"/>
        <w:spacing w:line="560" w:lineRule="atLeast"/>
        <w:rPr>
          <w:rFonts w:eastAsia="方正小标宋简体"/>
          <w:kern w:val="0"/>
          <w:sz w:val="44"/>
          <w:szCs w:val="44"/>
        </w:rPr>
        <w:sectPr>
          <w:footerReference r:id="rId3" w:type="default"/>
          <w:pgSz w:w="11906" w:h="16838"/>
          <w:pgMar w:top="2098" w:right="1531" w:bottom="1985" w:left="1531" w:header="709" w:footer="1361" w:gutter="0"/>
          <w:pgNumType w:fmt="numberInDash"/>
          <w:cols w:space="425" w:num="1"/>
          <w:docGrid w:type="lines" w:linePitch="312" w:charSpace="0"/>
        </w:sectPr>
      </w:pPr>
    </w:p>
    <w:p w14:paraId="47B75609">
      <w:pPr>
        <w:rPr>
          <w:rFonts w:eastAsia="黑体"/>
          <w:kern w:val="0"/>
          <w:sz w:val="32"/>
          <w:szCs w:val="32"/>
        </w:rPr>
      </w:pPr>
      <w:r>
        <w:rPr>
          <w:rFonts w:eastAsia="黑体"/>
          <w:kern w:val="0"/>
          <w:sz w:val="32"/>
          <w:szCs w:val="32"/>
        </w:rPr>
        <w:t>附件：</w:t>
      </w:r>
    </w:p>
    <w:p w14:paraId="6EA7ADD5">
      <w:pPr>
        <w:jc w:val="center"/>
        <w:rPr>
          <w:rFonts w:ascii="Times New Roman" w:hAnsi="Times New Roman" w:eastAsia="方正小标宋简体"/>
          <w:kern w:val="0"/>
          <w:sz w:val="40"/>
          <w:szCs w:val="40"/>
        </w:rPr>
      </w:pPr>
      <w:r>
        <w:rPr>
          <w:rFonts w:ascii="Times New Roman" w:hAnsi="Times New Roman" w:eastAsia="方正小标宋简体"/>
          <w:kern w:val="0"/>
          <w:sz w:val="40"/>
          <w:szCs w:val="40"/>
        </w:rPr>
        <w:t>2024</w:t>
      </w:r>
      <w:r>
        <w:rPr>
          <w:rFonts w:ascii="Times New Roman" w:eastAsia="方正小标宋简体"/>
          <w:kern w:val="0"/>
          <w:sz w:val="40"/>
          <w:szCs w:val="40"/>
        </w:rPr>
        <w:t>年度</w:t>
      </w:r>
      <w:r>
        <w:rPr>
          <w:rFonts w:ascii="Times New Roman" w:hAnsi="Times New Roman" w:eastAsia="方正小标宋简体"/>
          <w:kern w:val="0"/>
          <w:sz w:val="40"/>
          <w:szCs w:val="40"/>
        </w:rPr>
        <w:t>“</w:t>
      </w:r>
      <w:r>
        <w:rPr>
          <w:rFonts w:ascii="Times New Roman" w:eastAsia="方正小标宋简体"/>
          <w:kern w:val="0"/>
          <w:sz w:val="40"/>
          <w:szCs w:val="40"/>
        </w:rPr>
        <w:t>服务</w:t>
      </w:r>
      <w:r>
        <w:rPr>
          <w:rFonts w:ascii="Times New Roman" w:hAnsi="Times New Roman" w:eastAsia="方正小标宋简体"/>
          <w:kern w:val="0"/>
          <w:sz w:val="40"/>
          <w:szCs w:val="40"/>
        </w:rPr>
        <w:t xml:space="preserve">532 </w:t>
      </w:r>
      <w:r>
        <w:rPr>
          <w:rFonts w:ascii="Times New Roman" w:eastAsia="方正小标宋简体"/>
          <w:kern w:val="0"/>
          <w:sz w:val="40"/>
          <w:szCs w:val="40"/>
        </w:rPr>
        <w:t>市监在行动</w:t>
      </w:r>
      <w:r>
        <w:rPr>
          <w:rFonts w:ascii="Times New Roman" w:hAnsi="Times New Roman" w:eastAsia="方正小标宋简体"/>
          <w:kern w:val="0"/>
          <w:sz w:val="40"/>
          <w:szCs w:val="40"/>
        </w:rPr>
        <w:t>”</w:t>
      </w:r>
      <w:r>
        <w:rPr>
          <w:rFonts w:ascii="Times New Roman" w:eastAsia="方正小标宋简体"/>
          <w:kern w:val="0"/>
          <w:sz w:val="40"/>
          <w:szCs w:val="40"/>
        </w:rPr>
        <w:t>项目清单</w:t>
      </w:r>
    </w:p>
    <w:tbl>
      <w:tblPr>
        <w:tblStyle w:val="6"/>
        <w:tblW w:w="15062" w:type="dxa"/>
        <w:jc w:val="center"/>
        <w:tblLayout w:type="fixed"/>
        <w:tblCellMar>
          <w:top w:w="0" w:type="dxa"/>
          <w:left w:w="108" w:type="dxa"/>
          <w:bottom w:w="0" w:type="dxa"/>
          <w:right w:w="108" w:type="dxa"/>
        </w:tblCellMar>
      </w:tblPr>
      <w:tblGrid>
        <w:gridCol w:w="530"/>
        <w:gridCol w:w="1481"/>
        <w:gridCol w:w="3508"/>
        <w:gridCol w:w="7391"/>
        <w:gridCol w:w="1086"/>
        <w:gridCol w:w="1066"/>
      </w:tblGrid>
      <w:tr w14:paraId="48007018">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A67DDEC">
            <w:pPr>
              <w:widowControl/>
              <w:snapToGrid w:val="0"/>
              <w:spacing w:line="280" w:lineRule="exact"/>
              <w:contextualSpacing/>
              <w:jc w:val="center"/>
              <w:rPr>
                <w:rFonts w:eastAsia="黑体"/>
                <w:kern w:val="0"/>
                <w:sz w:val="24"/>
              </w:rPr>
            </w:pPr>
            <w:r>
              <w:rPr>
                <w:rFonts w:eastAsia="黑体"/>
                <w:kern w:val="0"/>
                <w:sz w:val="24"/>
              </w:rPr>
              <w:t>序号</w:t>
            </w:r>
          </w:p>
        </w:tc>
        <w:tc>
          <w:tcPr>
            <w:tcW w:w="1481" w:type="dxa"/>
            <w:tcBorders>
              <w:top w:val="single" w:color="auto" w:sz="4" w:space="0"/>
              <w:left w:val="single" w:color="auto" w:sz="4" w:space="0"/>
              <w:bottom w:val="single" w:color="auto" w:sz="4" w:space="0"/>
              <w:right w:val="single" w:color="auto" w:sz="4" w:space="0"/>
            </w:tcBorders>
            <w:vAlign w:val="center"/>
          </w:tcPr>
          <w:p w14:paraId="6EA003D6">
            <w:pPr>
              <w:widowControl/>
              <w:snapToGrid w:val="0"/>
              <w:spacing w:line="280" w:lineRule="exact"/>
              <w:contextualSpacing/>
              <w:jc w:val="center"/>
              <w:rPr>
                <w:rFonts w:eastAsia="黑体"/>
                <w:kern w:val="0"/>
                <w:sz w:val="24"/>
              </w:rPr>
            </w:pPr>
            <w:r>
              <w:rPr>
                <w:rFonts w:eastAsia="黑体"/>
                <w:kern w:val="0"/>
                <w:sz w:val="24"/>
              </w:rPr>
              <w:t>项目</w:t>
            </w:r>
          </w:p>
          <w:p w14:paraId="2662E94D">
            <w:pPr>
              <w:widowControl/>
              <w:snapToGrid w:val="0"/>
              <w:spacing w:line="280" w:lineRule="exact"/>
              <w:contextualSpacing/>
              <w:jc w:val="center"/>
              <w:rPr>
                <w:rFonts w:eastAsia="黑体"/>
                <w:kern w:val="0"/>
                <w:sz w:val="24"/>
              </w:rPr>
            </w:pPr>
            <w:r>
              <w:rPr>
                <w:rFonts w:eastAsia="黑体"/>
                <w:kern w:val="0"/>
                <w:sz w:val="24"/>
              </w:rPr>
              <w:t>名称</w:t>
            </w:r>
          </w:p>
        </w:tc>
        <w:tc>
          <w:tcPr>
            <w:tcW w:w="3508" w:type="dxa"/>
            <w:tcBorders>
              <w:top w:val="single" w:color="auto" w:sz="4" w:space="0"/>
              <w:left w:val="single" w:color="auto" w:sz="4" w:space="0"/>
              <w:bottom w:val="single" w:color="auto" w:sz="4" w:space="0"/>
              <w:right w:val="single" w:color="auto" w:sz="4" w:space="0"/>
            </w:tcBorders>
            <w:vAlign w:val="center"/>
          </w:tcPr>
          <w:p w14:paraId="34ECEE55">
            <w:pPr>
              <w:widowControl/>
              <w:snapToGrid w:val="0"/>
              <w:spacing w:line="280" w:lineRule="exact"/>
              <w:contextualSpacing/>
              <w:jc w:val="center"/>
              <w:rPr>
                <w:rFonts w:eastAsia="黑体"/>
                <w:kern w:val="0"/>
                <w:sz w:val="24"/>
              </w:rPr>
            </w:pPr>
            <w:r>
              <w:rPr>
                <w:rFonts w:eastAsia="黑体"/>
                <w:kern w:val="0"/>
                <w:sz w:val="24"/>
              </w:rPr>
              <w:t>具体内容</w:t>
            </w:r>
          </w:p>
        </w:tc>
        <w:tc>
          <w:tcPr>
            <w:tcW w:w="7391" w:type="dxa"/>
            <w:tcBorders>
              <w:top w:val="single" w:color="auto" w:sz="4" w:space="0"/>
              <w:left w:val="single" w:color="auto" w:sz="4" w:space="0"/>
              <w:bottom w:val="single" w:color="auto" w:sz="4" w:space="0"/>
              <w:right w:val="single" w:color="auto" w:sz="4" w:space="0"/>
            </w:tcBorders>
            <w:vAlign w:val="center"/>
          </w:tcPr>
          <w:p w14:paraId="52E42221">
            <w:pPr>
              <w:widowControl/>
              <w:snapToGrid w:val="0"/>
              <w:spacing w:line="280" w:lineRule="exact"/>
              <w:contextualSpacing/>
              <w:jc w:val="center"/>
              <w:rPr>
                <w:rFonts w:eastAsia="黑体"/>
                <w:kern w:val="0"/>
                <w:sz w:val="24"/>
              </w:rPr>
            </w:pPr>
            <w:r>
              <w:rPr>
                <w:rFonts w:eastAsia="黑体"/>
                <w:kern w:val="0"/>
                <w:sz w:val="24"/>
              </w:rPr>
              <w:t>主要推进举措</w:t>
            </w:r>
          </w:p>
        </w:tc>
        <w:tc>
          <w:tcPr>
            <w:tcW w:w="1086" w:type="dxa"/>
            <w:tcBorders>
              <w:top w:val="single" w:color="auto" w:sz="4" w:space="0"/>
              <w:left w:val="single" w:color="auto" w:sz="4" w:space="0"/>
              <w:bottom w:val="single" w:color="auto" w:sz="4" w:space="0"/>
              <w:right w:val="single" w:color="auto" w:sz="4" w:space="0"/>
            </w:tcBorders>
            <w:vAlign w:val="center"/>
          </w:tcPr>
          <w:p w14:paraId="0D6027D3">
            <w:pPr>
              <w:widowControl/>
              <w:snapToGrid w:val="0"/>
              <w:spacing w:line="280" w:lineRule="exact"/>
              <w:contextualSpacing/>
              <w:jc w:val="center"/>
              <w:rPr>
                <w:rFonts w:eastAsia="黑体"/>
                <w:kern w:val="0"/>
                <w:sz w:val="24"/>
              </w:rPr>
            </w:pPr>
            <w:r>
              <w:rPr>
                <w:rFonts w:eastAsia="黑体"/>
                <w:kern w:val="0"/>
                <w:sz w:val="24"/>
              </w:rPr>
              <w:t>牵头</w:t>
            </w:r>
          </w:p>
          <w:p w14:paraId="5B689C2B">
            <w:pPr>
              <w:widowControl/>
              <w:snapToGrid w:val="0"/>
              <w:spacing w:line="280" w:lineRule="exact"/>
              <w:contextualSpacing/>
              <w:jc w:val="center"/>
              <w:rPr>
                <w:rFonts w:eastAsia="黑体"/>
                <w:kern w:val="0"/>
                <w:sz w:val="24"/>
              </w:rPr>
            </w:pPr>
            <w:r>
              <w:rPr>
                <w:rFonts w:eastAsia="黑体"/>
                <w:kern w:val="0"/>
                <w:sz w:val="24"/>
              </w:rPr>
              <w:t>部门</w:t>
            </w:r>
          </w:p>
        </w:tc>
        <w:tc>
          <w:tcPr>
            <w:tcW w:w="1066" w:type="dxa"/>
            <w:tcBorders>
              <w:top w:val="single" w:color="auto" w:sz="4" w:space="0"/>
              <w:left w:val="single" w:color="auto" w:sz="4" w:space="0"/>
              <w:bottom w:val="single" w:color="auto" w:sz="4" w:space="0"/>
              <w:right w:val="single" w:color="auto" w:sz="4" w:space="0"/>
            </w:tcBorders>
            <w:vAlign w:val="center"/>
          </w:tcPr>
          <w:p w14:paraId="64114FBB">
            <w:pPr>
              <w:widowControl/>
              <w:snapToGrid w:val="0"/>
              <w:spacing w:line="280" w:lineRule="exact"/>
              <w:contextualSpacing/>
              <w:jc w:val="center"/>
              <w:rPr>
                <w:rFonts w:eastAsia="黑体"/>
                <w:kern w:val="0"/>
                <w:sz w:val="24"/>
              </w:rPr>
            </w:pPr>
            <w:r>
              <w:rPr>
                <w:rFonts w:eastAsia="黑体"/>
                <w:kern w:val="0"/>
                <w:sz w:val="24"/>
              </w:rPr>
              <w:t>牵头</w:t>
            </w:r>
          </w:p>
          <w:p w14:paraId="29FE4C7D">
            <w:pPr>
              <w:widowControl/>
              <w:snapToGrid w:val="0"/>
              <w:spacing w:line="280" w:lineRule="exact"/>
              <w:contextualSpacing/>
              <w:jc w:val="center"/>
              <w:rPr>
                <w:rFonts w:eastAsia="黑体"/>
                <w:kern w:val="0"/>
                <w:sz w:val="24"/>
              </w:rPr>
            </w:pPr>
            <w:r>
              <w:rPr>
                <w:rFonts w:eastAsia="黑体"/>
                <w:kern w:val="0"/>
                <w:sz w:val="24"/>
              </w:rPr>
              <w:t>局领导</w:t>
            </w:r>
          </w:p>
        </w:tc>
      </w:tr>
      <w:tr w14:paraId="13120795">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9B912A5">
            <w:pPr>
              <w:widowControl/>
              <w:snapToGrid w:val="0"/>
              <w:spacing w:line="280" w:lineRule="exact"/>
              <w:contextualSpacing/>
              <w:jc w:val="center"/>
              <w:rPr>
                <w:rFonts w:eastAsia="黑体"/>
                <w:kern w:val="0"/>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6E463381">
            <w:pPr>
              <w:widowControl/>
              <w:snapToGrid w:val="0"/>
              <w:spacing w:line="280" w:lineRule="exact"/>
              <w:contextualSpacing/>
              <w:jc w:val="center"/>
              <w:rPr>
                <w:rFonts w:eastAsia="黑体"/>
                <w:kern w:val="0"/>
                <w:sz w:val="24"/>
              </w:rPr>
            </w:pPr>
          </w:p>
        </w:tc>
        <w:tc>
          <w:tcPr>
            <w:tcW w:w="13051" w:type="dxa"/>
            <w:gridSpan w:val="4"/>
            <w:tcBorders>
              <w:top w:val="single" w:color="auto" w:sz="4" w:space="0"/>
              <w:left w:val="single" w:color="auto" w:sz="4" w:space="0"/>
              <w:bottom w:val="single" w:color="auto" w:sz="4" w:space="0"/>
              <w:right w:val="single" w:color="auto" w:sz="4" w:space="0"/>
            </w:tcBorders>
            <w:vAlign w:val="center"/>
          </w:tcPr>
          <w:p w14:paraId="236D5269">
            <w:pPr>
              <w:widowControl/>
              <w:snapToGrid w:val="0"/>
              <w:spacing w:line="280" w:lineRule="exact"/>
              <w:contextualSpacing/>
              <w:jc w:val="center"/>
              <w:rPr>
                <w:rFonts w:eastAsia="楷体_GB2312"/>
                <w:sz w:val="32"/>
                <w:szCs w:val="32"/>
              </w:rPr>
            </w:pPr>
            <w:r>
              <w:rPr>
                <w:rFonts w:eastAsia="黑体"/>
                <w:kern w:val="0"/>
                <w:sz w:val="24"/>
              </w:rPr>
              <w:t>一、服务提质优营商</w:t>
            </w:r>
          </w:p>
        </w:tc>
      </w:tr>
      <w:tr w14:paraId="416C7484">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2D1EE3F9">
            <w:pPr>
              <w:widowControl/>
              <w:snapToGrid w:val="0"/>
              <w:spacing w:line="280" w:lineRule="exact"/>
              <w:contextualSpacing/>
              <w:jc w:val="center"/>
              <w:rPr>
                <w:rFonts w:eastAsia="黑体"/>
                <w:kern w:val="0"/>
                <w:sz w:val="24"/>
              </w:rPr>
            </w:pPr>
            <w:r>
              <w:rPr>
                <w:rFonts w:eastAsia="黑体"/>
                <w:kern w:val="0"/>
                <w:sz w:val="24"/>
              </w:rPr>
              <w:t>1</w:t>
            </w:r>
          </w:p>
        </w:tc>
        <w:tc>
          <w:tcPr>
            <w:tcW w:w="1481" w:type="dxa"/>
            <w:tcBorders>
              <w:top w:val="single" w:color="auto" w:sz="4" w:space="0"/>
              <w:left w:val="single" w:color="auto" w:sz="4" w:space="0"/>
              <w:bottom w:val="single" w:color="auto" w:sz="4" w:space="0"/>
              <w:right w:val="single" w:color="auto" w:sz="4" w:space="0"/>
            </w:tcBorders>
            <w:vAlign w:val="center"/>
          </w:tcPr>
          <w:p w14:paraId="73CD32CA">
            <w:pPr>
              <w:widowControl/>
              <w:snapToGrid w:val="0"/>
              <w:spacing w:line="280" w:lineRule="exact"/>
              <w:contextualSpacing/>
              <w:jc w:val="center"/>
              <w:rPr>
                <w:rFonts w:eastAsia="仿宋_GB2312"/>
                <w:color w:val="0070C0"/>
                <w:szCs w:val="21"/>
              </w:rPr>
            </w:pPr>
            <w:r>
              <w:rPr>
                <w:rFonts w:eastAsia="仿宋_GB2312"/>
                <w:szCs w:val="24"/>
              </w:rPr>
              <w:t>人才</w:t>
            </w:r>
            <w:r>
              <w:rPr>
                <w:rFonts w:eastAsia="仿宋_GB2312"/>
                <w:sz w:val="24"/>
                <w:szCs w:val="32"/>
                <w:vertAlign w:val="superscript"/>
              </w:rPr>
              <w:t>+</w:t>
            </w:r>
            <w:r>
              <w:rPr>
                <w:rFonts w:eastAsia="仿宋_GB2312"/>
                <w:szCs w:val="24"/>
              </w:rPr>
              <w:t>IP暖春护航行动</w:t>
            </w:r>
          </w:p>
        </w:tc>
        <w:tc>
          <w:tcPr>
            <w:tcW w:w="3508" w:type="dxa"/>
            <w:tcBorders>
              <w:top w:val="single" w:color="auto" w:sz="4" w:space="0"/>
              <w:left w:val="single" w:color="auto" w:sz="4" w:space="0"/>
              <w:bottom w:val="single" w:color="auto" w:sz="4" w:space="0"/>
              <w:right w:val="single" w:color="auto" w:sz="4" w:space="0"/>
            </w:tcBorders>
            <w:vAlign w:val="center"/>
          </w:tcPr>
          <w:p w14:paraId="33B38C25">
            <w:pPr>
              <w:widowControl/>
              <w:snapToGrid w:val="0"/>
              <w:spacing w:line="280" w:lineRule="exact"/>
              <w:contextualSpacing/>
              <w:jc w:val="left"/>
              <w:rPr>
                <w:rFonts w:eastAsia="仿宋_GB2312"/>
                <w:color w:val="0070C0"/>
                <w:szCs w:val="21"/>
              </w:rPr>
            </w:pPr>
            <w:r>
              <w:rPr>
                <w:rFonts w:eastAsia="仿宋_GB2312"/>
                <w:szCs w:val="24"/>
              </w:rPr>
              <w:t>通过多种措施服务全区知识产权人才和人才企业，推动知识产权与科技创新同频共振，以知识产权助力新质生产力发展。</w:t>
            </w:r>
          </w:p>
        </w:tc>
        <w:tc>
          <w:tcPr>
            <w:tcW w:w="7391" w:type="dxa"/>
            <w:tcBorders>
              <w:top w:val="single" w:color="auto" w:sz="4" w:space="0"/>
              <w:left w:val="single" w:color="auto" w:sz="4" w:space="0"/>
              <w:bottom w:val="single" w:color="auto" w:sz="4" w:space="0"/>
              <w:right w:val="single" w:color="auto" w:sz="4" w:space="0"/>
            </w:tcBorders>
            <w:vAlign w:val="center"/>
          </w:tcPr>
          <w:p w14:paraId="76987C51">
            <w:pPr>
              <w:widowControl/>
              <w:snapToGrid w:val="0"/>
              <w:spacing w:line="260" w:lineRule="exact"/>
              <w:contextualSpacing/>
              <w:jc w:val="left"/>
              <w:rPr>
                <w:rFonts w:eastAsia="仿宋_GB2312"/>
                <w:szCs w:val="24"/>
              </w:rPr>
            </w:pPr>
            <w:r>
              <w:rPr>
                <w:rFonts w:eastAsia="仿宋_GB2312"/>
                <w:szCs w:val="24"/>
              </w:rPr>
              <w:t>一季度：举办“知识产权与创新发展”沙龙，邀请部分人才企业创始人或知识产权分管负责人，与市知识产权协会、区知识产权导师团导师等各领域专业人士，就企业知识产权创造、运用、保护、管理等方面进行交流。</w:t>
            </w:r>
          </w:p>
          <w:p w14:paraId="06E97A42">
            <w:pPr>
              <w:widowControl/>
              <w:snapToGrid w:val="0"/>
              <w:spacing w:line="260" w:lineRule="exact"/>
              <w:contextualSpacing/>
              <w:jc w:val="left"/>
              <w:rPr>
                <w:rFonts w:eastAsia="仿宋_GB2312"/>
                <w:szCs w:val="24"/>
              </w:rPr>
            </w:pPr>
            <w:r>
              <w:rPr>
                <w:rFonts w:eastAsia="仿宋_GB2312"/>
                <w:szCs w:val="24"/>
              </w:rPr>
              <w:t>二季度：举办“人才企业知识产权专员”培训班，组织武进区人才企业内从事知识产权工作的实务人员，参与知识产权技能公益培训推动人才企业知识产权管理标准化；采取集中培训、精准辅导等方式，帮助企业及时线上贯标备案，建立贯标重点指导人才企业名录。</w:t>
            </w:r>
          </w:p>
          <w:p w14:paraId="58EB361F">
            <w:pPr>
              <w:widowControl/>
              <w:snapToGrid w:val="0"/>
              <w:spacing w:line="260" w:lineRule="exact"/>
              <w:contextualSpacing/>
              <w:jc w:val="left"/>
              <w:rPr>
                <w:rFonts w:eastAsia="仿宋_GB2312"/>
                <w:szCs w:val="24"/>
              </w:rPr>
            </w:pPr>
            <w:r>
              <w:rPr>
                <w:rFonts w:eastAsia="仿宋_GB2312"/>
                <w:szCs w:val="24"/>
              </w:rPr>
              <w:t>三季度：培育人才企业申报知识产权项目，推荐一批在知识产权方面有高质量创造成果的人才企业，申报省、市知识产权战略推进计划项目，及时参评省、市专利奖。</w:t>
            </w:r>
          </w:p>
          <w:p w14:paraId="04AAEB38">
            <w:pPr>
              <w:widowControl/>
              <w:snapToGrid w:val="0"/>
              <w:spacing w:line="260" w:lineRule="exact"/>
              <w:contextualSpacing/>
              <w:jc w:val="left"/>
              <w:rPr>
                <w:rFonts w:eastAsia="仿宋_GB2312"/>
                <w:color w:val="0070C0"/>
                <w:szCs w:val="21"/>
              </w:rPr>
            </w:pPr>
            <w:r>
              <w:rPr>
                <w:rFonts w:eastAsia="仿宋_GB2312"/>
                <w:szCs w:val="24"/>
              </w:rPr>
              <w:t>四季度：开展人才企业知识产权公益体检，指导企业制定知识产权相关规划，为人才企业提供商标、专利及相关知识产权体检报告等服务；建立人才企业知识产权强保护清单，针对享有知名品牌、高价值专利、高附加值商业秘密的重点人才企业，建立保护清单</w:t>
            </w:r>
          </w:p>
        </w:tc>
        <w:tc>
          <w:tcPr>
            <w:tcW w:w="1086" w:type="dxa"/>
            <w:tcBorders>
              <w:top w:val="single" w:color="auto" w:sz="4" w:space="0"/>
              <w:left w:val="single" w:color="auto" w:sz="4" w:space="0"/>
              <w:bottom w:val="single" w:color="auto" w:sz="4" w:space="0"/>
              <w:right w:val="single" w:color="auto" w:sz="4" w:space="0"/>
            </w:tcBorders>
            <w:vAlign w:val="center"/>
          </w:tcPr>
          <w:p w14:paraId="3D83DCEC">
            <w:pPr>
              <w:widowControl/>
              <w:snapToGrid w:val="0"/>
              <w:spacing w:line="280" w:lineRule="exact"/>
              <w:contextualSpacing/>
              <w:jc w:val="left"/>
              <w:rPr>
                <w:rFonts w:eastAsia="仿宋_GB2312"/>
                <w:szCs w:val="21"/>
              </w:rPr>
            </w:pPr>
            <w:r>
              <w:rPr>
                <w:rFonts w:eastAsia="仿宋_GB2312"/>
                <w:szCs w:val="21"/>
              </w:rPr>
              <w:t>知识产权监督管理科</w:t>
            </w:r>
          </w:p>
        </w:tc>
        <w:tc>
          <w:tcPr>
            <w:tcW w:w="1066" w:type="dxa"/>
            <w:tcBorders>
              <w:top w:val="single" w:color="auto" w:sz="4" w:space="0"/>
              <w:left w:val="single" w:color="auto" w:sz="4" w:space="0"/>
              <w:bottom w:val="single" w:color="auto" w:sz="4" w:space="0"/>
              <w:right w:val="single" w:color="auto" w:sz="4" w:space="0"/>
            </w:tcBorders>
            <w:vAlign w:val="center"/>
          </w:tcPr>
          <w:p w14:paraId="58DB5D99">
            <w:pPr>
              <w:widowControl/>
              <w:snapToGrid w:val="0"/>
              <w:spacing w:line="280" w:lineRule="exact"/>
              <w:contextualSpacing/>
              <w:jc w:val="left"/>
              <w:rPr>
                <w:rFonts w:eastAsia="仿宋_GB2312"/>
                <w:szCs w:val="21"/>
              </w:rPr>
            </w:pPr>
            <w:r>
              <w:rPr>
                <w:rFonts w:eastAsia="仿宋_GB2312"/>
                <w:szCs w:val="21"/>
              </w:rPr>
              <w:t>张利萍</w:t>
            </w:r>
          </w:p>
        </w:tc>
      </w:tr>
      <w:tr w14:paraId="205B69A3">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68C9434">
            <w:pPr>
              <w:widowControl/>
              <w:snapToGrid w:val="0"/>
              <w:spacing w:line="280" w:lineRule="exact"/>
              <w:contextualSpacing/>
              <w:jc w:val="center"/>
              <w:rPr>
                <w:rFonts w:eastAsia="黑体"/>
                <w:kern w:val="0"/>
                <w:sz w:val="24"/>
              </w:rPr>
            </w:pPr>
            <w:r>
              <w:rPr>
                <w:rFonts w:eastAsia="黑体"/>
                <w:kern w:val="0"/>
                <w:sz w:val="24"/>
              </w:rPr>
              <w:t>2</w:t>
            </w:r>
          </w:p>
        </w:tc>
        <w:tc>
          <w:tcPr>
            <w:tcW w:w="1481" w:type="dxa"/>
            <w:tcBorders>
              <w:top w:val="single" w:color="auto" w:sz="4" w:space="0"/>
              <w:left w:val="single" w:color="auto" w:sz="4" w:space="0"/>
              <w:bottom w:val="single" w:color="auto" w:sz="4" w:space="0"/>
              <w:right w:val="single" w:color="auto" w:sz="4" w:space="0"/>
            </w:tcBorders>
            <w:vAlign w:val="center"/>
          </w:tcPr>
          <w:p w14:paraId="6A67ADE7">
            <w:pPr>
              <w:widowControl/>
              <w:snapToGrid w:val="0"/>
              <w:spacing w:line="280" w:lineRule="exact"/>
              <w:contextualSpacing/>
              <w:jc w:val="left"/>
              <w:rPr>
                <w:rFonts w:hint="eastAsia" w:eastAsia="仿宋_GB2312"/>
                <w:szCs w:val="21"/>
              </w:rPr>
            </w:pPr>
            <w:r>
              <w:rPr>
                <w:rFonts w:eastAsia="仿宋_GB2312"/>
                <w:szCs w:val="21"/>
              </w:rPr>
              <w:t>质量管理标杆企业培育</w:t>
            </w:r>
            <w:r>
              <w:rPr>
                <w:rFonts w:hint="eastAsia" w:eastAsia="仿宋_GB2312"/>
                <w:szCs w:val="21"/>
              </w:rPr>
              <w:t>行动</w:t>
            </w:r>
          </w:p>
        </w:tc>
        <w:tc>
          <w:tcPr>
            <w:tcW w:w="3508" w:type="dxa"/>
            <w:tcBorders>
              <w:top w:val="single" w:color="auto" w:sz="4" w:space="0"/>
              <w:left w:val="single" w:color="auto" w:sz="4" w:space="0"/>
              <w:bottom w:val="single" w:color="auto" w:sz="4" w:space="0"/>
              <w:right w:val="single" w:color="auto" w:sz="4" w:space="0"/>
            </w:tcBorders>
            <w:vAlign w:val="center"/>
          </w:tcPr>
          <w:p w14:paraId="14C15BAA">
            <w:pPr>
              <w:widowControl/>
              <w:snapToGrid w:val="0"/>
              <w:spacing w:line="280" w:lineRule="exact"/>
              <w:contextualSpacing/>
              <w:jc w:val="left"/>
              <w:rPr>
                <w:rFonts w:eastAsia="仿宋_GB2312"/>
                <w:szCs w:val="21"/>
              </w:rPr>
            </w:pPr>
            <w:r>
              <w:rPr>
                <w:rFonts w:eastAsia="仿宋_GB2312"/>
                <w:szCs w:val="21"/>
              </w:rPr>
              <w:t>申报江苏省省长质量奖企业1-2家、市长质量奖企业3-5家，评定区长质量奖企业5家，争创“江苏精品”认证企业6-8家，争创质量信用AA级及以上企业5家。</w:t>
            </w:r>
          </w:p>
        </w:tc>
        <w:tc>
          <w:tcPr>
            <w:tcW w:w="7391" w:type="dxa"/>
            <w:tcBorders>
              <w:top w:val="single" w:color="auto" w:sz="4" w:space="0"/>
              <w:left w:val="single" w:color="auto" w:sz="4" w:space="0"/>
              <w:bottom w:val="single" w:color="auto" w:sz="4" w:space="0"/>
              <w:right w:val="single" w:color="auto" w:sz="4" w:space="0"/>
            </w:tcBorders>
            <w:vAlign w:val="center"/>
          </w:tcPr>
          <w:p w14:paraId="20171A79">
            <w:pPr>
              <w:widowControl/>
              <w:snapToGrid w:val="0"/>
              <w:spacing w:line="260" w:lineRule="exact"/>
              <w:contextualSpacing/>
              <w:jc w:val="left"/>
              <w:rPr>
                <w:rFonts w:eastAsia="仿宋_GB2312"/>
                <w:szCs w:val="21"/>
              </w:rPr>
            </w:pPr>
            <w:r>
              <w:rPr>
                <w:rFonts w:eastAsia="仿宋_GB2312"/>
                <w:szCs w:val="21"/>
              </w:rPr>
              <w:t>一季度：走访调研，鼓励企业申报省、市质量奖，动员企业开展“江苏精品”和“质量信用”申报工作。</w:t>
            </w:r>
          </w:p>
          <w:p w14:paraId="3FC4A875">
            <w:pPr>
              <w:widowControl/>
              <w:snapToGrid w:val="0"/>
              <w:spacing w:line="260" w:lineRule="exact"/>
              <w:contextualSpacing/>
              <w:jc w:val="left"/>
              <w:rPr>
                <w:rFonts w:eastAsia="仿宋_GB2312"/>
                <w:szCs w:val="21"/>
              </w:rPr>
            </w:pPr>
            <w:r>
              <w:rPr>
                <w:rFonts w:eastAsia="仿宋_GB2312"/>
                <w:szCs w:val="21"/>
              </w:rPr>
              <w:t>二季度：组织企业申报省、市质量奖，开展推荐“江苏精品”和“质量信用”重点培育企业工作。</w:t>
            </w:r>
          </w:p>
          <w:p w14:paraId="5F271ABF">
            <w:pPr>
              <w:widowControl/>
              <w:snapToGrid w:val="0"/>
              <w:spacing w:line="260" w:lineRule="exact"/>
              <w:contextualSpacing/>
              <w:jc w:val="left"/>
              <w:rPr>
                <w:rFonts w:eastAsia="仿宋_GB2312"/>
                <w:szCs w:val="21"/>
              </w:rPr>
            </w:pPr>
            <w:r>
              <w:rPr>
                <w:rFonts w:eastAsia="仿宋_GB2312"/>
                <w:szCs w:val="21"/>
              </w:rPr>
              <w:t>三季度：关注申报企业评审“江苏精品”和“质量信用”重点培育企业认证进展情况。</w:t>
            </w:r>
          </w:p>
          <w:p w14:paraId="05BBC20F">
            <w:pPr>
              <w:widowControl/>
              <w:snapToGrid w:val="0"/>
              <w:spacing w:line="260" w:lineRule="exact"/>
              <w:contextualSpacing/>
              <w:jc w:val="left"/>
              <w:rPr>
                <w:rFonts w:eastAsia="仿宋_GB2312"/>
                <w:szCs w:val="21"/>
              </w:rPr>
            </w:pPr>
            <w:r>
              <w:rPr>
                <w:rFonts w:eastAsia="仿宋_GB2312"/>
                <w:szCs w:val="21"/>
              </w:rPr>
              <w:t>四季度：关注申报企业评审和重点培育企业等级认定进展情况，开展区长质量奖评审相关工作。</w:t>
            </w:r>
          </w:p>
        </w:tc>
        <w:tc>
          <w:tcPr>
            <w:tcW w:w="1086" w:type="dxa"/>
            <w:tcBorders>
              <w:top w:val="single" w:color="auto" w:sz="4" w:space="0"/>
              <w:left w:val="single" w:color="auto" w:sz="4" w:space="0"/>
              <w:bottom w:val="single" w:color="auto" w:sz="4" w:space="0"/>
              <w:right w:val="single" w:color="auto" w:sz="4" w:space="0"/>
            </w:tcBorders>
            <w:vAlign w:val="center"/>
          </w:tcPr>
          <w:p w14:paraId="1BB7F1AA">
            <w:pPr>
              <w:widowControl/>
              <w:snapToGrid w:val="0"/>
              <w:spacing w:line="280" w:lineRule="exact"/>
              <w:contextualSpacing/>
              <w:jc w:val="left"/>
              <w:rPr>
                <w:rFonts w:eastAsia="仿宋_GB2312"/>
                <w:szCs w:val="21"/>
              </w:rPr>
            </w:pPr>
            <w:r>
              <w:rPr>
                <w:rFonts w:eastAsia="仿宋_GB2312"/>
                <w:szCs w:val="21"/>
              </w:rPr>
              <w:t>质量与标准计量监督管理科</w:t>
            </w:r>
          </w:p>
        </w:tc>
        <w:tc>
          <w:tcPr>
            <w:tcW w:w="1066" w:type="dxa"/>
            <w:tcBorders>
              <w:top w:val="single" w:color="auto" w:sz="4" w:space="0"/>
              <w:left w:val="single" w:color="auto" w:sz="4" w:space="0"/>
              <w:bottom w:val="single" w:color="auto" w:sz="4" w:space="0"/>
              <w:right w:val="single" w:color="auto" w:sz="4" w:space="0"/>
            </w:tcBorders>
            <w:vAlign w:val="center"/>
          </w:tcPr>
          <w:p w14:paraId="6F20DC94">
            <w:pPr>
              <w:widowControl/>
              <w:snapToGrid w:val="0"/>
              <w:spacing w:line="280" w:lineRule="exact"/>
              <w:contextualSpacing/>
              <w:jc w:val="left"/>
              <w:rPr>
                <w:rFonts w:eastAsia="仿宋_GB2312"/>
                <w:szCs w:val="21"/>
              </w:rPr>
            </w:pPr>
            <w:r>
              <w:rPr>
                <w:rFonts w:eastAsia="仿宋_GB2312"/>
                <w:szCs w:val="21"/>
              </w:rPr>
              <w:t>濮文伟</w:t>
            </w:r>
          </w:p>
        </w:tc>
      </w:tr>
      <w:tr w14:paraId="45016B29">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5327774">
            <w:pPr>
              <w:widowControl/>
              <w:snapToGrid w:val="0"/>
              <w:spacing w:line="280" w:lineRule="exact"/>
              <w:contextualSpacing/>
              <w:jc w:val="center"/>
              <w:rPr>
                <w:rFonts w:eastAsia="黑体"/>
                <w:kern w:val="0"/>
                <w:sz w:val="24"/>
              </w:rPr>
            </w:pPr>
            <w:r>
              <w:rPr>
                <w:rFonts w:eastAsia="黑体"/>
                <w:kern w:val="0"/>
                <w:sz w:val="24"/>
              </w:rPr>
              <w:t>3</w:t>
            </w:r>
          </w:p>
        </w:tc>
        <w:tc>
          <w:tcPr>
            <w:tcW w:w="1481" w:type="dxa"/>
            <w:tcBorders>
              <w:top w:val="single" w:color="auto" w:sz="4" w:space="0"/>
              <w:left w:val="single" w:color="auto" w:sz="4" w:space="0"/>
              <w:bottom w:val="single" w:color="auto" w:sz="4" w:space="0"/>
              <w:right w:val="single" w:color="auto" w:sz="4" w:space="0"/>
            </w:tcBorders>
            <w:vAlign w:val="center"/>
          </w:tcPr>
          <w:p w14:paraId="55BDEFCB">
            <w:pPr>
              <w:widowControl/>
              <w:snapToGrid w:val="0"/>
              <w:spacing w:line="280" w:lineRule="exact"/>
              <w:contextualSpacing/>
              <w:jc w:val="left"/>
              <w:rPr>
                <w:rFonts w:eastAsia="仿宋_GB2312"/>
                <w:szCs w:val="21"/>
              </w:rPr>
            </w:pPr>
            <w:r>
              <w:rPr>
                <w:rFonts w:eastAsia="仿宋_GB2312"/>
                <w:szCs w:val="21"/>
              </w:rPr>
              <w:t>强化标准引领</w:t>
            </w:r>
          </w:p>
        </w:tc>
        <w:tc>
          <w:tcPr>
            <w:tcW w:w="3508" w:type="dxa"/>
            <w:tcBorders>
              <w:top w:val="single" w:color="auto" w:sz="4" w:space="0"/>
              <w:left w:val="single" w:color="auto" w:sz="4" w:space="0"/>
              <w:bottom w:val="single" w:color="auto" w:sz="4" w:space="0"/>
              <w:right w:val="single" w:color="auto" w:sz="4" w:space="0"/>
            </w:tcBorders>
            <w:vAlign w:val="center"/>
          </w:tcPr>
          <w:p w14:paraId="782CA0E1">
            <w:pPr>
              <w:widowControl/>
              <w:snapToGrid w:val="0"/>
              <w:spacing w:line="240" w:lineRule="exact"/>
              <w:contextualSpacing/>
              <w:jc w:val="left"/>
              <w:rPr>
                <w:rFonts w:eastAsia="仿宋_GB2312"/>
                <w:szCs w:val="21"/>
              </w:rPr>
            </w:pPr>
            <w:r>
              <w:rPr>
                <w:rFonts w:eastAsia="仿宋_GB2312"/>
                <w:szCs w:val="21"/>
              </w:rPr>
              <w:t>参与制修订国家标准、行业标准、地方标准8项以上。</w:t>
            </w:r>
          </w:p>
        </w:tc>
        <w:tc>
          <w:tcPr>
            <w:tcW w:w="7391" w:type="dxa"/>
            <w:tcBorders>
              <w:top w:val="single" w:color="auto" w:sz="4" w:space="0"/>
              <w:left w:val="single" w:color="auto" w:sz="4" w:space="0"/>
              <w:bottom w:val="single" w:color="auto" w:sz="4" w:space="0"/>
              <w:right w:val="single" w:color="auto" w:sz="4" w:space="0"/>
            </w:tcBorders>
            <w:vAlign w:val="center"/>
          </w:tcPr>
          <w:p w14:paraId="3CAF53ED">
            <w:pPr>
              <w:widowControl/>
              <w:snapToGrid w:val="0"/>
              <w:spacing w:line="240" w:lineRule="exact"/>
              <w:contextualSpacing/>
              <w:jc w:val="left"/>
              <w:rPr>
                <w:rFonts w:eastAsia="仿宋_GB2312"/>
                <w:szCs w:val="21"/>
              </w:rPr>
            </w:pPr>
            <w:r>
              <w:rPr>
                <w:rFonts w:eastAsia="仿宋_GB2312"/>
                <w:szCs w:val="21"/>
              </w:rPr>
              <w:t>积极动员企业开展国家、行业、地方标准的研制工作。</w:t>
            </w:r>
          </w:p>
        </w:tc>
        <w:tc>
          <w:tcPr>
            <w:tcW w:w="1086" w:type="dxa"/>
            <w:tcBorders>
              <w:top w:val="single" w:color="auto" w:sz="4" w:space="0"/>
              <w:left w:val="single" w:color="auto" w:sz="4" w:space="0"/>
              <w:bottom w:val="single" w:color="auto" w:sz="4" w:space="0"/>
              <w:right w:val="single" w:color="auto" w:sz="4" w:space="0"/>
            </w:tcBorders>
            <w:vAlign w:val="center"/>
          </w:tcPr>
          <w:p w14:paraId="28F49DE4">
            <w:pPr>
              <w:widowControl/>
              <w:snapToGrid w:val="0"/>
              <w:spacing w:line="280" w:lineRule="exact"/>
              <w:contextualSpacing/>
              <w:jc w:val="left"/>
              <w:rPr>
                <w:rFonts w:eastAsia="仿宋_GB2312"/>
                <w:szCs w:val="21"/>
              </w:rPr>
            </w:pPr>
            <w:r>
              <w:rPr>
                <w:rFonts w:eastAsia="仿宋_GB2312"/>
                <w:szCs w:val="21"/>
              </w:rPr>
              <w:t>质量与标准计量监督管理科</w:t>
            </w:r>
          </w:p>
        </w:tc>
        <w:tc>
          <w:tcPr>
            <w:tcW w:w="1066" w:type="dxa"/>
            <w:tcBorders>
              <w:top w:val="single" w:color="auto" w:sz="4" w:space="0"/>
              <w:left w:val="single" w:color="auto" w:sz="4" w:space="0"/>
              <w:bottom w:val="single" w:color="auto" w:sz="4" w:space="0"/>
              <w:right w:val="single" w:color="auto" w:sz="4" w:space="0"/>
            </w:tcBorders>
            <w:vAlign w:val="center"/>
          </w:tcPr>
          <w:p w14:paraId="39B235CF">
            <w:pPr>
              <w:widowControl/>
              <w:snapToGrid w:val="0"/>
              <w:spacing w:line="280" w:lineRule="exact"/>
              <w:contextualSpacing/>
              <w:jc w:val="left"/>
              <w:rPr>
                <w:rFonts w:eastAsia="仿宋_GB2312"/>
                <w:szCs w:val="21"/>
              </w:rPr>
            </w:pPr>
            <w:r>
              <w:rPr>
                <w:rFonts w:eastAsia="仿宋_GB2312"/>
                <w:szCs w:val="21"/>
              </w:rPr>
              <w:t>濮文伟</w:t>
            </w:r>
          </w:p>
        </w:tc>
      </w:tr>
      <w:tr w14:paraId="58DCA977">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FE1A1DD">
            <w:pPr>
              <w:widowControl/>
              <w:snapToGrid w:val="0"/>
              <w:spacing w:line="280" w:lineRule="exact"/>
              <w:contextualSpacing/>
              <w:jc w:val="center"/>
              <w:rPr>
                <w:rFonts w:eastAsia="黑体"/>
                <w:kern w:val="0"/>
                <w:sz w:val="24"/>
              </w:rPr>
            </w:pPr>
            <w:r>
              <w:rPr>
                <w:rFonts w:eastAsia="黑体"/>
                <w:kern w:val="0"/>
                <w:sz w:val="24"/>
              </w:rPr>
              <w:t>4</w:t>
            </w:r>
          </w:p>
        </w:tc>
        <w:tc>
          <w:tcPr>
            <w:tcW w:w="1481" w:type="dxa"/>
            <w:tcBorders>
              <w:top w:val="single" w:color="auto" w:sz="4" w:space="0"/>
              <w:left w:val="single" w:color="auto" w:sz="4" w:space="0"/>
              <w:bottom w:val="single" w:color="auto" w:sz="4" w:space="0"/>
              <w:right w:val="single" w:color="auto" w:sz="4" w:space="0"/>
            </w:tcBorders>
            <w:vAlign w:val="center"/>
          </w:tcPr>
          <w:p w14:paraId="41FBEB67">
            <w:pPr>
              <w:widowControl/>
              <w:snapToGrid w:val="0"/>
              <w:spacing w:line="280" w:lineRule="exact"/>
              <w:contextualSpacing/>
              <w:jc w:val="left"/>
              <w:rPr>
                <w:rFonts w:eastAsia="仿宋_GB2312"/>
                <w:szCs w:val="21"/>
              </w:rPr>
            </w:pPr>
            <w:r>
              <w:rPr>
                <w:rFonts w:eastAsia="仿宋_GB2312"/>
                <w:szCs w:val="21"/>
              </w:rPr>
              <w:t>提供征信服务</w:t>
            </w:r>
          </w:p>
        </w:tc>
        <w:tc>
          <w:tcPr>
            <w:tcW w:w="3508" w:type="dxa"/>
            <w:tcBorders>
              <w:top w:val="single" w:color="auto" w:sz="4" w:space="0"/>
              <w:left w:val="single" w:color="auto" w:sz="4" w:space="0"/>
              <w:bottom w:val="single" w:color="auto" w:sz="4" w:space="0"/>
              <w:right w:val="single" w:color="auto" w:sz="4" w:space="0"/>
            </w:tcBorders>
            <w:vAlign w:val="center"/>
          </w:tcPr>
          <w:p w14:paraId="005D0FCA">
            <w:pPr>
              <w:widowControl/>
              <w:snapToGrid w:val="0"/>
              <w:spacing w:line="240" w:lineRule="exact"/>
              <w:contextualSpacing/>
              <w:jc w:val="left"/>
              <w:rPr>
                <w:rFonts w:eastAsia="仿宋_GB2312"/>
                <w:szCs w:val="21"/>
              </w:rPr>
            </w:pPr>
            <w:r>
              <w:rPr>
                <w:rFonts w:eastAsia="仿宋_GB2312"/>
                <w:szCs w:val="21"/>
              </w:rPr>
              <w:t>常态化实现我局信息资源的社会利用工作。</w:t>
            </w:r>
          </w:p>
        </w:tc>
        <w:tc>
          <w:tcPr>
            <w:tcW w:w="7391" w:type="dxa"/>
            <w:tcBorders>
              <w:top w:val="single" w:color="auto" w:sz="4" w:space="0"/>
              <w:left w:val="single" w:color="auto" w:sz="4" w:space="0"/>
              <w:bottom w:val="single" w:color="auto" w:sz="4" w:space="0"/>
              <w:right w:val="single" w:color="auto" w:sz="4" w:space="0"/>
            </w:tcBorders>
            <w:vAlign w:val="center"/>
          </w:tcPr>
          <w:p w14:paraId="310DA898">
            <w:pPr>
              <w:widowControl/>
              <w:snapToGrid w:val="0"/>
              <w:spacing w:line="240" w:lineRule="exact"/>
              <w:contextualSpacing/>
              <w:jc w:val="left"/>
              <w:rPr>
                <w:rFonts w:eastAsia="仿宋_GB2312"/>
                <w:szCs w:val="21"/>
              </w:rPr>
            </w:pPr>
            <w:r>
              <w:rPr>
                <w:rFonts w:eastAsia="仿宋_GB2312"/>
                <w:szCs w:val="21"/>
              </w:rPr>
              <w:t>为市场主体提供征信服务，保护信息主体合法权益，服务企业、服务我区经济发展。</w:t>
            </w:r>
          </w:p>
        </w:tc>
        <w:tc>
          <w:tcPr>
            <w:tcW w:w="1086" w:type="dxa"/>
            <w:tcBorders>
              <w:top w:val="single" w:color="auto" w:sz="4" w:space="0"/>
              <w:left w:val="single" w:color="auto" w:sz="4" w:space="0"/>
              <w:bottom w:val="single" w:color="auto" w:sz="4" w:space="0"/>
              <w:right w:val="single" w:color="auto" w:sz="4" w:space="0"/>
            </w:tcBorders>
            <w:vAlign w:val="center"/>
          </w:tcPr>
          <w:p w14:paraId="4791FA49">
            <w:pPr>
              <w:widowControl/>
              <w:snapToGrid w:val="0"/>
              <w:spacing w:line="280" w:lineRule="exact"/>
              <w:contextualSpacing/>
              <w:jc w:val="left"/>
              <w:rPr>
                <w:rFonts w:eastAsia="仿宋_GB2312"/>
                <w:szCs w:val="21"/>
              </w:rPr>
            </w:pPr>
            <w:r>
              <w:rPr>
                <w:rFonts w:eastAsia="仿宋_GB2312"/>
                <w:szCs w:val="21"/>
              </w:rPr>
              <w:t>信息中心</w:t>
            </w:r>
          </w:p>
        </w:tc>
        <w:tc>
          <w:tcPr>
            <w:tcW w:w="1066" w:type="dxa"/>
            <w:tcBorders>
              <w:top w:val="single" w:color="auto" w:sz="4" w:space="0"/>
              <w:left w:val="single" w:color="auto" w:sz="4" w:space="0"/>
              <w:bottom w:val="single" w:color="auto" w:sz="4" w:space="0"/>
              <w:right w:val="single" w:color="auto" w:sz="4" w:space="0"/>
            </w:tcBorders>
            <w:vAlign w:val="center"/>
          </w:tcPr>
          <w:p w14:paraId="6C4507E3">
            <w:pPr>
              <w:widowControl/>
              <w:snapToGrid w:val="0"/>
              <w:spacing w:line="280" w:lineRule="exact"/>
              <w:contextualSpacing/>
              <w:jc w:val="left"/>
              <w:rPr>
                <w:rFonts w:eastAsia="仿宋_GB2312"/>
                <w:szCs w:val="21"/>
              </w:rPr>
            </w:pPr>
            <w:r>
              <w:rPr>
                <w:rFonts w:eastAsia="仿宋_GB2312"/>
                <w:szCs w:val="21"/>
              </w:rPr>
              <w:t>濮文伟</w:t>
            </w:r>
          </w:p>
        </w:tc>
      </w:tr>
      <w:tr w14:paraId="35952B90">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086A8702">
            <w:pPr>
              <w:widowControl/>
              <w:snapToGrid w:val="0"/>
              <w:spacing w:line="280" w:lineRule="exact"/>
              <w:contextualSpacing/>
              <w:jc w:val="center"/>
              <w:rPr>
                <w:rFonts w:eastAsia="黑体"/>
                <w:kern w:val="0"/>
                <w:sz w:val="24"/>
              </w:rPr>
            </w:pPr>
            <w:r>
              <w:rPr>
                <w:rFonts w:eastAsia="黑体"/>
                <w:kern w:val="0"/>
                <w:sz w:val="24"/>
              </w:rPr>
              <w:t>5</w:t>
            </w:r>
          </w:p>
        </w:tc>
        <w:tc>
          <w:tcPr>
            <w:tcW w:w="1481" w:type="dxa"/>
            <w:tcBorders>
              <w:top w:val="single" w:color="auto" w:sz="4" w:space="0"/>
              <w:left w:val="single" w:color="auto" w:sz="4" w:space="0"/>
              <w:bottom w:val="single" w:color="auto" w:sz="4" w:space="0"/>
              <w:right w:val="single" w:color="auto" w:sz="4" w:space="0"/>
            </w:tcBorders>
            <w:vAlign w:val="center"/>
          </w:tcPr>
          <w:p w14:paraId="58E46475">
            <w:pPr>
              <w:widowControl/>
              <w:snapToGrid w:val="0"/>
              <w:spacing w:line="280" w:lineRule="exact"/>
              <w:contextualSpacing/>
              <w:jc w:val="left"/>
              <w:rPr>
                <w:rFonts w:eastAsia="仿宋_GB2312"/>
                <w:szCs w:val="21"/>
              </w:rPr>
            </w:pPr>
            <w:r>
              <w:rPr>
                <w:rFonts w:eastAsia="仿宋_GB2312"/>
                <w:szCs w:val="21"/>
              </w:rPr>
              <w:t>开展合规指导行动</w:t>
            </w:r>
          </w:p>
        </w:tc>
        <w:tc>
          <w:tcPr>
            <w:tcW w:w="3508" w:type="dxa"/>
            <w:tcBorders>
              <w:top w:val="single" w:color="auto" w:sz="4" w:space="0"/>
              <w:left w:val="single" w:color="auto" w:sz="4" w:space="0"/>
              <w:bottom w:val="single" w:color="auto" w:sz="4" w:space="0"/>
              <w:right w:val="single" w:color="auto" w:sz="4" w:space="0"/>
            </w:tcBorders>
            <w:vAlign w:val="center"/>
          </w:tcPr>
          <w:p w14:paraId="306BE47B">
            <w:pPr>
              <w:widowControl/>
              <w:snapToGrid w:val="0"/>
              <w:spacing w:line="240" w:lineRule="exact"/>
              <w:contextualSpacing/>
              <w:jc w:val="left"/>
              <w:rPr>
                <w:rFonts w:eastAsia="仿宋_GB2312"/>
                <w:szCs w:val="21"/>
              </w:rPr>
            </w:pPr>
            <w:r>
              <w:rPr>
                <w:rFonts w:eastAsia="仿宋_GB2312"/>
                <w:szCs w:val="21"/>
              </w:rPr>
              <w:t>通过投诉举报的分析研判，采取集体培训、媒体宣传、上门服务等方式，对市场主体开展合规指导，提高经营主体发展质量，优化营商环境。</w:t>
            </w:r>
          </w:p>
        </w:tc>
        <w:tc>
          <w:tcPr>
            <w:tcW w:w="7391" w:type="dxa"/>
            <w:tcBorders>
              <w:top w:val="single" w:color="auto" w:sz="4" w:space="0"/>
              <w:left w:val="single" w:color="auto" w:sz="4" w:space="0"/>
              <w:bottom w:val="single" w:color="auto" w:sz="4" w:space="0"/>
              <w:right w:val="single" w:color="auto" w:sz="4" w:space="0"/>
            </w:tcBorders>
            <w:vAlign w:val="center"/>
          </w:tcPr>
          <w:p w14:paraId="70814218">
            <w:pPr>
              <w:widowControl/>
              <w:snapToGrid w:val="0"/>
              <w:spacing w:line="240" w:lineRule="exact"/>
              <w:contextualSpacing/>
              <w:jc w:val="left"/>
              <w:rPr>
                <w:rFonts w:eastAsia="仿宋_GB2312"/>
                <w:szCs w:val="21"/>
              </w:rPr>
            </w:pPr>
            <w:r>
              <w:rPr>
                <w:rFonts w:hint="eastAsia" w:eastAsia="仿宋_GB2312"/>
                <w:szCs w:val="21"/>
              </w:rPr>
              <w:t>一是</w:t>
            </w:r>
            <w:r>
              <w:rPr>
                <w:rFonts w:eastAsia="仿宋_GB2312"/>
                <w:szCs w:val="21"/>
              </w:rPr>
              <w:t>制作合规提示，及时发布给企业知晓。</w:t>
            </w:r>
          </w:p>
          <w:p w14:paraId="3821D3B2">
            <w:pPr>
              <w:widowControl/>
              <w:snapToGrid w:val="0"/>
              <w:spacing w:line="240" w:lineRule="exact"/>
              <w:contextualSpacing/>
              <w:jc w:val="left"/>
              <w:rPr>
                <w:rFonts w:eastAsia="仿宋_GB2312"/>
                <w:szCs w:val="21"/>
              </w:rPr>
            </w:pPr>
            <w:r>
              <w:rPr>
                <w:rFonts w:hint="eastAsia" w:eastAsia="仿宋_GB2312"/>
                <w:szCs w:val="21"/>
              </w:rPr>
              <w:t>二是</w:t>
            </w:r>
            <w:r>
              <w:rPr>
                <w:rFonts w:eastAsia="仿宋_GB2312"/>
                <w:szCs w:val="21"/>
              </w:rPr>
              <w:t>走进企业分析投诉举报产生原因，助力企业规范售后服务，保护消费者合法权益。</w:t>
            </w:r>
          </w:p>
          <w:p w14:paraId="7B961CBE">
            <w:pPr>
              <w:widowControl/>
              <w:snapToGrid w:val="0"/>
              <w:spacing w:line="240" w:lineRule="exact"/>
              <w:contextualSpacing/>
              <w:jc w:val="left"/>
              <w:rPr>
                <w:rFonts w:eastAsia="仿宋_GB2312"/>
                <w:szCs w:val="21"/>
              </w:rPr>
            </w:pPr>
            <w:r>
              <w:rPr>
                <w:rFonts w:hint="eastAsia" w:eastAsia="仿宋_GB2312"/>
                <w:szCs w:val="21"/>
              </w:rPr>
              <w:t>三是</w:t>
            </w:r>
            <w:r>
              <w:rPr>
                <w:rFonts w:eastAsia="仿宋_GB2312"/>
                <w:szCs w:val="21"/>
              </w:rPr>
              <w:t>指导企业合理、合法、有效应对职业投诉举报，降低企业经营风险。</w:t>
            </w:r>
          </w:p>
        </w:tc>
        <w:tc>
          <w:tcPr>
            <w:tcW w:w="1086" w:type="dxa"/>
            <w:tcBorders>
              <w:top w:val="single" w:color="auto" w:sz="4" w:space="0"/>
              <w:left w:val="single" w:color="auto" w:sz="4" w:space="0"/>
              <w:bottom w:val="single" w:color="auto" w:sz="4" w:space="0"/>
              <w:right w:val="single" w:color="auto" w:sz="4" w:space="0"/>
            </w:tcBorders>
            <w:vAlign w:val="center"/>
          </w:tcPr>
          <w:p w14:paraId="4CE8F768">
            <w:pPr>
              <w:widowControl/>
              <w:snapToGrid w:val="0"/>
              <w:spacing w:line="280" w:lineRule="exact"/>
              <w:contextualSpacing/>
              <w:jc w:val="left"/>
              <w:rPr>
                <w:rFonts w:eastAsia="仿宋_GB2312"/>
                <w:szCs w:val="21"/>
              </w:rPr>
            </w:pPr>
            <w:r>
              <w:rPr>
                <w:rFonts w:eastAsia="仿宋_GB2312"/>
                <w:szCs w:val="21"/>
              </w:rPr>
              <w:t>执法大队（消保中心）</w:t>
            </w:r>
          </w:p>
        </w:tc>
        <w:tc>
          <w:tcPr>
            <w:tcW w:w="1066" w:type="dxa"/>
            <w:tcBorders>
              <w:top w:val="single" w:color="auto" w:sz="4" w:space="0"/>
              <w:left w:val="single" w:color="auto" w:sz="4" w:space="0"/>
              <w:bottom w:val="single" w:color="auto" w:sz="4" w:space="0"/>
              <w:right w:val="single" w:color="auto" w:sz="4" w:space="0"/>
            </w:tcBorders>
            <w:vAlign w:val="center"/>
          </w:tcPr>
          <w:p w14:paraId="6B4317E9">
            <w:pPr>
              <w:widowControl/>
              <w:snapToGrid w:val="0"/>
              <w:spacing w:line="280" w:lineRule="exact"/>
              <w:contextualSpacing/>
              <w:jc w:val="left"/>
              <w:rPr>
                <w:rFonts w:eastAsia="仿宋_GB2312"/>
                <w:szCs w:val="21"/>
              </w:rPr>
            </w:pPr>
            <w:r>
              <w:rPr>
                <w:rFonts w:eastAsia="仿宋_GB2312"/>
                <w:szCs w:val="21"/>
              </w:rPr>
              <w:t>束建刚</w:t>
            </w:r>
          </w:p>
        </w:tc>
      </w:tr>
      <w:tr w14:paraId="5F45D01E">
        <w:tblPrEx>
          <w:tblCellMar>
            <w:top w:w="0" w:type="dxa"/>
            <w:left w:w="108" w:type="dxa"/>
            <w:bottom w:w="0" w:type="dxa"/>
            <w:right w:w="108" w:type="dxa"/>
          </w:tblCellMar>
        </w:tblPrEx>
        <w:trPr>
          <w:trHeight w:val="58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0C990A39">
            <w:pPr>
              <w:widowControl/>
              <w:snapToGrid w:val="0"/>
              <w:spacing w:line="280" w:lineRule="exact"/>
              <w:contextualSpacing/>
              <w:jc w:val="center"/>
              <w:rPr>
                <w:rFonts w:eastAsia="黑体"/>
                <w:kern w:val="0"/>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461887C3">
            <w:pPr>
              <w:widowControl/>
              <w:snapToGrid w:val="0"/>
              <w:spacing w:line="280" w:lineRule="exact"/>
              <w:contextualSpacing/>
              <w:jc w:val="center"/>
              <w:rPr>
                <w:rFonts w:eastAsia="黑体"/>
                <w:color w:val="0070C0"/>
                <w:kern w:val="0"/>
                <w:sz w:val="24"/>
              </w:rPr>
            </w:pPr>
          </w:p>
        </w:tc>
        <w:tc>
          <w:tcPr>
            <w:tcW w:w="13051" w:type="dxa"/>
            <w:gridSpan w:val="4"/>
            <w:tcBorders>
              <w:top w:val="single" w:color="auto" w:sz="4" w:space="0"/>
              <w:left w:val="single" w:color="auto" w:sz="4" w:space="0"/>
              <w:bottom w:val="single" w:color="auto" w:sz="4" w:space="0"/>
              <w:right w:val="single" w:color="auto" w:sz="4" w:space="0"/>
            </w:tcBorders>
            <w:vAlign w:val="center"/>
          </w:tcPr>
          <w:p w14:paraId="6BA9D5C9">
            <w:pPr>
              <w:widowControl/>
              <w:snapToGrid w:val="0"/>
              <w:spacing w:line="280" w:lineRule="exact"/>
              <w:contextualSpacing/>
              <w:jc w:val="center"/>
              <w:rPr>
                <w:rFonts w:eastAsia="黑体"/>
                <w:color w:val="0070C0"/>
                <w:kern w:val="0"/>
                <w:sz w:val="24"/>
              </w:rPr>
            </w:pPr>
            <w:r>
              <w:rPr>
                <w:rFonts w:eastAsia="黑体"/>
                <w:kern w:val="0"/>
                <w:sz w:val="24"/>
              </w:rPr>
              <w:t>二、监管提效优环境</w:t>
            </w:r>
          </w:p>
        </w:tc>
      </w:tr>
      <w:tr w14:paraId="6740BBED">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AEDAC51">
            <w:pPr>
              <w:widowControl/>
              <w:snapToGrid w:val="0"/>
              <w:spacing w:line="280" w:lineRule="exact"/>
              <w:contextualSpacing/>
              <w:jc w:val="center"/>
              <w:rPr>
                <w:rFonts w:eastAsia="黑体"/>
                <w:kern w:val="0"/>
                <w:sz w:val="24"/>
              </w:rPr>
            </w:pPr>
            <w:r>
              <w:rPr>
                <w:rFonts w:eastAsia="黑体"/>
                <w:kern w:val="0"/>
                <w:sz w:val="24"/>
              </w:rPr>
              <w:t>6</w:t>
            </w:r>
          </w:p>
        </w:tc>
        <w:tc>
          <w:tcPr>
            <w:tcW w:w="1481" w:type="dxa"/>
            <w:tcBorders>
              <w:top w:val="single" w:color="auto" w:sz="4" w:space="0"/>
              <w:left w:val="single" w:color="auto" w:sz="4" w:space="0"/>
              <w:bottom w:val="single" w:color="auto" w:sz="4" w:space="0"/>
              <w:right w:val="single" w:color="auto" w:sz="4" w:space="0"/>
            </w:tcBorders>
            <w:vAlign w:val="center"/>
          </w:tcPr>
          <w:p w14:paraId="2B0C3922">
            <w:pPr>
              <w:widowControl/>
              <w:snapToGrid w:val="0"/>
              <w:spacing w:line="280" w:lineRule="exact"/>
              <w:contextualSpacing/>
              <w:jc w:val="left"/>
              <w:rPr>
                <w:rFonts w:eastAsia="仿宋_GB2312"/>
                <w:szCs w:val="21"/>
              </w:rPr>
            </w:pPr>
            <w:r>
              <w:rPr>
                <w:rFonts w:eastAsia="仿宋_GB2312"/>
                <w:szCs w:val="21"/>
              </w:rPr>
              <w:t>深化信用提升行动</w:t>
            </w:r>
          </w:p>
        </w:tc>
        <w:tc>
          <w:tcPr>
            <w:tcW w:w="3508" w:type="dxa"/>
            <w:tcBorders>
              <w:top w:val="single" w:color="auto" w:sz="4" w:space="0"/>
              <w:left w:val="single" w:color="auto" w:sz="4" w:space="0"/>
              <w:bottom w:val="single" w:color="auto" w:sz="4" w:space="0"/>
              <w:right w:val="single" w:color="auto" w:sz="4" w:space="0"/>
            </w:tcBorders>
          </w:tcPr>
          <w:p w14:paraId="68007AFF">
            <w:pPr>
              <w:widowControl/>
              <w:snapToGrid w:val="0"/>
              <w:spacing w:line="240" w:lineRule="exact"/>
              <w:contextualSpacing/>
              <w:rPr>
                <w:rFonts w:eastAsia="仿宋_GB2312"/>
                <w:szCs w:val="21"/>
              </w:rPr>
            </w:pPr>
            <w:r>
              <w:rPr>
                <w:rFonts w:eastAsia="仿宋_GB2312"/>
                <w:szCs w:val="21"/>
              </w:rPr>
              <w:t>加快经营主体信用体系基础制度建设，补足信用建设链条薄弱环节，推动形成信用监管和信用建设闭环体系。加大信用培育力度，加快信用环境塑造，提高经营主体信用水平，形成守信重信的市场氛围。优化信用服务，提升信用修复效能，完善守信激励机制，提高守信经营主体的获得感。实施包容审慎、宽严适度信用监管，形成鼓励发展、鼓励创新、无事不扰、适度容错的监管环境。</w:t>
            </w:r>
          </w:p>
        </w:tc>
        <w:tc>
          <w:tcPr>
            <w:tcW w:w="7391" w:type="dxa"/>
            <w:tcBorders>
              <w:top w:val="single" w:color="auto" w:sz="4" w:space="0"/>
              <w:left w:val="single" w:color="auto" w:sz="4" w:space="0"/>
              <w:bottom w:val="single" w:color="auto" w:sz="4" w:space="0"/>
              <w:right w:val="single" w:color="auto" w:sz="4" w:space="0"/>
            </w:tcBorders>
            <w:vAlign w:val="center"/>
          </w:tcPr>
          <w:p w14:paraId="53921CBC">
            <w:pPr>
              <w:widowControl/>
              <w:snapToGrid w:val="0"/>
              <w:spacing w:line="280" w:lineRule="exact"/>
              <w:contextualSpacing/>
              <w:jc w:val="left"/>
              <w:rPr>
                <w:rFonts w:eastAsia="仿宋_GB2312"/>
                <w:szCs w:val="24"/>
              </w:rPr>
            </w:pPr>
            <w:r>
              <w:rPr>
                <w:rFonts w:eastAsia="仿宋_GB2312"/>
                <w:szCs w:val="24"/>
              </w:rPr>
              <w:t>一季度：梳理经营主体信用基础数据，制定信用提升具体实施方案。</w:t>
            </w:r>
          </w:p>
          <w:p w14:paraId="5380BE11">
            <w:pPr>
              <w:widowControl/>
              <w:snapToGrid w:val="0"/>
              <w:spacing w:line="280" w:lineRule="exact"/>
              <w:contextualSpacing/>
              <w:jc w:val="left"/>
              <w:rPr>
                <w:rFonts w:eastAsia="仿宋_GB2312"/>
                <w:szCs w:val="24"/>
              </w:rPr>
            </w:pPr>
            <w:r>
              <w:rPr>
                <w:rFonts w:eastAsia="仿宋_GB2312"/>
                <w:szCs w:val="24"/>
              </w:rPr>
              <w:t>二季度：加大信用培育力度，组织失信企业培训。制定适度容错信用监管机制。</w:t>
            </w:r>
          </w:p>
          <w:p w14:paraId="0EC43AD4">
            <w:pPr>
              <w:widowControl/>
              <w:snapToGrid w:val="0"/>
              <w:spacing w:line="280" w:lineRule="exact"/>
              <w:contextualSpacing/>
              <w:jc w:val="left"/>
              <w:rPr>
                <w:rFonts w:eastAsia="仿宋_GB2312"/>
                <w:szCs w:val="24"/>
              </w:rPr>
            </w:pPr>
            <w:r>
              <w:rPr>
                <w:rFonts w:eastAsia="仿宋_GB2312"/>
                <w:szCs w:val="24"/>
              </w:rPr>
              <w:t>三季度：开展差异化信用监管，推动守信奖惩制度发挥作用。</w:t>
            </w:r>
          </w:p>
          <w:p w14:paraId="107F3002">
            <w:pPr>
              <w:widowControl/>
              <w:snapToGrid w:val="0"/>
              <w:spacing w:line="280" w:lineRule="exact"/>
              <w:contextualSpacing/>
              <w:jc w:val="left"/>
              <w:rPr>
                <w:rFonts w:eastAsia="仿宋_GB2312"/>
                <w:color w:val="0070C0"/>
                <w:szCs w:val="21"/>
              </w:rPr>
            </w:pPr>
            <w:r>
              <w:rPr>
                <w:rFonts w:eastAsia="仿宋_GB2312"/>
                <w:szCs w:val="24"/>
              </w:rPr>
              <w:t>四季度：总结提升相关工作，谋划下年度信用提升行动方案。</w:t>
            </w:r>
          </w:p>
        </w:tc>
        <w:tc>
          <w:tcPr>
            <w:tcW w:w="1086" w:type="dxa"/>
            <w:tcBorders>
              <w:top w:val="single" w:color="auto" w:sz="4" w:space="0"/>
              <w:left w:val="single" w:color="auto" w:sz="4" w:space="0"/>
              <w:bottom w:val="single" w:color="auto" w:sz="4" w:space="0"/>
              <w:right w:val="single" w:color="auto" w:sz="4" w:space="0"/>
            </w:tcBorders>
            <w:vAlign w:val="center"/>
          </w:tcPr>
          <w:p w14:paraId="0FFC6995">
            <w:pPr>
              <w:widowControl/>
              <w:snapToGrid w:val="0"/>
              <w:spacing w:line="280" w:lineRule="exact"/>
              <w:contextualSpacing/>
              <w:jc w:val="left"/>
              <w:rPr>
                <w:rFonts w:eastAsia="仿宋_GB2312"/>
                <w:szCs w:val="21"/>
              </w:rPr>
            </w:pPr>
            <w:r>
              <w:rPr>
                <w:rFonts w:eastAsia="仿宋_GB2312"/>
                <w:szCs w:val="21"/>
              </w:rPr>
              <w:t>信用监管科</w:t>
            </w:r>
          </w:p>
        </w:tc>
        <w:tc>
          <w:tcPr>
            <w:tcW w:w="1066" w:type="dxa"/>
            <w:tcBorders>
              <w:top w:val="single" w:color="auto" w:sz="4" w:space="0"/>
              <w:left w:val="single" w:color="auto" w:sz="4" w:space="0"/>
              <w:bottom w:val="single" w:color="auto" w:sz="4" w:space="0"/>
              <w:right w:val="single" w:color="auto" w:sz="4" w:space="0"/>
            </w:tcBorders>
            <w:vAlign w:val="center"/>
          </w:tcPr>
          <w:p w14:paraId="11166E27">
            <w:pPr>
              <w:widowControl/>
              <w:snapToGrid w:val="0"/>
              <w:spacing w:line="280" w:lineRule="exact"/>
              <w:contextualSpacing/>
              <w:jc w:val="left"/>
              <w:rPr>
                <w:rFonts w:eastAsia="仿宋_GB2312"/>
                <w:szCs w:val="21"/>
              </w:rPr>
            </w:pPr>
            <w:r>
              <w:rPr>
                <w:rFonts w:eastAsia="仿宋_GB2312"/>
                <w:szCs w:val="21"/>
              </w:rPr>
              <w:t>张利萍</w:t>
            </w:r>
          </w:p>
        </w:tc>
      </w:tr>
      <w:tr w14:paraId="31874897">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2821D1E3">
            <w:pPr>
              <w:widowControl/>
              <w:snapToGrid w:val="0"/>
              <w:spacing w:line="280" w:lineRule="exact"/>
              <w:contextualSpacing/>
              <w:jc w:val="center"/>
              <w:rPr>
                <w:rFonts w:eastAsia="黑体"/>
                <w:kern w:val="0"/>
                <w:sz w:val="24"/>
              </w:rPr>
            </w:pPr>
            <w:r>
              <w:rPr>
                <w:rFonts w:eastAsia="黑体"/>
                <w:kern w:val="0"/>
                <w:sz w:val="24"/>
              </w:rPr>
              <w:t>7</w:t>
            </w:r>
          </w:p>
        </w:tc>
        <w:tc>
          <w:tcPr>
            <w:tcW w:w="1481" w:type="dxa"/>
            <w:tcBorders>
              <w:top w:val="single" w:color="auto" w:sz="4" w:space="0"/>
              <w:left w:val="single" w:color="auto" w:sz="4" w:space="0"/>
              <w:bottom w:val="single" w:color="auto" w:sz="4" w:space="0"/>
              <w:right w:val="single" w:color="auto" w:sz="4" w:space="0"/>
            </w:tcBorders>
            <w:vAlign w:val="center"/>
          </w:tcPr>
          <w:p w14:paraId="267B69A4">
            <w:pPr>
              <w:widowControl/>
              <w:snapToGrid w:val="0"/>
              <w:spacing w:line="280" w:lineRule="exact"/>
              <w:contextualSpacing/>
              <w:jc w:val="left"/>
              <w:rPr>
                <w:rFonts w:eastAsia="仿宋_GB2312"/>
                <w:color w:val="0070C0"/>
                <w:szCs w:val="21"/>
              </w:rPr>
            </w:pPr>
            <w:r>
              <w:rPr>
                <w:rFonts w:eastAsia="仿宋_GB2312"/>
                <w:szCs w:val="21"/>
              </w:rPr>
              <w:t>强化重点领域广告整治</w:t>
            </w:r>
          </w:p>
        </w:tc>
        <w:tc>
          <w:tcPr>
            <w:tcW w:w="3508" w:type="dxa"/>
            <w:tcBorders>
              <w:top w:val="single" w:color="auto" w:sz="4" w:space="0"/>
              <w:left w:val="single" w:color="auto" w:sz="4" w:space="0"/>
              <w:bottom w:val="single" w:color="auto" w:sz="4" w:space="0"/>
              <w:right w:val="single" w:color="auto" w:sz="4" w:space="0"/>
            </w:tcBorders>
            <w:vAlign w:val="center"/>
          </w:tcPr>
          <w:p w14:paraId="79790E8B">
            <w:pPr>
              <w:widowControl/>
              <w:snapToGrid w:val="0"/>
              <w:spacing w:line="240" w:lineRule="exact"/>
              <w:contextualSpacing/>
              <w:jc w:val="left"/>
              <w:rPr>
                <w:rFonts w:eastAsia="仿宋_GB2312"/>
                <w:color w:val="0070C0"/>
                <w:szCs w:val="21"/>
              </w:rPr>
            </w:pPr>
            <w:r>
              <w:rPr>
                <w:rFonts w:eastAsia="仿宋_GB2312"/>
                <w:szCs w:val="21"/>
              </w:rPr>
              <w:t>聚焦重点领域广告监管，持续开展广告导向、医疗、校外培训、非法金融、长江禁渔等重点领域广告专项整治工作，严厉打击各类虚假违法广告，切实规范广告经营秩序，净化广告市场环境。</w:t>
            </w:r>
          </w:p>
        </w:tc>
        <w:tc>
          <w:tcPr>
            <w:tcW w:w="7391" w:type="dxa"/>
            <w:tcBorders>
              <w:top w:val="single" w:color="auto" w:sz="4" w:space="0"/>
              <w:left w:val="single" w:color="auto" w:sz="4" w:space="0"/>
              <w:bottom w:val="single" w:color="auto" w:sz="4" w:space="0"/>
              <w:right w:val="single" w:color="auto" w:sz="4" w:space="0"/>
            </w:tcBorders>
            <w:vAlign w:val="center"/>
          </w:tcPr>
          <w:p w14:paraId="22AFF177">
            <w:pPr>
              <w:widowControl/>
              <w:snapToGrid w:val="0"/>
              <w:spacing w:line="240" w:lineRule="exact"/>
              <w:contextualSpacing/>
              <w:jc w:val="left"/>
              <w:rPr>
                <w:rFonts w:eastAsia="仿宋_GB2312"/>
                <w:szCs w:val="21"/>
              </w:rPr>
            </w:pPr>
            <w:r>
              <w:rPr>
                <w:rFonts w:hint="eastAsia" w:eastAsia="仿宋_GB2312"/>
                <w:szCs w:val="21"/>
              </w:rPr>
              <w:t>一是</w:t>
            </w:r>
            <w:r>
              <w:rPr>
                <w:rFonts w:eastAsia="仿宋_GB2312"/>
                <w:szCs w:val="21"/>
              </w:rPr>
              <w:t>加强广告导向监管。强化宣传引导，做好事前防范，把牢广告宣传的正确政治方向、舆论导向和价值取向，促进全社会对“广告宣传也要讲导向”形成广泛认同。对涉及导向问题的广告及商业营销宣传零容忍、出重拳，保持监管执法高压态势。</w:t>
            </w:r>
          </w:p>
          <w:p w14:paraId="307A7464">
            <w:pPr>
              <w:widowControl/>
              <w:snapToGrid w:val="0"/>
              <w:spacing w:line="240" w:lineRule="exact"/>
              <w:contextualSpacing/>
              <w:jc w:val="left"/>
              <w:rPr>
                <w:rFonts w:eastAsia="仿宋_GB2312"/>
                <w:szCs w:val="21"/>
              </w:rPr>
            </w:pPr>
            <w:r>
              <w:rPr>
                <w:rFonts w:hint="eastAsia" w:eastAsia="仿宋_GB2312"/>
                <w:szCs w:val="21"/>
              </w:rPr>
              <w:t>二是</w:t>
            </w:r>
            <w:r>
              <w:rPr>
                <w:rFonts w:eastAsia="仿宋_GB2312"/>
                <w:szCs w:val="21"/>
              </w:rPr>
              <w:t>加强医疗领域虚假违法广告治理。针对医疗领域广告宣传行为存在的问题，加大监管整治力度。召开医疗广告行政约谈指导会，抓好广告主和广告发布者的主体责任。加强对基层分局在互联网领域医疗广告等监管难题的业务指导。</w:t>
            </w:r>
          </w:p>
          <w:p w14:paraId="20833E67">
            <w:pPr>
              <w:widowControl/>
              <w:snapToGrid w:val="0"/>
              <w:spacing w:line="240" w:lineRule="exact"/>
              <w:contextualSpacing/>
              <w:jc w:val="left"/>
              <w:rPr>
                <w:rFonts w:eastAsia="仿宋_GB2312"/>
                <w:i/>
                <w:iCs/>
                <w:szCs w:val="21"/>
              </w:rPr>
            </w:pPr>
            <w:r>
              <w:rPr>
                <w:rFonts w:hint="eastAsia" w:eastAsia="仿宋_GB2312"/>
                <w:szCs w:val="21"/>
              </w:rPr>
              <w:t>三是</w:t>
            </w:r>
            <w:r>
              <w:rPr>
                <w:rFonts w:eastAsia="仿宋_GB2312"/>
                <w:szCs w:val="21"/>
              </w:rPr>
              <w:t>深入推进校外培训广告管控。进一步加强教育培训和危害青少年身心健康广告监测监管，按照“六禁止、六不得”的要求，全面禁止针对中小学生的学科类和非学科类广告发布。</w:t>
            </w:r>
          </w:p>
          <w:p w14:paraId="2E9D0EF7">
            <w:pPr>
              <w:widowControl/>
              <w:snapToGrid w:val="0"/>
              <w:spacing w:line="240" w:lineRule="exact"/>
              <w:contextualSpacing/>
              <w:jc w:val="left"/>
              <w:rPr>
                <w:rFonts w:eastAsia="仿宋_GB2312"/>
                <w:color w:val="0070C0"/>
                <w:szCs w:val="21"/>
              </w:rPr>
            </w:pPr>
            <w:r>
              <w:rPr>
                <w:rFonts w:hint="eastAsia" w:eastAsia="仿宋_GB2312"/>
                <w:szCs w:val="21"/>
              </w:rPr>
              <w:t>四是</w:t>
            </w:r>
            <w:r>
              <w:rPr>
                <w:rFonts w:eastAsia="仿宋_GB2312"/>
                <w:szCs w:val="21"/>
              </w:rPr>
              <w:t>配合开展非法金融、长江禁渔等重点领域相关工作。</w:t>
            </w:r>
          </w:p>
        </w:tc>
        <w:tc>
          <w:tcPr>
            <w:tcW w:w="1086" w:type="dxa"/>
            <w:tcBorders>
              <w:top w:val="single" w:color="auto" w:sz="4" w:space="0"/>
              <w:left w:val="single" w:color="auto" w:sz="4" w:space="0"/>
              <w:bottom w:val="single" w:color="auto" w:sz="4" w:space="0"/>
              <w:right w:val="single" w:color="auto" w:sz="4" w:space="0"/>
            </w:tcBorders>
            <w:vAlign w:val="center"/>
          </w:tcPr>
          <w:p w14:paraId="00D246EB">
            <w:pPr>
              <w:widowControl/>
              <w:snapToGrid w:val="0"/>
              <w:spacing w:line="280" w:lineRule="exact"/>
              <w:contextualSpacing/>
              <w:jc w:val="left"/>
              <w:rPr>
                <w:rFonts w:eastAsia="仿宋_GB2312"/>
                <w:szCs w:val="21"/>
              </w:rPr>
            </w:pPr>
            <w:r>
              <w:rPr>
                <w:rFonts w:eastAsia="仿宋_GB2312"/>
                <w:szCs w:val="21"/>
              </w:rPr>
              <w:t>市场与网络交易监管科（广告监管科）</w:t>
            </w:r>
          </w:p>
        </w:tc>
        <w:tc>
          <w:tcPr>
            <w:tcW w:w="1066" w:type="dxa"/>
            <w:tcBorders>
              <w:top w:val="single" w:color="auto" w:sz="4" w:space="0"/>
              <w:left w:val="single" w:color="auto" w:sz="4" w:space="0"/>
              <w:bottom w:val="single" w:color="auto" w:sz="4" w:space="0"/>
              <w:right w:val="single" w:color="auto" w:sz="4" w:space="0"/>
            </w:tcBorders>
            <w:vAlign w:val="center"/>
          </w:tcPr>
          <w:p w14:paraId="65793591">
            <w:pPr>
              <w:widowControl/>
              <w:snapToGrid w:val="0"/>
              <w:spacing w:line="280" w:lineRule="exact"/>
              <w:contextualSpacing/>
              <w:jc w:val="left"/>
              <w:rPr>
                <w:rFonts w:eastAsia="仿宋_GB2312"/>
                <w:szCs w:val="21"/>
              </w:rPr>
            </w:pPr>
            <w:r>
              <w:rPr>
                <w:rFonts w:eastAsia="仿宋_GB2312"/>
                <w:szCs w:val="21"/>
              </w:rPr>
              <w:t>上官欣</w:t>
            </w:r>
          </w:p>
        </w:tc>
      </w:tr>
      <w:tr w14:paraId="605A5544">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7EEE53E">
            <w:pPr>
              <w:widowControl/>
              <w:snapToGrid w:val="0"/>
              <w:spacing w:line="280" w:lineRule="exact"/>
              <w:contextualSpacing/>
              <w:jc w:val="center"/>
              <w:rPr>
                <w:rFonts w:eastAsia="黑体"/>
                <w:kern w:val="0"/>
                <w:sz w:val="24"/>
              </w:rPr>
            </w:pPr>
            <w:r>
              <w:rPr>
                <w:rFonts w:eastAsia="黑体"/>
                <w:kern w:val="0"/>
                <w:sz w:val="24"/>
              </w:rPr>
              <w:t>8</w:t>
            </w:r>
          </w:p>
        </w:tc>
        <w:tc>
          <w:tcPr>
            <w:tcW w:w="1481" w:type="dxa"/>
            <w:tcBorders>
              <w:top w:val="single" w:color="auto" w:sz="4" w:space="0"/>
              <w:left w:val="single" w:color="auto" w:sz="4" w:space="0"/>
              <w:bottom w:val="single" w:color="auto" w:sz="4" w:space="0"/>
              <w:right w:val="single" w:color="auto" w:sz="4" w:space="0"/>
            </w:tcBorders>
            <w:vAlign w:val="center"/>
          </w:tcPr>
          <w:p w14:paraId="542F87C9">
            <w:pPr>
              <w:widowControl/>
              <w:snapToGrid w:val="0"/>
              <w:spacing w:line="280" w:lineRule="exact"/>
              <w:contextualSpacing/>
              <w:jc w:val="left"/>
              <w:rPr>
                <w:rFonts w:eastAsia="黑体"/>
                <w:kern w:val="0"/>
                <w:sz w:val="24"/>
              </w:rPr>
            </w:pPr>
            <w:r>
              <w:rPr>
                <w:rFonts w:eastAsia="仿宋_GB2312"/>
                <w:szCs w:val="24"/>
              </w:rPr>
              <w:t>网络市场监管专项行动</w:t>
            </w:r>
          </w:p>
        </w:tc>
        <w:tc>
          <w:tcPr>
            <w:tcW w:w="3508" w:type="dxa"/>
            <w:tcBorders>
              <w:top w:val="single" w:color="auto" w:sz="4" w:space="0"/>
              <w:left w:val="single" w:color="auto" w:sz="4" w:space="0"/>
              <w:bottom w:val="single" w:color="auto" w:sz="4" w:space="0"/>
              <w:right w:val="single" w:color="auto" w:sz="4" w:space="0"/>
            </w:tcBorders>
            <w:vAlign w:val="center"/>
          </w:tcPr>
          <w:p w14:paraId="69A07CFF">
            <w:pPr>
              <w:widowControl/>
              <w:snapToGrid w:val="0"/>
              <w:spacing w:line="280" w:lineRule="exact"/>
              <w:contextualSpacing/>
              <w:jc w:val="left"/>
              <w:rPr>
                <w:rFonts w:eastAsia="黑体"/>
                <w:kern w:val="0"/>
                <w:sz w:val="24"/>
              </w:rPr>
            </w:pPr>
            <w:r>
              <w:rPr>
                <w:rFonts w:eastAsia="仿宋_GB2312"/>
                <w:szCs w:val="21"/>
              </w:rPr>
              <w:t>深入贯彻落实党中央、国务院关于平台经济常态化监管的决策部署，联合开展2024年网络市场监管专项行动，进一步规范网络市场秩序，守牢安全底线，优化网络消费环境和营商环境，促进网络消费持续恢复，增强网络市场发展信心。</w:t>
            </w:r>
          </w:p>
        </w:tc>
        <w:tc>
          <w:tcPr>
            <w:tcW w:w="7391" w:type="dxa"/>
            <w:tcBorders>
              <w:top w:val="single" w:color="auto" w:sz="4" w:space="0"/>
              <w:left w:val="single" w:color="auto" w:sz="4" w:space="0"/>
              <w:bottom w:val="single" w:color="auto" w:sz="4" w:space="0"/>
              <w:right w:val="single" w:color="auto" w:sz="4" w:space="0"/>
            </w:tcBorders>
            <w:vAlign w:val="center"/>
          </w:tcPr>
          <w:p w14:paraId="6692B642">
            <w:pPr>
              <w:widowControl/>
              <w:snapToGrid w:val="0"/>
              <w:spacing w:line="280" w:lineRule="exact"/>
              <w:contextualSpacing/>
              <w:rPr>
                <w:rFonts w:eastAsia="仿宋_GB2312"/>
                <w:szCs w:val="21"/>
              </w:rPr>
            </w:pPr>
            <w:r>
              <w:rPr>
                <w:rFonts w:hint="eastAsia" w:eastAsia="仿宋_GB2312"/>
                <w:szCs w:val="21"/>
              </w:rPr>
              <w:t>一是</w:t>
            </w:r>
            <w:r>
              <w:rPr>
                <w:rFonts w:eastAsia="仿宋_GB2312"/>
                <w:szCs w:val="21"/>
              </w:rPr>
              <w:t>牵头协调、联合开展2024年全区网络市场监管专项行动，明确各部门工作重点和要求，确保专项行动在全区范围内取得成效。</w:t>
            </w:r>
          </w:p>
          <w:p w14:paraId="774ABA0C">
            <w:pPr>
              <w:widowControl/>
              <w:snapToGrid w:val="0"/>
              <w:spacing w:line="280" w:lineRule="exact"/>
              <w:contextualSpacing/>
              <w:rPr>
                <w:rFonts w:eastAsia="黑体"/>
                <w:kern w:val="0"/>
                <w:sz w:val="24"/>
              </w:rPr>
            </w:pPr>
            <w:r>
              <w:rPr>
                <w:rFonts w:hint="eastAsia" w:eastAsia="仿宋_GB2312"/>
                <w:szCs w:val="21"/>
              </w:rPr>
              <w:t>二是</w:t>
            </w:r>
            <w:r>
              <w:rPr>
                <w:rFonts w:eastAsia="仿宋_GB2312"/>
                <w:szCs w:val="21"/>
              </w:rPr>
              <w:t>牵头制定我局2024年网络市场监管专项行动方案，明确各有关业务科室职责分工，整合监管资源，围绕重点扎实开展专项行动。</w:t>
            </w:r>
          </w:p>
          <w:p w14:paraId="67C1B105">
            <w:pPr>
              <w:widowControl/>
              <w:snapToGrid w:val="0"/>
              <w:spacing w:line="280" w:lineRule="exact"/>
              <w:contextualSpacing/>
              <w:rPr>
                <w:rFonts w:eastAsia="黑体"/>
                <w:kern w:val="0"/>
                <w:sz w:val="24"/>
              </w:rPr>
            </w:pPr>
            <w:r>
              <w:rPr>
                <w:rFonts w:hint="eastAsia" w:eastAsia="仿宋_GB2312"/>
                <w:szCs w:val="21"/>
              </w:rPr>
              <w:t>三是</w:t>
            </w:r>
            <w:r>
              <w:rPr>
                <w:rFonts w:eastAsia="仿宋_GB2312"/>
                <w:szCs w:val="21"/>
              </w:rPr>
              <w:t>持续开展网络市场巡查监管。依托“江苏省网络交易监测管理系统”等，持续开展网站、网店、微信公众号等网络市场主体的基础数据库维护工作，掌握全区网络主体数据。紧扣重点任务，深入开展监测排查，整治网络市场违法行为，规范网络市场经营秩序。结合双随机检查、日常监管等工作，强化对网络市场主体的实地检查，推动线上线下一体化监管。</w:t>
            </w:r>
          </w:p>
        </w:tc>
        <w:tc>
          <w:tcPr>
            <w:tcW w:w="1086" w:type="dxa"/>
            <w:tcBorders>
              <w:top w:val="single" w:color="auto" w:sz="4" w:space="0"/>
              <w:left w:val="single" w:color="auto" w:sz="4" w:space="0"/>
              <w:bottom w:val="single" w:color="auto" w:sz="4" w:space="0"/>
              <w:right w:val="single" w:color="auto" w:sz="4" w:space="0"/>
            </w:tcBorders>
            <w:vAlign w:val="center"/>
          </w:tcPr>
          <w:p w14:paraId="7E99A68A">
            <w:pPr>
              <w:widowControl/>
              <w:snapToGrid w:val="0"/>
              <w:spacing w:line="280" w:lineRule="exact"/>
              <w:contextualSpacing/>
              <w:jc w:val="left"/>
              <w:rPr>
                <w:rFonts w:eastAsia="黑体"/>
                <w:kern w:val="0"/>
                <w:sz w:val="24"/>
              </w:rPr>
            </w:pPr>
            <w:r>
              <w:rPr>
                <w:rFonts w:eastAsia="仿宋_GB2312"/>
                <w:szCs w:val="24"/>
              </w:rPr>
              <w:t>市场与网络交易监管科（广告监管科）</w:t>
            </w:r>
          </w:p>
        </w:tc>
        <w:tc>
          <w:tcPr>
            <w:tcW w:w="1066" w:type="dxa"/>
            <w:tcBorders>
              <w:top w:val="single" w:color="auto" w:sz="4" w:space="0"/>
              <w:left w:val="single" w:color="auto" w:sz="4" w:space="0"/>
              <w:bottom w:val="single" w:color="auto" w:sz="4" w:space="0"/>
              <w:right w:val="single" w:color="auto" w:sz="4" w:space="0"/>
            </w:tcBorders>
            <w:vAlign w:val="center"/>
          </w:tcPr>
          <w:p w14:paraId="64414064">
            <w:pPr>
              <w:widowControl/>
              <w:snapToGrid w:val="0"/>
              <w:spacing w:line="280" w:lineRule="exact"/>
              <w:contextualSpacing/>
              <w:jc w:val="center"/>
              <w:rPr>
                <w:rFonts w:eastAsia="黑体"/>
                <w:kern w:val="0"/>
                <w:sz w:val="24"/>
              </w:rPr>
            </w:pPr>
            <w:r>
              <w:rPr>
                <w:rFonts w:eastAsia="仿宋_GB2312"/>
                <w:szCs w:val="24"/>
              </w:rPr>
              <w:t>上官欣</w:t>
            </w:r>
          </w:p>
        </w:tc>
      </w:tr>
      <w:tr w14:paraId="1E844EB4">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2359960C">
            <w:pPr>
              <w:widowControl/>
              <w:snapToGrid w:val="0"/>
              <w:spacing w:line="280" w:lineRule="exact"/>
              <w:contextualSpacing/>
              <w:jc w:val="center"/>
              <w:rPr>
                <w:rFonts w:eastAsia="黑体"/>
                <w:kern w:val="0"/>
                <w:sz w:val="24"/>
              </w:rPr>
            </w:pPr>
            <w:r>
              <w:rPr>
                <w:rFonts w:eastAsia="黑体"/>
                <w:kern w:val="0"/>
                <w:sz w:val="24"/>
              </w:rPr>
              <w:t>9</w:t>
            </w:r>
          </w:p>
        </w:tc>
        <w:tc>
          <w:tcPr>
            <w:tcW w:w="1481" w:type="dxa"/>
            <w:tcBorders>
              <w:top w:val="single" w:color="auto" w:sz="4" w:space="0"/>
              <w:left w:val="single" w:color="auto" w:sz="4" w:space="0"/>
              <w:bottom w:val="single" w:color="auto" w:sz="4" w:space="0"/>
              <w:right w:val="single" w:color="auto" w:sz="4" w:space="0"/>
            </w:tcBorders>
            <w:vAlign w:val="center"/>
          </w:tcPr>
          <w:p w14:paraId="6FA57A83">
            <w:pPr>
              <w:widowControl/>
              <w:snapToGrid w:val="0"/>
              <w:spacing w:line="280" w:lineRule="exact"/>
              <w:contextualSpacing/>
              <w:jc w:val="left"/>
              <w:rPr>
                <w:rFonts w:eastAsia="仿宋_GB2312"/>
                <w:szCs w:val="24"/>
              </w:rPr>
            </w:pPr>
            <w:r>
              <w:rPr>
                <w:rFonts w:eastAsia="仿宋_GB2312"/>
                <w:szCs w:val="24"/>
              </w:rPr>
              <w:t>涉企收费专项整治</w:t>
            </w:r>
          </w:p>
        </w:tc>
        <w:tc>
          <w:tcPr>
            <w:tcW w:w="3508" w:type="dxa"/>
            <w:tcBorders>
              <w:top w:val="single" w:color="auto" w:sz="4" w:space="0"/>
              <w:left w:val="single" w:color="auto" w:sz="4" w:space="0"/>
              <w:bottom w:val="single" w:color="auto" w:sz="4" w:space="0"/>
              <w:right w:val="single" w:color="auto" w:sz="4" w:space="0"/>
            </w:tcBorders>
            <w:vAlign w:val="center"/>
          </w:tcPr>
          <w:p w14:paraId="1D1494A7">
            <w:pPr>
              <w:widowControl/>
              <w:snapToGrid w:val="0"/>
              <w:spacing w:line="280" w:lineRule="exact"/>
              <w:contextualSpacing/>
              <w:jc w:val="left"/>
              <w:rPr>
                <w:rFonts w:eastAsia="仿宋_GB2312"/>
                <w:szCs w:val="24"/>
              </w:rPr>
            </w:pPr>
            <w:r>
              <w:rPr>
                <w:rFonts w:eastAsia="仿宋_GB2312"/>
                <w:szCs w:val="24"/>
              </w:rPr>
              <w:t>围绕国家和省市出台的各类稳定经济、助企纾困政策的落地见效，推动各项优惠政策不折不扣落实落细，查处涉企收费违法违规问题，持续巩固涉企收费长效监管。</w:t>
            </w:r>
          </w:p>
        </w:tc>
        <w:tc>
          <w:tcPr>
            <w:tcW w:w="7391" w:type="dxa"/>
            <w:tcBorders>
              <w:top w:val="single" w:color="auto" w:sz="4" w:space="0"/>
              <w:left w:val="single" w:color="auto" w:sz="4" w:space="0"/>
              <w:bottom w:val="single" w:color="auto" w:sz="4" w:space="0"/>
              <w:right w:val="single" w:color="auto" w:sz="4" w:space="0"/>
            </w:tcBorders>
            <w:vAlign w:val="center"/>
          </w:tcPr>
          <w:p w14:paraId="1A439DCA">
            <w:pPr>
              <w:widowControl/>
              <w:snapToGrid w:val="0"/>
              <w:spacing w:line="280" w:lineRule="exact"/>
              <w:contextualSpacing/>
              <w:jc w:val="left"/>
              <w:rPr>
                <w:rFonts w:eastAsia="仿宋_GB2312"/>
                <w:szCs w:val="24"/>
              </w:rPr>
            </w:pPr>
            <w:r>
              <w:rPr>
                <w:rFonts w:eastAsia="仿宋_GB2312"/>
                <w:szCs w:val="24"/>
              </w:rPr>
              <w:t>一季度：梳理现行有效的助企纾困政策；</w:t>
            </w:r>
          </w:p>
          <w:p w14:paraId="30ED8233">
            <w:pPr>
              <w:widowControl/>
              <w:snapToGrid w:val="0"/>
              <w:spacing w:line="280" w:lineRule="exact"/>
              <w:contextualSpacing/>
              <w:jc w:val="left"/>
              <w:rPr>
                <w:rFonts w:eastAsia="仿宋_GB2312"/>
                <w:szCs w:val="24"/>
              </w:rPr>
            </w:pPr>
            <w:r>
              <w:rPr>
                <w:rFonts w:eastAsia="仿宋_GB2312"/>
                <w:szCs w:val="24"/>
              </w:rPr>
              <w:t>二季度：利用调研、座谈等形式摸排涉企收费问题线索；</w:t>
            </w:r>
          </w:p>
          <w:p w14:paraId="5A8F95AC">
            <w:pPr>
              <w:widowControl/>
              <w:snapToGrid w:val="0"/>
              <w:spacing w:line="280" w:lineRule="exact"/>
              <w:contextualSpacing/>
              <w:jc w:val="left"/>
              <w:rPr>
                <w:rFonts w:eastAsia="仿宋_GB2312"/>
                <w:szCs w:val="24"/>
              </w:rPr>
            </w:pPr>
            <w:r>
              <w:rPr>
                <w:rFonts w:eastAsia="仿宋_GB2312"/>
                <w:szCs w:val="24"/>
              </w:rPr>
              <w:t>三季度：开展涉企收费专项整治；</w:t>
            </w:r>
          </w:p>
          <w:p w14:paraId="01283844">
            <w:pPr>
              <w:widowControl/>
              <w:snapToGrid w:val="0"/>
              <w:spacing w:line="280" w:lineRule="exact"/>
              <w:contextualSpacing/>
              <w:jc w:val="left"/>
              <w:rPr>
                <w:rFonts w:eastAsia="仿宋_GB2312"/>
                <w:szCs w:val="24"/>
              </w:rPr>
            </w:pPr>
            <w:r>
              <w:rPr>
                <w:rFonts w:eastAsia="仿宋_GB2312"/>
                <w:szCs w:val="24"/>
              </w:rPr>
              <w:t>四季度：总结提升。</w:t>
            </w:r>
          </w:p>
        </w:tc>
        <w:tc>
          <w:tcPr>
            <w:tcW w:w="1086" w:type="dxa"/>
            <w:tcBorders>
              <w:top w:val="single" w:color="auto" w:sz="4" w:space="0"/>
              <w:left w:val="single" w:color="auto" w:sz="4" w:space="0"/>
              <w:bottom w:val="single" w:color="auto" w:sz="4" w:space="0"/>
              <w:right w:val="single" w:color="auto" w:sz="4" w:space="0"/>
            </w:tcBorders>
            <w:vAlign w:val="center"/>
          </w:tcPr>
          <w:p w14:paraId="477106FC">
            <w:pPr>
              <w:widowControl/>
              <w:snapToGrid w:val="0"/>
              <w:spacing w:line="280" w:lineRule="exact"/>
              <w:contextualSpacing/>
              <w:jc w:val="left"/>
              <w:rPr>
                <w:rFonts w:eastAsia="仿宋_GB2312"/>
                <w:szCs w:val="24"/>
              </w:rPr>
            </w:pPr>
            <w:r>
              <w:rPr>
                <w:rFonts w:eastAsia="仿宋_GB2312"/>
                <w:szCs w:val="24"/>
              </w:rPr>
              <w:t>价检竞争科</w:t>
            </w:r>
          </w:p>
        </w:tc>
        <w:tc>
          <w:tcPr>
            <w:tcW w:w="1066" w:type="dxa"/>
            <w:tcBorders>
              <w:top w:val="single" w:color="auto" w:sz="4" w:space="0"/>
              <w:left w:val="single" w:color="auto" w:sz="4" w:space="0"/>
              <w:bottom w:val="single" w:color="auto" w:sz="4" w:space="0"/>
              <w:right w:val="single" w:color="auto" w:sz="4" w:space="0"/>
            </w:tcBorders>
            <w:vAlign w:val="center"/>
          </w:tcPr>
          <w:p w14:paraId="33BD8C8C">
            <w:pPr>
              <w:widowControl/>
              <w:snapToGrid w:val="0"/>
              <w:spacing w:line="280" w:lineRule="exact"/>
              <w:contextualSpacing/>
              <w:jc w:val="left"/>
              <w:rPr>
                <w:rFonts w:eastAsia="仿宋_GB2312"/>
                <w:szCs w:val="24"/>
              </w:rPr>
            </w:pPr>
            <w:r>
              <w:rPr>
                <w:rFonts w:eastAsia="仿宋_GB2312"/>
                <w:szCs w:val="24"/>
              </w:rPr>
              <w:t>王金熔</w:t>
            </w:r>
          </w:p>
        </w:tc>
      </w:tr>
      <w:tr w14:paraId="0C23E366">
        <w:tblPrEx>
          <w:tblCellMar>
            <w:top w:w="0" w:type="dxa"/>
            <w:left w:w="108" w:type="dxa"/>
            <w:bottom w:w="0" w:type="dxa"/>
            <w:right w:w="108" w:type="dxa"/>
          </w:tblCellMar>
        </w:tblPrEx>
        <w:trPr>
          <w:trHeight w:val="578"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6940C48">
            <w:pPr>
              <w:widowControl/>
              <w:snapToGrid w:val="0"/>
              <w:spacing w:line="280" w:lineRule="exact"/>
              <w:contextualSpacing/>
              <w:jc w:val="center"/>
              <w:rPr>
                <w:rFonts w:eastAsia="黑体"/>
                <w:kern w:val="0"/>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1ACE56A0">
            <w:pPr>
              <w:widowControl/>
              <w:snapToGrid w:val="0"/>
              <w:spacing w:line="280" w:lineRule="exact"/>
              <w:contextualSpacing/>
              <w:jc w:val="center"/>
              <w:rPr>
                <w:rFonts w:eastAsia="黑体"/>
                <w:color w:val="0070C0"/>
                <w:kern w:val="0"/>
                <w:sz w:val="24"/>
              </w:rPr>
            </w:pPr>
          </w:p>
        </w:tc>
        <w:tc>
          <w:tcPr>
            <w:tcW w:w="13051" w:type="dxa"/>
            <w:gridSpan w:val="4"/>
            <w:tcBorders>
              <w:top w:val="single" w:color="auto" w:sz="4" w:space="0"/>
              <w:left w:val="single" w:color="auto" w:sz="4" w:space="0"/>
              <w:bottom w:val="single" w:color="auto" w:sz="4" w:space="0"/>
              <w:right w:val="single" w:color="auto" w:sz="4" w:space="0"/>
            </w:tcBorders>
            <w:vAlign w:val="center"/>
          </w:tcPr>
          <w:p w14:paraId="2CB26DE1">
            <w:pPr>
              <w:widowControl/>
              <w:snapToGrid w:val="0"/>
              <w:spacing w:line="280" w:lineRule="exact"/>
              <w:contextualSpacing/>
              <w:jc w:val="center"/>
              <w:rPr>
                <w:rFonts w:eastAsia="黑体"/>
                <w:color w:val="0070C0"/>
                <w:kern w:val="0"/>
                <w:sz w:val="24"/>
              </w:rPr>
            </w:pPr>
            <w:r>
              <w:rPr>
                <w:rFonts w:eastAsia="黑体"/>
                <w:kern w:val="0"/>
                <w:sz w:val="24"/>
              </w:rPr>
              <w:t>三、共治提质优根基</w:t>
            </w:r>
          </w:p>
        </w:tc>
      </w:tr>
      <w:tr w14:paraId="66D0230C">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E2C3669">
            <w:pPr>
              <w:widowControl/>
              <w:snapToGrid w:val="0"/>
              <w:spacing w:line="280" w:lineRule="exact"/>
              <w:contextualSpacing/>
              <w:jc w:val="center"/>
              <w:rPr>
                <w:rFonts w:eastAsia="黑体"/>
                <w:kern w:val="0"/>
                <w:sz w:val="24"/>
              </w:rPr>
            </w:pPr>
            <w:r>
              <w:rPr>
                <w:rFonts w:eastAsia="黑体"/>
                <w:kern w:val="0"/>
                <w:sz w:val="24"/>
              </w:rPr>
              <w:t>10</w:t>
            </w:r>
          </w:p>
        </w:tc>
        <w:tc>
          <w:tcPr>
            <w:tcW w:w="1481" w:type="dxa"/>
            <w:tcBorders>
              <w:top w:val="single" w:color="auto" w:sz="4" w:space="0"/>
              <w:left w:val="single" w:color="auto" w:sz="4" w:space="0"/>
              <w:bottom w:val="single" w:color="auto" w:sz="4" w:space="0"/>
              <w:right w:val="single" w:color="auto" w:sz="4" w:space="0"/>
            </w:tcBorders>
            <w:vAlign w:val="center"/>
          </w:tcPr>
          <w:p w14:paraId="7846A0E4">
            <w:pPr>
              <w:widowControl/>
              <w:snapToGrid w:val="0"/>
              <w:spacing w:line="280" w:lineRule="exact"/>
              <w:contextualSpacing/>
              <w:jc w:val="left"/>
              <w:rPr>
                <w:rFonts w:eastAsia="仿宋_GB2312"/>
                <w:szCs w:val="24"/>
              </w:rPr>
            </w:pPr>
            <w:r>
              <w:rPr>
                <w:rFonts w:eastAsia="仿宋_GB2312"/>
                <w:szCs w:val="24"/>
              </w:rPr>
              <w:t>深入推进公平竞争审查制度</w:t>
            </w:r>
          </w:p>
        </w:tc>
        <w:tc>
          <w:tcPr>
            <w:tcW w:w="3508" w:type="dxa"/>
            <w:tcBorders>
              <w:top w:val="single" w:color="auto" w:sz="4" w:space="0"/>
              <w:left w:val="single" w:color="auto" w:sz="4" w:space="0"/>
              <w:bottom w:val="single" w:color="auto" w:sz="4" w:space="0"/>
              <w:right w:val="single" w:color="auto" w:sz="4" w:space="0"/>
            </w:tcBorders>
            <w:vAlign w:val="center"/>
          </w:tcPr>
          <w:p w14:paraId="697BB46B">
            <w:pPr>
              <w:widowControl/>
              <w:snapToGrid w:val="0"/>
              <w:spacing w:line="280" w:lineRule="exact"/>
              <w:contextualSpacing/>
              <w:jc w:val="left"/>
              <w:rPr>
                <w:rFonts w:eastAsia="仿宋_GB2312"/>
                <w:szCs w:val="24"/>
              </w:rPr>
            </w:pPr>
            <w:r>
              <w:rPr>
                <w:rFonts w:eastAsia="仿宋_GB2312"/>
                <w:szCs w:val="24"/>
              </w:rPr>
              <w:t>推进区级公平竞争审查大数据平台建设，探索重点行业审查规则的细化，建立公平竞争审查专业化队伍，进一步完善公平竞争审查机制。</w:t>
            </w:r>
          </w:p>
        </w:tc>
        <w:tc>
          <w:tcPr>
            <w:tcW w:w="7391" w:type="dxa"/>
            <w:tcBorders>
              <w:top w:val="single" w:color="auto" w:sz="4" w:space="0"/>
              <w:left w:val="single" w:color="auto" w:sz="4" w:space="0"/>
              <w:bottom w:val="single" w:color="auto" w:sz="4" w:space="0"/>
              <w:right w:val="single" w:color="auto" w:sz="4" w:space="0"/>
            </w:tcBorders>
            <w:vAlign w:val="center"/>
          </w:tcPr>
          <w:p w14:paraId="4FB8468F">
            <w:pPr>
              <w:widowControl/>
              <w:snapToGrid w:val="0"/>
              <w:spacing w:line="280" w:lineRule="exact"/>
              <w:contextualSpacing/>
              <w:rPr>
                <w:rFonts w:eastAsia="仿宋_GB2312"/>
                <w:szCs w:val="21"/>
              </w:rPr>
            </w:pPr>
            <w:r>
              <w:rPr>
                <w:rFonts w:eastAsia="仿宋_GB2312"/>
                <w:szCs w:val="21"/>
              </w:rPr>
              <w:t>一季度：召开2024年度武进区公平竞争审查联席会议；</w:t>
            </w:r>
          </w:p>
          <w:p w14:paraId="72F746AD">
            <w:pPr>
              <w:widowControl/>
              <w:snapToGrid w:val="0"/>
              <w:spacing w:line="280" w:lineRule="exact"/>
              <w:contextualSpacing/>
              <w:rPr>
                <w:rFonts w:eastAsia="仿宋_GB2312"/>
                <w:szCs w:val="21"/>
              </w:rPr>
            </w:pPr>
            <w:r>
              <w:rPr>
                <w:rFonts w:eastAsia="仿宋_GB2312"/>
                <w:szCs w:val="21"/>
              </w:rPr>
              <w:t>二季度：推进区公平竞争审查第三方评估问题整改；</w:t>
            </w:r>
          </w:p>
          <w:p w14:paraId="6D2B58B0">
            <w:pPr>
              <w:widowControl/>
              <w:snapToGrid w:val="0"/>
              <w:spacing w:line="280" w:lineRule="exact"/>
              <w:contextualSpacing/>
              <w:rPr>
                <w:rFonts w:eastAsia="仿宋_GB2312"/>
                <w:szCs w:val="21"/>
              </w:rPr>
            </w:pPr>
            <w:r>
              <w:rPr>
                <w:rFonts w:eastAsia="仿宋_GB2312"/>
                <w:szCs w:val="21"/>
              </w:rPr>
              <w:t>三季度：组织成员单位开展公平竞争审查大数据平台使用培训督促成员建立内部公平竞争审查制度；</w:t>
            </w:r>
          </w:p>
          <w:p w14:paraId="13EF33E9">
            <w:pPr>
              <w:widowControl/>
              <w:snapToGrid w:val="0"/>
              <w:spacing w:line="280" w:lineRule="exact"/>
              <w:contextualSpacing/>
              <w:rPr>
                <w:rFonts w:eastAsia="仿宋_GB2312"/>
                <w:szCs w:val="21"/>
              </w:rPr>
            </w:pPr>
            <w:r>
              <w:rPr>
                <w:rFonts w:eastAsia="仿宋_GB2312"/>
                <w:szCs w:val="21"/>
              </w:rPr>
              <w:t>四季度：总结提升。</w:t>
            </w:r>
          </w:p>
        </w:tc>
        <w:tc>
          <w:tcPr>
            <w:tcW w:w="1086" w:type="dxa"/>
            <w:tcBorders>
              <w:top w:val="single" w:color="auto" w:sz="4" w:space="0"/>
              <w:left w:val="single" w:color="auto" w:sz="4" w:space="0"/>
              <w:bottom w:val="single" w:color="auto" w:sz="4" w:space="0"/>
              <w:right w:val="single" w:color="auto" w:sz="4" w:space="0"/>
            </w:tcBorders>
            <w:vAlign w:val="center"/>
          </w:tcPr>
          <w:p w14:paraId="6D935C54">
            <w:pPr>
              <w:widowControl/>
              <w:snapToGrid w:val="0"/>
              <w:spacing w:line="280" w:lineRule="exact"/>
              <w:contextualSpacing/>
              <w:rPr>
                <w:rFonts w:eastAsia="仿宋_GB2312"/>
                <w:szCs w:val="21"/>
              </w:rPr>
            </w:pPr>
            <w:r>
              <w:rPr>
                <w:rFonts w:eastAsia="仿宋_GB2312"/>
                <w:szCs w:val="21"/>
              </w:rPr>
              <w:t>价检竞争科</w:t>
            </w:r>
          </w:p>
        </w:tc>
        <w:tc>
          <w:tcPr>
            <w:tcW w:w="1066" w:type="dxa"/>
            <w:tcBorders>
              <w:top w:val="single" w:color="auto" w:sz="4" w:space="0"/>
              <w:left w:val="single" w:color="auto" w:sz="4" w:space="0"/>
              <w:bottom w:val="single" w:color="auto" w:sz="4" w:space="0"/>
              <w:right w:val="single" w:color="auto" w:sz="4" w:space="0"/>
            </w:tcBorders>
            <w:vAlign w:val="center"/>
          </w:tcPr>
          <w:p w14:paraId="415EDFC6">
            <w:pPr>
              <w:widowControl/>
              <w:snapToGrid w:val="0"/>
              <w:spacing w:line="280" w:lineRule="exact"/>
              <w:contextualSpacing/>
              <w:rPr>
                <w:rFonts w:eastAsia="仿宋_GB2312"/>
                <w:szCs w:val="21"/>
              </w:rPr>
            </w:pPr>
            <w:r>
              <w:rPr>
                <w:rFonts w:eastAsia="仿宋_GB2312"/>
                <w:szCs w:val="21"/>
              </w:rPr>
              <w:t>王金熔</w:t>
            </w:r>
          </w:p>
        </w:tc>
      </w:tr>
      <w:tr w14:paraId="022DB167">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047894AF">
            <w:pPr>
              <w:widowControl/>
              <w:snapToGrid w:val="0"/>
              <w:spacing w:line="280" w:lineRule="exact"/>
              <w:contextualSpacing/>
              <w:jc w:val="center"/>
              <w:rPr>
                <w:rFonts w:eastAsia="黑体"/>
                <w:kern w:val="0"/>
                <w:sz w:val="24"/>
              </w:rPr>
            </w:pPr>
            <w:r>
              <w:rPr>
                <w:rFonts w:eastAsia="黑体"/>
                <w:kern w:val="0"/>
                <w:sz w:val="24"/>
              </w:rPr>
              <w:t>11</w:t>
            </w:r>
          </w:p>
        </w:tc>
        <w:tc>
          <w:tcPr>
            <w:tcW w:w="1481" w:type="dxa"/>
            <w:tcBorders>
              <w:top w:val="single" w:color="auto" w:sz="4" w:space="0"/>
              <w:left w:val="single" w:color="auto" w:sz="4" w:space="0"/>
              <w:bottom w:val="single" w:color="auto" w:sz="4" w:space="0"/>
              <w:right w:val="single" w:color="auto" w:sz="4" w:space="0"/>
            </w:tcBorders>
            <w:vAlign w:val="center"/>
          </w:tcPr>
          <w:p w14:paraId="11AE9F4C">
            <w:pPr>
              <w:widowControl/>
              <w:snapToGrid w:val="0"/>
              <w:spacing w:line="280" w:lineRule="exact"/>
              <w:contextualSpacing/>
              <w:jc w:val="left"/>
              <w:rPr>
                <w:rFonts w:eastAsia="仿宋_GB2312"/>
                <w:szCs w:val="21"/>
              </w:rPr>
            </w:pPr>
            <w:r>
              <w:rPr>
                <w:rFonts w:eastAsia="仿宋_GB2312"/>
                <w:szCs w:val="21"/>
              </w:rPr>
              <w:t>“五有五好”民企关工委创建</w:t>
            </w:r>
          </w:p>
        </w:tc>
        <w:tc>
          <w:tcPr>
            <w:tcW w:w="3508" w:type="dxa"/>
            <w:tcBorders>
              <w:top w:val="single" w:color="auto" w:sz="4" w:space="0"/>
              <w:left w:val="single" w:color="auto" w:sz="4" w:space="0"/>
              <w:bottom w:val="single" w:color="auto" w:sz="4" w:space="0"/>
              <w:right w:val="single" w:color="auto" w:sz="4" w:space="0"/>
            </w:tcBorders>
            <w:vAlign w:val="center"/>
          </w:tcPr>
          <w:p w14:paraId="33EED0E5">
            <w:pPr>
              <w:widowControl/>
              <w:snapToGrid w:val="0"/>
              <w:spacing w:line="240" w:lineRule="exact"/>
              <w:contextualSpacing/>
              <w:jc w:val="left"/>
              <w:rPr>
                <w:rFonts w:eastAsia="仿宋_GB2312"/>
                <w:szCs w:val="21"/>
              </w:rPr>
            </w:pPr>
            <w:r>
              <w:rPr>
                <w:rFonts w:eastAsia="仿宋_GB2312"/>
                <w:szCs w:val="21"/>
              </w:rPr>
              <w:t>在全区“五有五好”民企关工委已达到50%创建目标，大面积创建告一段落的前提下，加强对薄弱乡镇的创建指导，明确工作要求，加强技能培训，迅速补缺补短，促进全面推进，努力消除不平衡现象，工作重点从创建转移至提升，开展回头看，以“优秀”级为抓手，着重考核已创企业的内涵提升和工作创新，并侧重争创更多市级“五星级五有五好”</w:t>
            </w:r>
          </w:p>
        </w:tc>
        <w:tc>
          <w:tcPr>
            <w:tcW w:w="7391" w:type="dxa"/>
            <w:tcBorders>
              <w:top w:val="single" w:color="auto" w:sz="4" w:space="0"/>
              <w:left w:val="single" w:color="auto" w:sz="4" w:space="0"/>
              <w:bottom w:val="single" w:color="auto" w:sz="4" w:space="0"/>
              <w:right w:val="single" w:color="auto" w:sz="4" w:space="0"/>
            </w:tcBorders>
            <w:vAlign w:val="center"/>
          </w:tcPr>
          <w:p w14:paraId="035DF072">
            <w:pPr>
              <w:widowControl/>
              <w:snapToGrid w:val="0"/>
              <w:spacing w:line="280" w:lineRule="exact"/>
              <w:contextualSpacing/>
              <w:jc w:val="left"/>
              <w:rPr>
                <w:rFonts w:eastAsia="仿宋_GB2312"/>
                <w:szCs w:val="21"/>
              </w:rPr>
            </w:pPr>
            <w:r>
              <w:rPr>
                <w:rFonts w:eastAsia="仿宋_GB2312"/>
                <w:szCs w:val="21"/>
              </w:rPr>
              <w:t>一季度：扩大宣传。个别乡镇对辖区的情况不明，进度缓慢，需加大宣传力度，明确工作要求，加强技能培训，提高其重视度。</w:t>
            </w:r>
          </w:p>
          <w:p w14:paraId="501790B8">
            <w:pPr>
              <w:widowControl/>
              <w:snapToGrid w:val="0"/>
              <w:spacing w:line="280" w:lineRule="exact"/>
              <w:contextualSpacing/>
              <w:jc w:val="left"/>
              <w:rPr>
                <w:rFonts w:eastAsia="仿宋_GB2312"/>
                <w:szCs w:val="21"/>
              </w:rPr>
            </w:pPr>
            <w:r>
              <w:rPr>
                <w:rFonts w:eastAsia="仿宋_GB2312"/>
                <w:szCs w:val="21"/>
              </w:rPr>
              <w:t>二季度：重点走访。个别企业对关工委工作的认识尚有不足，或存在误区，或存在被动参与的因素，需重点走访宣贯相关政策，提高其认识和主动性。</w:t>
            </w:r>
          </w:p>
          <w:p w14:paraId="70A50B4A">
            <w:pPr>
              <w:widowControl/>
              <w:snapToGrid w:val="0"/>
              <w:spacing w:line="280" w:lineRule="exact"/>
              <w:contextualSpacing/>
              <w:jc w:val="left"/>
              <w:rPr>
                <w:rFonts w:eastAsia="仿宋_GB2312"/>
                <w:szCs w:val="21"/>
              </w:rPr>
            </w:pPr>
            <w:r>
              <w:rPr>
                <w:rFonts w:eastAsia="仿宋_GB2312"/>
                <w:szCs w:val="21"/>
              </w:rPr>
              <w:t>三季度：个别指导。对于重视度较高，各项工作开展丰富的企业，个别指导，更上台阶，以优秀级为抓手，向“五星级五有五好”聚集。</w:t>
            </w:r>
          </w:p>
          <w:p w14:paraId="431D5AAD">
            <w:pPr>
              <w:widowControl/>
              <w:snapToGrid w:val="0"/>
              <w:spacing w:line="280" w:lineRule="exact"/>
              <w:contextualSpacing/>
              <w:jc w:val="left"/>
              <w:rPr>
                <w:rFonts w:eastAsia="仿宋_GB2312"/>
                <w:szCs w:val="21"/>
              </w:rPr>
            </w:pPr>
            <w:r>
              <w:rPr>
                <w:rFonts w:eastAsia="仿宋_GB2312"/>
                <w:szCs w:val="21"/>
              </w:rPr>
              <w:t>四季度：整体验收。在往年经验的基础上，以新的考核细则，整体验收创建成效，促进全面推进，消除不平衡现象。</w:t>
            </w:r>
          </w:p>
        </w:tc>
        <w:tc>
          <w:tcPr>
            <w:tcW w:w="1086" w:type="dxa"/>
            <w:tcBorders>
              <w:top w:val="single" w:color="auto" w:sz="4" w:space="0"/>
              <w:left w:val="single" w:color="auto" w:sz="4" w:space="0"/>
              <w:bottom w:val="single" w:color="auto" w:sz="4" w:space="0"/>
              <w:right w:val="single" w:color="auto" w:sz="4" w:space="0"/>
            </w:tcBorders>
            <w:vAlign w:val="center"/>
          </w:tcPr>
          <w:p w14:paraId="60E800FB">
            <w:pPr>
              <w:widowControl/>
              <w:snapToGrid w:val="0"/>
              <w:spacing w:line="280" w:lineRule="exact"/>
              <w:contextualSpacing/>
              <w:jc w:val="left"/>
              <w:rPr>
                <w:rFonts w:eastAsia="仿宋_GB2312"/>
                <w:szCs w:val="21"/>
              </w:rPr>
            </w:pPr>
            <w:r>
              <w:rPr>
                <w:rFonts w:eastAsia="仿宋_GB2312"/>
                <w:szCs w:val="21"/>
              </w:rPr>
              <w:t>私个协会</w:t>
            </w:r>
          </w:p>
        </w:tc>
        <w:tc>
          <w:tcPr>
            <w:tcW w:w="1066" w:type="dxa"/>
            <w:tcBorders>
              <w:top w:val="single" w:color="auto" w:sz="4" w:space="0"/>
              <w:left w:val="single" w:color="auto" w:sz="4" w:space="0"/>
              <w:bottom w:val="single" w:color="auto" w:sz="4" w:space="0"/>
              <w:right w:val="single" w:color="auto" w:sz="4" w:space="0"/>
            </w:tcBorders>
            <w:vAlign w:val="center"/>
          </w:tcPr>
          <w:p w14:paraId="2B7ED5F3">
            <w:pPr>
              <w:widowControl/>
              <w:snapToGrid w:val="0"/>
              <w:spacing w:line="280" w:lineRule="exact"/>
              <w:contextualSpacing/>
              <w:jc w:val="left"/>
              <w:rPr>
                <w:rFonts w:eastAsia="仿宋_GB2312"/>
                <w:szCs w:val="21"/>
              </w:rPr>
            </w:pPr>
            <w:r>
              <w:rPr>
                <w:rFonts w:eastAsia="仿宋_GB2312"/>
                <w:szCs w:val="21"/>
              </w:rPr>
              <w:t>张利萍</w:t>
            </w:r>
          </w:p>
        </w:tc>
      </w:tr>
      <w:tr w14:paraId="00AD61BB">
        <w:tblPrEx>
          <w:tblCellMar>
            <w:top w:w="0" w:type="dxa"/>
            <w:left w:w="108" w:type="dxa"/>
            <w:bottom w:w="0" w:type="dxa"/>
            <w:right w:w="108" w:type="dxa"/>
          </w:tblCellMar>
        </w:tblPrEx>
        <w:trPr>
          <w:trHeight w:val="564"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2B0F0D7">
            <w:pPr>
              <w:widowControl/>
              <w:snapToGrid w:val="0"/>
              <w:spacing w:line="280" w:lineRule="exact"/>
              <w:contextualSpacing/>
              <w:jc w:val="center"/>
              <w:rPr>
                <w:rFonts w:eastAsia="黑体"/>
                <w:kern w:val="0"/>
                <w:sz w:val="24"/>
              </w:rPr>
            </w:pPr>
          </w:p>
          <w:p w14:paraId="77E6B3C3">
            <w:pPr>
              <w:widowControl/>
              <w:snapToGrid w:val="0"/>
              <w:spacing w:line="280" w:lineRule="exact"/>
              <w:contextualSpacing/>
              <w:jc w:val="center"/>
              <w:rPr>
                <w:rFonts w:eastAsia="黑体"/>
                <w:kern w:val="0"/>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1B07B0AC">
            <w:pPr>
              <w:widowControl/>
              <w:snapToGrid w:val="0"/>
              <w:spacing w:line="280" w:lineRule="exact"/>
              <w:contextualSpacing/>
              <w:jc w:val="center"/>
              <w:rPr>
                <w:rFonts w:eastAsia="黑体"/>
                <w:kern w:val="0"/>
                <w:sz w:val="24"/>
              </w:rPr>
            </w:pPr>
          </w:p>
        </w:tc>
        <w:tc>
          <w:tcPr>
            <w:tcW w:w="13051" w:type="dxa"/>
            <w:gridSpan w:val="4"/>
            <w:tcBorders>
              <w:top w:val="single" w:color="auto" w:sz="4" w:space="0"/>
              <w:left w:val="single" w:color="auto" w:sz="4" w:space="0"/>
              <w:bottom w:val="single" w:color="auto" w:sz="4" w:space="0"/>
              <w:right w:val="single" w:color="auto" w:sz="4" w:space="0"/>
            </w:tcBorders>
            <w:vAlign w:val="center"/>
          </w:tcPr>
          <w:p w14:paraId="0ACBAA8F">
            <w:pPr>
              <w:widowControl/>
              <w:snapToGrid w:val="0"/>
              <w:spacing w:line="280" w:lineRule="exact"/>
              <w:contextualSpacing/>
              <w:jc w:val="center"/>
              <w:rPr>
                <w:rFonts w:eastAsia="黑体"/>
                <w:kern w:val="0"/>
                <w:sz w:val="24"/>
              </w:rPr>
            </w:pPr>
            <w:r>
              <w:rPr>
                <w:rFonts w:eastAsia="黑体"/>
                <w:kern w:val="0"/>
                <w:sz w:val="24"/>
              </w:rPr>
              <w:t>四、安全提档优民生</w:t>
            </w:r>
          </w:p>
        </w:tc>
      </w:tr>
      <w:tr w14:paraId="5AC132B9">
        <w:tblPrEx>
          <w:tblCellMar>
            <w:top w:w="0" w:type="dxa"/>
            <w:left w:w="108" w:type="dxa"/>
            <w:bottom w:w="0" w:type="dxa"/>
            <w:right w:w="108" w:type="dxa"/>
          </w:tblCellMar>
        </w:tblPrEx>
        <w:trPr>
          <w:trHeight w:val="1551"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E3A596D">
            <w:pPr>
              <w:widowControl/>
              <w:snapToGrid w:val="0"/>
              <w:spacing w:line="280" w:lineRule="exact"/>
              <w:contextualSpacing/>
              <w:jc w:val="center"/>
              <w:rPr>
                <w:rFonts w:eastAsia="黑体"/>
                <w:kern w:val="0"/>
                <w:sz w:val="24"/>
              </w:rPr>
            </w:pPr>
            <w:r>
              <w:rPr>
                <w:rFonts w:eastAsia="黑体"/>
                <w:kern w:val="0"/>
                <w:sz w:val="24"/>
              </w:rPr>
              <w:t>12</w:t>
            </w:r>
          </w:p>
        </w:tc>
        <w:tc>
          <w:tcPr>
            <w:tcW w:w="1481" w:type="dxa"/>
            <w:tcBorders>
              <w:top w:val="single" w:color="auto" w:sz="4" w:space="0"/>
              <w:left w:val="single" w:color="auto" w:sz="4" w:space="0"/>
              <w:bottom w:val="single" w:color="auto" w:sz="4" w:space="0"/>
              <w:right w:val="single" w:color="auto" w:sz="4" w:space="0"/>
            </w:tcBorders>
            <w:vAlign w:val="center"/>
          </w:tcPr>
          <w:p w14:paraId="506E39EE">
            <w:pPr>
              <w:widowControl/>
              <w:snapToGrid w:val="0"/>
              <w:spacing w:line="280" w:lineRule="exact"/>
              <w:contextualSpacing/>
              <w:jc w:val="center"/>
              <w:rPr>
                <w:rFonts w:eastAsia="仿宋_GB2312"/>
                <w:kern w:val="0"/>
                <w:sz w:val="24"/>
              </w:rPr>
            </w:pPr>
            <w:r>
              <w:rPr>
                <w:rFonts w:eastAsia="仿宋_GB2312"/>
                <w:szCs w:val="21"/>
              </w:rPr>
              <w:t>“</w:t>
            </w:r>
            <w:r>
              <w:rPr>
                <w:rFonts w:hint="eastAsia" w:eastAsia="仿宋_GB2312"/>
                <w:szCs w:val="21"/>
              </w:rPr>
              <w:t>越</w:t>
            </w:r>
            <w:r>
              <w:rPr>
                <w:rFonts w:eastAsia="仿宋_GB2312"/>
                <w:szCs w:val="21"/>
              </w:rPr>
              <w:t>检</w:t>
            </w:r>
            <w:r>
              <w:rPr>
                <w:rFonts w:hint="eastAsia" w:eastAsia="仿宋_GB2312"/>
                <w:szCs w:val="21"/>
              </w:rPr>
              <w:t>越</w:t>
            </w:r>
            <w:r>
              <w:rPr>
                <w:rFonts w:eastAsia="仿宋_GB2312"/>
                <w:szCs w:val="21"/>
              </w:rPr>
              <w:t>安心”工程</w:t>
            </w:r>
          </w:p>
        </w:tc>
        <w:tc>
          <w:tcPr>
            <w:tcW w:w="3508" w:type="dxa"/>
            <w:tcBorders>
              <w:top w:val="single" w:color="auto" w:sz="4" w:space="0"/>
              <w:left w:val="single" w:color="auto" w:sz="4" w:space="0"/>
              <w:bottom w:val="single" w:color="auto" w:sz="4" w:space="0"/>
              <w:right w:val="single" w:color="auto" w:sz="4" w:space="0"/>
            </w:tcBorders>
            <w:vAlign w:val="center"/>
          </w:tcPr>
          <w:p w14:paraId="32F95B25">
            <w:pPr>
              <w:widowControl/>
              <w:snapToGrid w:val="0"/>
              <w:spacing w:line="240" w:lineRule="exact"/>
              <w:contextualSpacing/>
              <w:rPr>
                <w:rFonts w:eastAsia="仿宋_GB2312"/>
                <w:kern w:val="0"/>
                <w:sz w:val="24"/>
              </w:rPr>
            </w:pPr>
            <w:r>
              <w:rPr>
                <w:rFonts w:eastAsia="仿宋_GB2312"/>
                <w:szCs w:val="21"/>
              </w:rPr>
              <w:t>按照全区常住人口每千人7批次开展食品安全抽检，计划至少完成8960批次，突出农兽药残留、食品添加剂、重金属、生物毒素等重点指标，覆盖食品生产、流通、餐饮全过程、全业态</w:t>
            </w:r>
          </w:p>
        </w:tc>
        <w:tc>
          <w:tcPr>
            <w:tcW w:w="7391" w:type="dxa"/>
            <w:tcBorders>
              <w:top w:val="single" w:color="auto" w:sz="4" w:space="0"/>
              <w:left w:val="single" w:color="auto" w:sz="4" w:space="0"/>
              <w:bottom w:val="single" w:color="auto" w:sz="4" w:space="0"/>
              <w:right w:val="single" w:color="auto" w:sz="4" w:space="0"/>
            </w:tcBorders>
            <w:vAlign w:val="center"/>
          </w:tcPr>
          <w:p w14:paraId="3EBCAF61">
            <w:pPr>
              <w:widowControl/>
              <w:snapToGrid w:val="0"/>
              <w:spacing w:line="240" w:lineRule="exact"/>
              <w:contextualSpacing/>
              <w:jc w:val="left"/>
              <w:rPr>
                <w:rFonts w:eastAsia="仿宋_GB2312"/>
                <w:szCs w:val="24"/>
              </w:rPr>
            </w:pPr>
            <w:r>
              <w:rPr>
                <w:rFonts w:eastAsia="仿宋_GB2312"/>
                <w:szCs w:val="21"/>
              </w:rPr>
              <w:t>区食安办年初统筹制定并下发了全区年度食品安全抽检计划，对全年食品安全抽检工作目标、内容、要求等作全面部署，重点依据我区上年度食品抽检情况分析，明确了本年度抽检重点。在具体推进过程中，一是科学制定月度食品抽检计划，明确每月食品检测重点品种及项目。二是及时汇总抽检结果，公布抽检信息。三是做好不合格产品核查处置。我局已完成食品抽检8960批次。</w:t>
            </w:r>
          </w:p>
        </w:tc>
        <w:tc>
          <w:tcPr>
            <w:tcW w:w="1086" w:type="dxa"/>
            <w:tcBorders>
              <w:top w:val="single" w:color="auto" w:sz="4" w:space="0"/>
              <w:left w:val="single" w:color="auto" w:sz="4" w:space="0"/>
              <w:bottom w:val="single" w:color="auto" w:sz="4" w:space="0"/>
              <w:right w:val="single" w:color="auto" w:sz="4" w:space="0"/>
            </w:tcBorders>
            <w:vAlign w:val="center"/>
          </w:tcPr>
          <w:p w14:paraId="798EE52E">
            <w:pPr>
              <w:widowControl/>
              <w:snapToGrid w:val="0"/>
              <w:spacing w:line="280" w:lineRule="exact"/>
              <w:contextualSpacing/>
              <w:jc w:val="center"/>
              <w:rPr>
                <w:rFonts w:eastAsia="仿宋_GB2312"/>
                <w:szCs w:val="21"/>
              </w:rPr>
            </w:pPr>
            <w:r>
              <w:rPr>
                <w:rFonts w:eastAsia="仿宋_GB2312"/>
                <w:szCs w:val="21"/>
              </w:rPr>
              <w:t>食品安全</w:t>
            </w:r>
          </w:p>
          <w:p w14:paraId="265B41F1">
            <w:pPr>
              <w:widowControl/>
              <w:snapToGrid w:val="0"/>
              <w:spacing w:line="280" w:lineRule="exact"/>
              <w:contextualSpacing/>
              <w:jc w:val="center"/>
              <w:rPr>
                <w:rFonts w:eastAsia="仿宋_GB2312"/>
                <w:szCs w:val="21"/>
              </w:rPr>
            </w:pPr>
            <w:r>
              <w:rPr>
                <w:rFonts w:eastAsia="仿宋_GB2312"/>
                <w:szCs w:val="21"/>
              </w:rPr>
              <w:t>监督管理科</w:t>
            </w:r>
          </w:p>
        </w:tc>
        <w:tc>
          <w:tcPr>
            <w:tcW w:w="1066" w:type="dxa"/>
            <w:tcBorders>
              <w:top w:val="single" w:color="auto" w:sz="4" w:space="0"/>
              <w:left w:val="single" w:color="auto" w:sz="4" w:space="0"/>
              <w:bottom w:val="single" w:color="auto" w:sz="4" w:space="0"/>
              <w:right w:val="single" w:color="auto" w:sz="4" w:space="0"/>
            </w:tcBorders>
            <w:vAlign w:val="center"/>
          </w:tcPr>
          <w:p w14:paraId="44689C33">
            <w:pPr>
              <w:widowControl/>
              <w:snapToGrid w:val="0"/>
              <w:spacing w:line="280" w:lineRule="exact"/>
              <w:contextualSpacing/>
              <w:jc w:val="center"/>
              <w:rPr>
                <w:rFonts w:eastAsia="仿宋_GB2312"/>
                <w:szCs w:val="21"/>
              </w:rPr>
            </w:pPr>
            <w:r>
              <w:rPr>
                <w:rFonts w:eastAsia="仿宋_GB2312"/>
                <w:szCs w:val="21"/>
              </w:rPr>
              <w:t>陆</w:t>
            </w:r>
            <w:r>
              <w:rPr>
                <w:rFonts w:hint="eastAsia" w:eastAsia="仿宋_GB2312"/>
                <w:szCs w:val="21"/>
              </w:rPr>
              <w:t xml:space="preserve">  </w:t>
            </w:r>
            <w:r>
              <w:rPr>
                <w:rFonts w:eastAsia="仿宋_GB2312"/>
                <w:szCs w:val="21"/>
              </w:rPr>
              <w:t>俊</w:t>
            </w:r>
          </w:p>
        </w:tc>
      </w:tr>
      <w:tr w14:paraId="3CA49C48">
        <w:tblPrEx>
          <w:tblCellMar>
            <w:top w:w="0" w:type="dxa"/>
            <w:left w:w="108" w:type="dxa"/>
            <w:bottom w:w="0" w:type="dxa"/>
            <w:right w:w="108" w:type="dxa"/>
          </w:tblCellMar>
        </w:tblPrEx>
        <w:trPr>
          <w:trHeight w:val="1248"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E09A157">
            <w:pPr>
              <w:widowControl/>
              <w:snapToGrid w:val="0"/>
              <w:spacing w:line="280" w:lineRule="exact"/>
              <w:contextualSpacing/>
              <w:jc w:val="center"/>
              <w:rPr>
                <w:rFonts w:eastAsia="黑体"/>
                <w:kern w:val="0"/>
                <w:sz w:val="24"/>
              </w:rPr>
            </w:pPr>
            <w:r>
              <w:rPr>
                <w:rFonts w:eastAsia="黑体"/>
                <w:kern w:val="0"/>
                <w:sz w:val="24"/>
              </w:rPr>
              <w:t>13</w:t>
            </w:r>
          </w:p>
        </w:tc>
        <w:tc>
          <w:tcPr>
            <w:tcW w:w="1481" w:type="dxa"/>
            <w:tcBorders>
              <w:top w:val="single" w:color="auto" w:sz="4" w:space="0"/>
              <w:left w:val="single" w:color="auto" w:sz="4" w:space="0"/>
              <w:bottom w:val="single" w:color="auto" w:sz="4" w:space="0"/>
              <w:right w:val="single" w:color="auto" w:sz="4" w:space="0"/>
            </w:tcBorders>
            <w:vAlign w:val="center"/>
          </w:tcPr>
          <w:p w14:paraId="5B56E8E1">
            <w:pPr>
              <w:widowControl/>
              <w:snapToGrid w:val="0"/>
              <w:spacing w:line="280" w:lineRule="exact"/>
              <w:contextualSpacing/>
              <w:jc w:val="center"/>
              <w:rPr>
                <w:rFonts w:eastAsia="仿宋"/>
                <w:sz w:val="24"/>
              </w:rPr>
            </w:pPr>
            <w:r>
              <w:rPr>
                <w:rFonts w:eastAsia="仿宋_GB2312"/>
                <w:szCs w:val="21"/>
              </w:rPr>
              <w:t>守护群众“舌尖上的安全”</w:t>
            </w:r>
            <w:r>
              <w:rPr>
                <w:rFonts w:hint="eastAsia" w:eastAsia="仿宋_GB2312"/>
                <w:szCs w:val="21"/>
              </w:rPr>
              <w:t>工程</w:t>
            </w:r>
          </w:p>
        </w:tc>
        <w:tc>
          <w:tcPr>
            <w:tcW w:w="3508" w:type="dxa"/>
            <w:tcBorders>
              <w:top w:val="single" w:color="auto" w:sz="4" w:space="0"/>
              <w:left w:val="single" w:color="auto" w:sz="4" w:space="0"/>
              <w:bottom w:val="single" w:color="auto" w:sz="4" w:space="0"/>
              <w:right w:val="single" w:color="auto" w:sz="4" w:space="0"/>
            </w:tcBorders>
            <w:vAlign w:val="center"/>
          </w:tcPr>
          <w:p w14:paraId="343C862A">
            <w:pPr>
              <w:widowControl/>
              <w:snapToGrid w:val="0"/>
              <w:spacing w:line="240" w:lineRule="exact"/>
              <w:contextualSpacing/>
              <w:rPr>
                <w:rFonts w:eastAsia="仿宋_GB2312"/>
                <w:szCs w:val="21"/>
              </w:rPr>
            </w:pPr>
            <w:r>
              <w:rPr>
                <w:rFonts w:eastAsia="仿宋_GB2312"/>
                <w:szCs w:val="21"/>
              </w:rPr>
              <w:t>五一工程：“一篮称心菜、一碗放心饭，一批随心检，一老一小安心餐”。</w:t>
            </w:r>
          </w:p>
        </w:tc>
        <w:tc>
          <w:tcPr>
            <w:tcW w:w="7391" w:type="dxa"/>
            <w:tcBorders>
              <w:top w:val="single" w:color="auto" w:sz="4" w:space="0"/>
              <w:left w:val="single" w:color="auto" w:sz="4" w:space="0"/>
              <w:bottom w:val="single" w:color="auto" w:sz="4" w:space="0"/>
              <w:right w:val="single" w:color="auto" w:sz="4" w:space="0"/>
            </w:tcBorders>
            <w:vAlign w:val="center"/>
          </w:tcPr>
          <w:p w14:paraId="6600C3C9">
            <w:pPr>
              <w:widowControl/>
              <w:snapToGrid w:val="0"/>
              <w:spacing w:line="240" w:lineRule="exact"/>
              <w:contextualSpacing/>
              <w:jc w:val="left"/>
              <w:rPr>
                <w:rFonts w:eastAsia="仿宋_GB2312"/>
                <w:szCs w:val="21"/>
              </w:rPr>
            </w:pPr>
            <w:r>
              <w:rPr>
                <w:rFonts w:eastAsia="仿宋_GB2312"/>
                <w:szCs w:val="21"/>
              </w:rPr>
              <w:t>一篮称心菜，全区“安心菜场”平均每家每天至少快检食用农产品8批次，实时公开检测结果；一碗放心饭，全年粮食抽检不低于200批次；一批随心检，开展“你点我检”活动，抽检不低于100批次；一老一小安心餐，全区学校、养老机构食堂实施“阳光餐饮”实时公开后厨，每家至少3批次食品抽检，公示抽检结果。</w:t>
            </w:r>
          </w:p>
        </w:tc>
        <w:tc>
          <w:tcPr>
            <w:tcW w:w="1086" w:type="dxa"/>
            <w:tcBorders>
              <w:top w:val="single" w:color="auto" w:sz="4" w:space="0"/>
              <w:left w:val="single" w:color="auto" w:sz="4" w:space="0"/>
              <w:bottom w:val="single" w:color="auto" w:sz="4" w:space="0"/>
              <w:right w:val="single" w:color="auto" w:sz="4" w:space="0"/>
            </w:tcBorders>
            <w:vAlign w:val="center"/>
          </w:tcPr>
          <w:p w14:paraId="6961BBAE">
            <w:pPr>
              <w:widowControl/>
              <w:snapToGrid w:val="0"/>
              <w:spacing w:line="280" w:lineRule="exact"/>
              <w:contextualSpacing/>
              <w:jc w:val="center"/>
              <w:rPr>
                <w:rFonts w:eastAsia="仿宋_GB2312"/>
                <w:szCs w:val="21"/>
              </w:rPr>
            </w:pPr>
            <w:r>
              <w:rPr>
                <w:rFonts w:eastAsia="仿宋_GB2312"/>
                <w:szCs w:val="21"/>
              </w:rPr>
              <w:t>食品安全</w:t>
            </w:r>
          </w:p>
          <w:p w14:paraId="68B997F2">
            <w:pPr>
              <w:widowControl/>
              <w:snapToGrid w:val="0"/>
              <w:spacing w:line="280" w:lineRule="exact"/>
              <w:contextualSpacing/>
              <w:jc w:val="center"/>
              <w:rPr>
                <w:rFonts w:eastAsia="仿宋_GB2312"/>
                <w:szCs w:val="21"/>
              </w:rPr>
            </w:pPr>
            <w:r>
              <w:rPr>
                <w:rFonts w:eastAsia="仿宋_GB2312"/>
                <w:szCs w:val="21"/>
              </w:rPr>
              <w:t>监督管理科</w:t>
            </w:r>
          </w:p>
        </w:tc>
        <w:tc>
          <w:tcPr>
            <w:tcW w:w="1066" w:type="dxa"/>
            <w:tcBorders>
              <w:top w:val="single" w:color="auto" w:sz="4" w:space="0"/>
              <w:left w:val="single" w:color="auto" w:sz="4" w:space="0"/>
              <w:bottom w:val="single" w:color="auto" w:sz="4" w:space="0"/>
              <w:right w:val="single" w:color="auto" w:sz="4" w:space="0"/>
            </w:tcBorders>
            <w:vAlign w:val="center"/>
          </w:tcPr>
          <w:p w14:paraId="254BD54C">
            <w:pPr>
              <w:widowControl/>
              <w:snapToGrid w:val="0"/>
              <w:spacing w:line="280" w:lineRule="exact"/>
              <w:contextualSpacing/>
              <w:jc w:val="center"/>
              <w:rPr>
                <w:rFonts w:eastAsia="仿宋_GB2312"/>
                <w:szCs w:val="21"/>
              </w:rPr>
            </w:pPr>
            <w:r>
              <w:rPr>
                <w:rFonts w:eastAsia="仿宋_GB2312"/>
                <w:szCs w:val="21"/>
              </w:rPr>
              <w:t>陆</w:t>
            </w:r>
            <w:r>
              <w:rPr>
                <w:rFonts w:hint="eastAsia" w:eastAsia="仿宋_GB2312"/>
                <w:szCs w:val="21"/>
              </w:rPr>
              <w:t xml:space="preserve">  </w:t>
            </w:r>
            <w:r>
              <w:rPr>
                <w:rFonts w:eastAsia="仿宋_GB2312"/>
                <w:szCs w:val="21"/>
              </w:rPr>
              <w:t>俊</w:t>
            </w:r>
          </w:p>
        </w:tc>
      </w:tr>
      <w:tr w14:paraId="6F0243C8">
        <w:tblPrEx>
          <w:tblCellMar>
            <w:top w:w="0" w:type="dxa"/>
            <w:left w:w="108" w:type="dxa"/>
            <w:bottom w:w="0" w:type="dxa"/>
            <w:right w:w="108" w:type="dxa"/>
          </w:tblCellMar>
        </w:tblPrEx>
        <w:trPr>
          <w:trHeight w:val="2329"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7CC81F5">
            <w:pPr>
              <w:widowControl/>
              <w:snapToGrid w:val="0"/>
              <w:spacing w:line="280" w:lineRule="exact"/>
              <w:contextualSpacing/>
              <w:jc w:val="center"/>
              <w:rPr>
                <w:rFonts w:eastAsia="黑体"/>
                <w:kern w:val="0"/>
                <w:sz w:val="24"/>
              </w:rPr>
            </w:pPr>
            <w:r>
              <w:rPr>
                <w:rFonts w:eastAsia="黑体"/>
                <w:kern w:val="0"/>
                <w:sz w:val="24"/>
              </w:rPr>
              <w:t>14</w:t>
            </w:r>
          </w:p>
        </w:tc>
        <w:tc>
          <w:tcPr>
            <w:tcW w:w="1481" w:type="dxa"/>
            <w:tcBorders>
              <w:top w:val="single" w:color="auto" w:sz="4" w:space="0"/>
              <w:left w:val="single" w:color="auto" w:sz="4" w:space="0"/>
              <w:bottom w:val="single" w:color="auto" w:sz="4" w:space="0"/>
              <w:right w:val="single" w:color="auto" w:sz="4" w:space="0"/>
            </w:tcBorders>
            <w:vAlign w:val="center"/>
          </w:tcPr>
          <w:p w14:paraId="511747BC">
            <w:pPr>
              <w:widowControl/>
              <w:snapToGrid w:val="0"/>
              <w:spacing w:line="280" w:lineRule="exact"/>
              <w:contextualSpacing/>
              <w:jc w:val="center"/>
              <w:rPr>
                <w:rFonts w:eastAsia="黑体"/>
                <w:color w:val="0070C0"/>
                <w:kern w:val="0"/>
                <w:sz w:val="24"/>
              </w:rPr>
            </w:pPr>
            <w:r>
              <w:rPr>
                <w:rFonts w:eastAsia="仿宋_GB2312"/>
                <w:szCs w:val="21"/>
              </w:rPr>
              <w:t>电梯安全提升</w:t>
            </w:r>
          </w:p>
        </w:tc>
        <w:tc>
          <w:tcPr>
            <w:tcW w:w="3508" w:type="dxa"/>
            <w:tcBorders>
              <w:top w:val="single" w:color="auto" w:sz="4" w:space="0"/>
              <w:left w:val="single" w:color="auto" w:sz="4" w:space="0"/>
              <w:bottom w:val="single" w:color="auto" w:sz="4" w:space="0"/>
              <w:right w:val="single" w:color="auto" w:sz="4" w:space="0"/>
            </w:tcBorders>
            <w:vAlign w:val="center"/>
          </w:tcPr>
          <w:p w14:paraId="3839C2DC">
            <w:pPr>
              <w:widowControl/>
              <w:snapToGrid w:val="0"/>
              <w:spacing w:line="240" w:lineRule="exact"/>
              <w:contextualSpacing/>
              <w:jc w:val="left"/>
              <w:rPr>
                <w:rFonts w:eastAsia="仿宋_GB2312"/>
                <w:color w:val="0070C0"/>
                <w:szCs w:val="21"/>
              </w:rPr>
            </w:pPr>
            <w:r>
              <w:rPr>
                <w:rFonts w:eastAsia="仿宋_GB2312"/>
                <w:szCs w:val="21"/>
              </w:rPr>
              <w:t>深入实施电梯物联网工程，进一步提升电梯的安全水平。对全区老旧小区人员密集场所的1300台电梯加装物联网设备，运用系统对电梯运行数据采集和分析，实现智慧化电梯故障和困人预警。开展电梯维保质量抽查，全面排查电梯各类安全隐患，严厉打击电梯安全领域违法违规行为。</w:t>
            </w:r>
          </w:p>
        </w:tc>
        <w:tc>
          <w:tcPr>
            <w:tcW w:w="7391" w:type="dxa"/>
            <w:tcBorders>
              <w:top w:val="single" w:color="auto" w:sz="4" w:space="0"/>
              <w:left w:val="single" w:color="auto" w:sz="4" w:space="0"/>
              <w:bottom w:val="single" w:color="auto" w:sz="4" w:space="0"/>
              <w:right w:val="single" w:color="auto" w:sz="4" w:space="0"/>
            </w:tcBorders>
            <w:vAlign w:val="center"/>
          </w:tcPr>
          <w:p w14:paraId="27E7A298">
            <w:pPr>
              <w:widowControl/>
              <w:snapToGrid w:val="0"/>
              <w:spacing w:line="240" w:lineRule="exact"/>
              <w:contextualSpacing/>
              <w:jc w:val="left"/>
              <w:rPr>
                <w:rFonts w:eastAsia="仿宋_GB2312"/>
                <w:szCs w:val="21"/>
              </w:rPr>
            </w:pPr>
            <w:r>
              <w:rPr>
                <w:rFonts w:eastAsia="仿宋_GB2312"/>
                <w:szCs w:val="21"/>
              </w:rPr>
              <w:t>一季度：对全区电梯进行全面梳理，确定纳入物联网建设的老旧小区电梯和人员密集场所的电梯清单。拟定电梯维保质量抽查方案确定抽查计划。</w:t>
            </w:r>
          </w:p>
          <w:p w14:paraId="1E35BC57">
            <w:pPr>
              <w:widowControl/>
              <w:snapToGrid w:val="0"/>
              <w:spacing w:line="240" w:lineRule="exact"/>
              <w:contextualSpacing/>
              <w:jc w:val="left"/>
              <w:rPr>
                <w:rFonts w:eastAsia="仿宋_GB2312"/>
                <w:szCs w:val="21"/>
              </w:rPr>
            </w:pPr>
            <w:r>
              <w:rPr>
                <w:rFonts w:eastAsia="仿宋_GB2312"/>
                <w:szCs w:val="21"/>
              </w:rPr>
              <w:t>二季度：实施电梯物联网项目招投标各项工作。部署电梯维保质量抽查工作。</w:t>
            </w:r>
          </w:p>
          <w:p w14:paraId="392D21B7">
            <w:pPr>
              <w:widowControl/>
              <w:snapToGrid w:val="0"/>
              <w:spacing w:line="240" w:lineRule="exact"/>
              <w:contextualSpacing/>
              <w:jc w:val="left"/>
              <w:rPr>
                <w:rFonts w:eastAsia="仿宋_GB2312"/>
                <w:szCs w:val="21"/>
              </w:rPr>
            </w:pPr>
            <w:r>
              <w:rPr>
                <w:rFonts w:eastAsia="仿宋_GB2312"/>
                <w:szCs w:val="21"/>
              </w:rPr>
              <w:t>三季度：中标建设单位开展电梯物联网建设，加强对电梯物联网建设中遇到的问题进行协调处置，对物联网加装的小区开展培训。各分局联合专家开展维保质量抽查，严肃查处维保单位和使用单位的违法行为。</w:t>
            </w:r>
          </w:p>
          <w:p w14:paraId="1D27B6E0">
            <w:pPr>
              <w:widowControl/>
              <w:snapToGrid w:val="0"/>
              <w:spacing w:line="240" w:lineRule="exact"/>
              <w:contextualSpacing/>
              <w:jc w:val="left"/>
              <w:rPr>
                <w:rFonts w:eastAsia="仿宋_GB2312"/>
                <w:color w:val="0070C0"/>
                <w:szCs w:val="21"/>
              </w:rPr>
            </w:pPr>
            <w:r>
              <w:rPr>
                <w:rFonts w:eastAsia="仿宋_GB2312"/>
                <w:szCs w:val="21"/>
              </w:rPr>
              <w:t>四季度：对电梯物联网工程实施验收。加强各地加装物联网系统的使用单位的指导，总结电梯物联网系统的经验。对维保质量抽查工作进行总结和交流。</w:t>
            </w:r>
          </w:p>
        </w:tc>
        <w:tc>
          <w:tcPr>
            <w:tcW w:w="1086" w:type="dxa"/>
            <w:tcBorders>
              <w:top w:val="single" w:color="auto" w:sz="4" w:space="0"/>
              <w:left w:val="single" w:color="auto" w:sz="4" w:space="0"/>
              <w:bottom w:val="single" w:color="auto" w:sz="4" w:space="0"/>
              <w:right w:val="single" w:color="auto" w:sz="4" w:space="0"/>
            </w:tcBorders>
            <w:vAlign w:val="center"/>
          </w:tcPr>
          <w:p w14:paraId="6AF4AAF0">
            <w:pPr>
              <w:widowControl/>
              <w:snapToGrid w:val="0"/>
              <w:spacing w:line="280" w:lineRule="exact"/>
              <w:contextualSpacing/>
              <w:jc w:val="center"/>
              <w:rPr>
                <w:rFonts w:eastAsia="仿宋_GB2312"/>
                <w:szCs w:val="21"/>
              </w:rPr>
            </w:pPr>
            <w:r>
              <w:rPr>
                <w:rFonts w:eastAsia="仿宋_GB2312"/>
                <w:szCs w:val="21"/>
              </w:rPr>
              <w:t>特设科</w:t>
            </w:r>
          </w:p>
        </w:tc>
        <w:tc>
          <w:tcPr>
            <w:tcW w:w="1066" w:type="dxa"/>
            <w:tcBorders>
              <w:top w:val="single" w:color="auto" w:sz="4" w:space="0"/>
              <w:left w:val="single" w:color="auto" w:sz="4" w:space="0"/>
              <w:bottom w:val="single" w:color="auto" w:sz="4" w:space="0"/>
              <w:right w:val="single" w:color="auto" w:sz="4" w:space="0"/>
            </w:tcBorders>
            <w:vAlign w:val="center"/>
          </w:tcPr>
          <w:p w14:paraId="248BE389">
            <w:pPr>
              <w:widowControl/>
              <w:snapToGrid w:val="0"/>
              <w:spacing w:line="280" w:lineRule="exact"/>
              <w:contextualSpacing/>
              <w:jc w:val="center"/>
              <w:rPr>
                <w:rFonts w:eastAsia="仿宋_GB2312"/>
                <w:szCs w:val="21"/>
              </w:rPr>
            </w:pPr>
            <w:r>
              <w:rPr>
                <w:rFonts w:eastAsia="仿宋_GB2312"/>
                <w:szCs w:val="21"/>
              </w:rPr>
              <w:t>上官欣</w:t>
            </w:r>
          </w:p>
        </w:tc>
      </w:tr>
      <w:tr w14:paraId="55150B5A">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239F5D32">
            <w:pPr>
              <w:widowControl/>
              <w:snapToGrid w:val="0"/>
              <w:spacing w:line="280" w:lineRule="exact"/>
              <w:contextualSpacing/>
              <w:jc w:val="center"/>
              <w:rPr>
                <w:rFonts w:eastAsia="黑体"/>
                <w:kern w:val="0"/>
                <w:sz w:val="24"/>
              </w:rPr>
            </w:pPr>
            <w:r>
              <w:rPr>
                <w:rFonts w:eastAsia="黑体"/>
                <w:kern w:val="0"/>
                <w:sz w:val="24"/>
              </w:rPr>
              <w:t>15</w:t>
            </w:r>
          </w:p>
        </w:tc>
        <w:tc>
          <w:tcPr>
            <w:tcW w:w="1481" w:type="dxa"/>
            <w:tcBorders>
              <w:top w:val="single" w:color="auto" w:sz="4" w:space="0"/>
              <w:left w:val="single" w:color="auto" w:sz="4" w:space="0"/>
              <w:bottom w:val="single" w:color="auto" w:sz="4" w:space="0"/>
              <w:right w:val="single" w:color="auto" w:sz="4" w:space="0"/>
            </w:tcBorders>
            <w:vAlign w:val="center"/>
          </w:tcPr>
          <w:p w14:paraId="5981D7C2">
            <w:pPr>
              <w:widowControl/>
              <w:snapToGrid w:val="0"/>
              <w:spacing w:line="280" w:lineRule="exact"/>
              <w:contextualSpacing/>
              <w:jc w:val="center"/>
              <w:rPr>
                <w:rFonts w:eastAsia="仿宋_GB2312"/>
                <w:color w:val="0070C0"/>
                <w:szCs w:val="21"/>
              </w:rPr>
            </w:pPr>
            <w:r>
              <w:rPr>
                <w:rFonts w:eastAsia="仿宋_GB2312"/>
                <w:szCs w:val="21"/>
              </w:rPr>
              <w:t>药品质量安全提升</w:t>
            </w:r>
          </w:p>
        </w:tc>
        <w:tc>
          <w:tcPr>
            <w:tcW w:w="3508" w:type="dxa"/>
            <w:tcBorders>
              <w:top w:val="single" w:color="auto" w:sz="4" w:space="0"/>
              <w:left w:val="single" w:color="auto" w:sz="4" w:space="0"/>
              <w:bottom w:val="single" w:color="auto" w:sz="4" w:space="0"/>
              <w:right w:val="single" w:color="auto" w:sz="4" w:space="0"/>
            </w:tcBorders>
            <w:vAlign w:val="center"/>
          </w:tcPr>
          <w:p w14:paraId="5B7AA6DF">
            <w:pPr>
              <w:widowControl/>
              <w:snapToGrid w:val="0"/>
              <w:spacing w:line="240" w:lineRule="exact"/>
              <w:contextualSpacing/>
              <w:jc w:val="left"/>
              <w:rPr>
                <w:rFonts w:eastAsia="仿宋_GB2312"/>
                <w:color w:val="0070C0"/>
                <w:szCs w:val="21"/>
              </w:rPr>
            </w:pPr>
            <w:r>
              <w:rPr>
                <w:rFonts w:eastAsia="仿宋_GB2312"/>
                <w:szCs w:val="21"/>
              </w:rPr>
              <w:t>强化药品经营和使用单位主体责任意识，加强零售药店、个体诊所等药品质量监督检查，加强药品网络销售监督管理，加强监督抽检，促进药品质量安全进一步提升。</w:t>
            </w:r>
          </w:p>
        </w:tc>
        <w:tc>
          <w:tcPr>
            <w:tcW w:w="7391" w:type="dxa"/>
            <w:tcBorders>
              <w:top w:val="single" w:color="auto" w:sz="4" w:space="0"/>
              <w:left w:val="single" w:color="auto" w:sz="4" w:space="0"/>
              <w:bottom w:val="single" w:color="auto" w:sz="4" w:space="0"/>
              <w:right w:val="single" w:color="auto" w:sz="4" w:space="0"/>
            </w:tcBorders>
            <w:vAlign w:val="center"/>
          </w:tcPr>
          <w:p w14:paraId="0801FCE5">
            <w:pPr>
              <w:widowControl/>
              <w:snapToGrid w:val="0"/>
              <w:spacing w:line="240" w:lineRule="exact"/>
              <w:contextualSpacing/>
              <w:rPr>
                <w:rFonts w:eastAsia="仿宋_GB2312"/>
                <w:szCs w:val="24"/>
              </w:rPr>
            </w:pPr>
            <w:r>
              <w:rPr>
                <w:rFonts w:eastAsia="仿宋_GB2312"/>
                <w:szCs w:val="24"/>
              </w:rPr>
              <w:t>一季度：统筹规划，结合药品重点工作任务，开展专项检查和整治、药品网络销售环节集中治理，提升药品经营和使用单位主体责任意识。</w:t>
            </w:r>
          </w:p>
          <w:p w14:paraId="4AE65DDA">
            <w:pPr>
              <w:widowControl/>
              <w:snapToGrid w:val="0"/>
              <w:spacing w:line="240" w:lineRule="exact"/>
              <w:contextualSpacing/>
              <w:rPr>
                <w:rFonts w:eastAsia="仿宋_GB2312"/>
                <w:szCs w:val="24"/>
              </w:rPr>
            </w:pPr>
            <w:r>
              <w:rPr>
                <w:rFonts w:eastAsia="仿宋_GB2312"/>
                <w:szCs w:val="24"/>
              </w:rPr>
              <w:t>二季度：深入开展专项检查和整治。聚焦疫苗、血液制品、含特殊药品复方制剂、常用及高值集采中选药品等重点品种，围绕药品购进渠道、处方药销售等重点环节，综合运用常规检查、有因检查、飞行检查等方式加大监督检查，严肃依法查处违法违规行为。</w:t>
            </w:r>
          </w:p>
          <w:p w14:paraId="34A397A7">
            <w:pPr>
              <w:widowControl/>
              <w:snapToGrid w:val="0"/>
              <w:spacing w:line="240" w:lineRule="exact"/>
              <w:contextualSpacing/>
              <w:rPr>
                <w:rFonts w:eastAsia="仿宋_GB2312"/>
                <w:szCs w:val="24"/>
              </w:rPr>
            </w:pPr>
            <w:r>
              <w:rPr>
                <w:rFonts w:eastAsia="仿宋_GB2312"/>
                <w:szCs w:val="24"/>
              </w:rPr>
              <w:t>三季度：基本完成日常检查和专项检查。按照零售药店分级监管，对零售药店三级、二级、一级监管对象检查比例分别不低于50%、40%和35%。药品使用单位监督检查不少于35%，药品抽检150批次。</w:t>
            </w:r>
          </w:p>
          <w:p w14:paraId="6236AF27">
            <w:pPr>
              <w:widowControl/>
              <w:snapToGrid w:val="0"/>
              <w:spacing w:line="240" w:lineRule="exact"/>
              <w:contextualSpacing/>
              <w:rPr>
                <w:rFonts w:eastAsia="仿宋_GB2312"/>
                <w:color w:val="0070C0"/>
                <w:szCs w:val="21"/>
              </w:rPr>
            </w:pPr>
            <w:r>
              <w:rPr>
                <w:rFonts w:eastAsia="仿宋_GB2312"/>
                <w:szCs w:val="24"/>
              </w:rPr>
              <w:t>四季度：结合全国安全用药月等，持续加强宣传、提升企业主体责任意识。总结工作经验，完善治理体制、建立长效提升药品质量安全的机制。</w:t>
            </w:r>
          </w:p>
        </w:tc>
        <w:tc>
          <w:tcPr>
            <w:tcW w:w="1086" w:type="dxa"/>
            <w:tcBorders>
              <w:top w:val="single" w:color="auto" w:sz="4" w:space="0"/>
              <w:left w:val="single" w:color="auto" w:sz="4" w:space="0"/>
              <w:bottom w:val="single" w:color="auto" w:sz="4" w:space="0"/>
              <w:right w:val="single" w:color="auto" w:sz="4" w:space="0"/>
            </w:tcBorders>
            <w:vAlign w:val="center"/>
          </w:tcPr>
          <w:p w14:paraId="788C7C2E">
            <w:pPr>
              <w:widowControl/>
              <w:snapToGrid w:val="0"/>
              <w:spacing w:line="280" w:lineRule="exact"/>
              <w:contextualSpacing/>
              <w:jc w:val="left"/>
              <w:rPr>
                <w:rFonts w:eastAsia="仿宋_GB2312"/>
                <w:szCs w:val="21"/>
              </w:rPr>
            </w:pPr>
            <w:r>
              <w:rPr>
                <w:rFonts w:eastAsia="仿宋_GB2312"/>
                <w:szCs w:val="21"/>
              </w:rPr>
              <w:t>药品医疗器械监管科</w:t>
            </w:r>
          </w:p>
        </w:tc>
        <w:tc>
          <w:tcPr>
            <w:tcW w:w="1066" w:type="dxa"/>
            <w:tcBorders>
              <w:top w:val="single" w:color="auto" w:sz="4" w:space="0"/>
              <w:left w:val="single" w:color="auto" w:sz="4" w:space="0"/>
              <w:bottom w:val="single" w:color="auto" w:sz="4" w:space="0"/>
              <w:right w:val="single" w:color="auto" w:sz="4" w:space="0"/>
            </w:tcBorders>
            <w:vAlign w:val="center"/>
          </w:tcPr>
          <w:p w14:paraId="38D3268D">
            <w:pPr>
              <w:widowControl/>
              <w:snapToGrid w:val="0"/>
              <w:spacing w:line="280" w:lineRule="exact"/>
              <w:contextualSpacing/>
              <w:jc w:val="left"/>
              <w:rPr>
                <w:rFonts w:eastAsia="仿宋_GB2312"/>
                <w:szCs w:val="21"/>
              </w:rPr>
            </w:pPr>
            <w:r>
              <w:rPr>
                <w:rFonts w:eastAsia="仿宋_GB2312"/>
                <w:szCs w:val="21"/>
              </w:rPr>
              <w:t>王金熔</w:t>
            </w:r>
          </w:p>
        </w:tc>
      </w:tr>
      <w:tr w14:paraId="4C616830">
        <w:tblPrEx>
          <w:tblCellMar>
            <w:top w:w="0" w:type="dxa"/>
            <w:left w:w="108" w:type="dxa"/>
            <w:bottom w:w="0" w:type="dxa"/>
            <w:right w:w="108" w:type="dxa"/>
          </w:tblCellMar>
        </w:tblPrEx>
        <w:trPr>
          <w:trHeight w:val="3588"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35B8F949">
            <w:pPr>
              <w:widowControl/>
              <w:snapToGrid w:val="0"/>
              <w:spacing w:line="280" w:lineRule="exact"/>
              <w:contextualSpacing/>
              <w:jc w:val="center"/>
              <w:rPr>
                <w:rFonts w:eastAsia="黑体"/>
                <w:kern w:val="0"/>
                <w:sz w:val="24"/>
              </w:rPr>
            </w:pPr>
            <w:r>
              <w:rPr>
                <w:rFonts w:eastAsia="黑体"/>
                <w:kern w:val="0"/>
                <w:sz w:val="24"/>
              </w:rPr>
              <w:t>16</w:t>
            </w:r>
          </w:p>
        </w:tc>
        <w:tc>
          <w:tcPr>
            <w:tcW w:w="1481" w:type="dxa"/>
            <w:tcBorders>
              <w:top w:val="single" w:color="auto" w:sz="4" w:space="0"/>
              <w:left w:val="single" w:color="auto" w:sz="4" w:space="0"/>
              <w:bottom w:val="single" w:color="auto" w:sz="4" w:space="0"/>
              <w:right w:val="single" w:color="auto" w:sz="4" w:space="0"/>
            </w:tcBorders>
            <w:vAlign w:val="center"/>
          </w:tcPr>
          <w:p w14:paraId="1C1DE6E8">
            <w:pPr>
              <w:widowControl/>
              <w:snapToGrid w:val="0"/>
              <w:spacing w:line="280" w:lineRule="exact"/>
              <w:contextualSpacing/>
              <w:jc w:val="left"/>
              <w:rPr>
                <w:rFonts w:eastAsia="仿宋_GB2312"/>
                <w:szCs w:val="24"/>
              </w:rPr>
            </w:pPr>
            <w:r>
              <w:rPr>
                <w:rFonts w:eastAsia="仿宋_GB2312"/>
                <w:szCs w:val="24"/>
              </w:rPr>
              <w:t>放心消费创建、消费维权服务</w:t>
            </w:r>
          </w:p>
        </w:tc>
        <w:tc>
          <w:tcPr>
            <w:tcW w:w="3508" w:type="dxa"/>
            <w:tcBorders>
              <w:top w:val="single" w:color="auto" w:sz="4" w:space="0"/>
              <w:left w:val="single" w:color="auto" w:sz="4" w:space="0"/>
              <w:bottom w:val="single" w:color="auto" w:sz="4" w:space="0"/>
              <w:right w:val="single" w:color="auto" w:sz="4" w:space="0"/>
            </w:tcBorders>
            <w:vAlign w:val="center"/>
          </w:tcPr>
          <w:p w14:paraId="14B06787">
            <w:pPr>
              <w:widowControl/>
              <w:snapToGrid w:val="0"/>
              <w:spacing w:line="280" w:lineRule="exact"/>
              <w:contextualSpacing/>
              <w:jc w:val="left"/>
              <w:rPr>
                <w:rFonts w:eastAsia="仿宋_GB2312"/>
                <w:szCs w:val="24"/>
              </w:rPr>
            </w:pPr>
            <w:r>
              <w:rPr>
                <w:rFonts w:eastAsia="仿宋_GB2312"/>
                <w:szCs w:val="24"/>
              </w:rPr>
              <w:t>开展“3·15”大型消费者权益日宣传活动，广泛开展“激发消费活力”年主题消费维权宣传活动，增强全区消费者维权意识。引导</w:t>
            </w:r>
            <w:r>
              <w:rPr>
                <w:rFonts w:hint="eastAsia" w:eastAsia="仿宋_GB2312"/>
                <w:szCs w:val="24"/>
              </w:rPr>
              <w:t>辖区</w:t>
            </w:r>
            <w:r>
              <w:rPr>
                <w:rFonts w:eastAsia="仿宋_GB2312"/>
                <w:szCs w:val="24"/>
              </w:rPr>
              <w:t>申报市级消费教育示范基地，并指导其按市级消费教育示范基地建设管理规范运行。鼓励引导</w:t>
            </w:r>
            <w:r>
              <w:rPr>
                <w:rFonts w:hint="eastAsia" w:eastAsia="仿宋_GB2312"/>
                <w:szCs w:val="24"/>
              </w:rPr>
              <w:t>商家参加</w:t>
            </w:r>
            <w:r>
              <w:rPr>
                <w:rFonts w:eastAsia="仿宋_GB2312"/>
                <w:szCs w:val="24"/>
              </w:rPr>
              <w:t>线下七天无理由退货承诺。培育和壮大全区市级（省级）放心消费创建先进及示范单位；择优创建市级（省级）放心消费区域（美丽乡村放心消费示范点、放心消费创建先进社区、放心消费创建先进街区）。</w:t>
            </w:r>
          </w:p>
        </w:tc>
        <w:tc>
          <w:tcPr>
            <w:tcW w:w="7391" w:type="dxa"/>
            <w:tcBorders>
              <w:top w:val="single" w:color="auto" w:sz="4" w:space="0"/>
              <w:left w:val="single" w:color="auto" w:sz="4" w:space="0"/>
              <w:bottom w:val="single" w:color="auto" w:sz="4" w:space="0"/>
              <w:right w:val="single" w:color="auto" w:sz="4" w:space="0"/>
            </w:tcBorders>
            <w:vAlign w:val="center"/>
          </w:tcPr>
          <w:p w14:paraId="2A165CE5">
            <w:pPr>
              <w:widowControl/>
              <w:snapToGrid w:val="0"/>
              <w:spacing w:line="280" w:lineRule="exact"/>
              <w:contextualSpacing/>
              <w:jc w:val="left"/>
              <w:rPr>
                <w:rFonts w:eastAsia="仿宋_GB2312"/>
                <w:szCs w:val="24"/>
              </w:rPr>
            </w:pPr>
            <w:r>
              <w:rPr>
                <w:rFonts w:eastAsia="仿宋_GB2312"/>
                <w:szCs w:val="24"/>
              </w:rPr>
              <w:t>一季度：引导2家单位申报市级消费教育示范基地；在武进春秋淹城开展“3·15”消费者权益日大型宣传活动，在全区开展“激发消费活力”年主题消费维权宣传活动。鼓励引导线下七天无理由退货承诺单位60家。</w:t>
            </w:r>
          </w:p>
          <w:p w14:paraId="1BDC1923">
            <w:pPr>
              <w:widowControl/>
              <w:snapToGrid w:val="0"/>
              <w:spacing w:line="280" w:lineRule="exact"/>
              <w:contextualSpacing/>
              <w:jc w:val="left"/>
              <w:rPr>
                <w:rFonts w:eastAsia="仿宋_GB2312"/>
                <w:szCs w:val="24"/>
              </w:rPr>
            </w:pPr>
            <w:r>
              <w:rPr>
                <w:rFonts w:eastAsia="仿宋_GB2312"/>
                <w:szCs w:val="24"/>
              </w:rPr>
              <w:t>二季度：指导2家市级消费基地做好牌匾等上墙公示；鼓励引导线下七天无理由退货承诺单位290家。</w:t>
            </w:r>
          </w:p>
          <w:p w14:paraId="5E3FBD47">
            <w:pPr>
              <w:widowControl/>
              <w:snapToGrid w:val="0"/>
              <w:spacing w:line="280" w:lineRule="exact"/>
              <w:contextualSpacing/>
              <w:jc w:val="left"/>
              <w:rPr>
                <w:rFonts w:eastAsia="仿宋_GB2312"/>
                <w:szCs w:val="24"/>
              </w:rPr>
            </w:pPr>
            <w:r>
              <w:rPr>
                <w:rFonts w:eastAsia="仿宋_GB2312"/>
                <w:szCs w:val="24"/>
              </w:rPr>
              <w:t>三季度：鼓励引导线下七天无理由退货承诺单位400家。</w:t>
            </w:r>
          </w:p>
          <w:p w14:paraId="2C8A8014">
            <w:pPr>
              <w:widowControl/>
              <w:snapToGrid w:val="0"/>
              <w:spacing w:line="280" w:lineRule="exact"/>
              <w:contextualSpacing/>
              <w:jc w:val="left"/>
              <w:rPr>
                <w:rFonts w:eastAsia="仿宋_GB2312"/>
                <w:szCs w:val="24"/>
              </w:rPr>
            </w:pPr>
            <w:r>
              <w:rPr>
                <w:rFonts w:eastAsia="仿宋_GB2312"/>
                <w:szCs w:val="24"/>
              </w:rPr>
              <w:t>四季度：鼓励引导线下七天无理由退货承诺单位350家。</w:t>
            </w:r>
          </w:p>
        </w:tc>
        <w:tc>
          <w:tcPr>
            <w:tcW w:w="1086" w:type="dxa"/>
            <w:tcBorders>
              <w:top w:val="single" w:color="auto" w:sz="4" w:space="0"/>
              <w:left w:val="single" w:color="auto" w:sz="4" w:space="0"/>
              <w:bottom w:val="single" w:color="auto" w:sz="4" w:space="0"/>
              <w:right w:val="single" w:color="auto" w:sz="4" w:space="0"/>
            </w:tcBorders>
            <w:vAlign w:val="center"/>
          </w:tcPr>
          <w:p w14:paraId="1E3F78DE">
            <w:pPr>
              <w:widowControl/>
              <w:snapToGrid w:val="0"/>
              <w:spacing w:line="280" w:lineRule="exact"/>
              <w:contextualSpacing/>
              <w:jc w:val="left"/>
              <w:rPr>
                <w:rFonts w:eastAsia="仿宋_GB2312"/>
                <w:szCs w:val="24"/>
              </w:rPr>
            </w:pPr>
            <w:r>
              <w:rPr>
                <w:rFonts w:eastAsia="仿宋_GB2312"/>
                <w:szCs w:val="24"/>
              </w:rPr>
              <w:t>执法大队（消保中心）</w:t>
            </w:r>
          </w:p>
        </w:tc>
        <w:tc>
          <w:tcPr>
            <w:tcW w:w="1066" w:type="dxa"/>
            <w:tcBorders>
              <w:top w:val="single" w:color="auto" w:sz="4" w:space="0"/>
              <w:left w:val="single" w:color="auto" w:sz="4" w:space="0"/>
              <w:bottom w:val="single" w:color="auto" w:sz="4" w:space="0"/>
              <w:right w:val="single" w:color="auto" w:sz="4" w:space="0"/>
            </w:tcBorders>
            <w:vAlign w:val="center"/>
          </w:tcPr>
          <w:p w14:paraId="36691CB3">
            <w:pPr>
              <w:widowControl/>
              <w:snapToGrid w:val="0"/>
              <w:spacing w:line="280" w:lineRule="exact"/>
              <w:contextualSpacing/>
              <w:jc w:val="left"/>
              <w:rPr>
                <w:rFonts w:eastAsia="仿宋_GB2312"/>
                <w:szCs w:val="24"/>
              </w:rPr>
            </w:pPr>
            <w:r>
              <w:rPr>
                <w:rFonts w:eastAsia="仿宋_GB2312"/>
                <w:szCs w:val="24"/>
              </w:rPr>
              <w:t>束建刚</w:t>
            </w:r>
          </w:p>
        </w:tc>
      </w:tr>
      <w:tr w14:paraId="4939E262">
        <w:tblPrEx>
          <w:tblCellMar>
            <w:top w:w="0" w:type="dxa"/>
            <w:left w:w="108" w:type="dxa"/>
            <w:bottom w:w="0" w:type="dxa"/>
            <w:right w:w="108" w:type="dxa"/>
          </w:tblCellMar>
        </w:tblPrEx>
        <w:trPr>
          <w:trHeight w:val="333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875DF1F">
            <w:pPr>
              <w:widowControl/>
              <w:snapToGrid w:val="0"/>
              <w:spacing w:line="280" w:lineRule="exact"/>
              <w:contextualSpacing/>
              <w:jc w:val="left"/>
              <w:rPr>
                <w:rFonts w:eastAsia="仿宋_GB2312"/>
                <w:szCs w:val="21"/>
              </w:rPr>
            </w:pPr>
            <w:r>
              <w:rPr>
                <w:rFonts w:eastAsia="黑体"/>
                <w:kern w:val="0"/>
                <w:sz w:val="24"/>
              </w:rPr>
              <w:t>17</w:t>
            </w:r>
          </w:p>
        </w:tc>
        <w:tc>
          <w:tcPr>
            <w:tcW w:w="1481" w:type="dxa"/>
            <w:tcBorders>
              <w:top w:val="single" w:color="auto" w:sz="4" w:space="0"/>
              <w:left w:val="single" w:color="auto" w:sz="4" w:space="0"/>
              <w:bottom w:val="single" w:color="auto" w:sz="4" w:space="0"/>
              <w:right w:val="single" w:color="auto" w:sz="4" w:space="0"/>
            </w:tcBorders>
            <w:vAlign w:val="center"/>
          </w:tcPr>
          <w:p w14:paraId="0390B05D">
            <w:pPr>
              <w:widowControl/>
              <w:snapToGrid w:val="0"/>
              <w:spacing w:line="280" w:lineRule="exact"/>
              <w:contextualSpacing/>
              <w:jc w:val="left"/>
              <w:rPr>
                <w:rFonts w:eastAsia="仿宋_GB2312"/>
                <w:szCs w:val="24"/>
              </w:rPr>
            </w:pPr>
            <w:r>
              <w:rPr>
                <w:rFonts w:eastAsia="仿宋_GB2312"/>
                <w:szCs w:val="24"/>
              </w:rPr>
              <w:t>民生领域案件查办“铁拳”行动</w:t>
            </w:r>
          </w:p>
        </w:tc>
        <w:tc>
          <w:tcPr>
            <w:tcW w:w="3508" w:type="dxa"/>
            <w:tcBorders>
              <w:top w:val="single" w:color="auto" w:sz="4" w:space="0"/>
              <w:left w:val="single" w:color="auto" w:sz="4" w:space="0"/>
              <w:bottom w:val="single" w:color="auto" w:sz="4" w:space="0"/>
              <w:right w:val="single" w:color="auto" w:sz="4" w:space="0"/>
            </w:tcBorders>
            <w:vAlign w:val="center"/>
          </w:tcPr>
          <w:p w14:paraId="34365A6C">
            <w:pPr>
              <w:widowControl/>
              <w:snapToGrid w:val="0"/>
              <w:spacing w:line="280" w:lineRule="exact"/>
              <w:contextualSpacing/>
              <w:jc w:val="left"/>
              <w:rPr>
                <w:rFonts w:eastAsia="仿宋_GB2312"/>
                <w:szCs w:val="24"/>
              </w:rPr>
            </w:pPr>
          </w:p>
          <w:p w14:paraId="352CAAE6">
            <w:pPr>
              <w:widowControl/>
              <w:snapToGrid w:val="0"/>
              <w:spacing w:line="280" w:lineRule="exact"/>
              <w:contextualSpacing/>
              <w:jc w:val="left"/>
              <w:rPr>
                <w:rFonts w:eastAsia="仿宋_GB2312"/>
                <w:szCs w:val="24"/>
              </w:rPr>
            </w:pPr>
            <w:r>
              <w:rPr>
                <w:rFonts w:eastAsia="仿宋_GB2312"/>
                <w:szCs w:val="24"/>
              </w:rPr>
              <w:t>充分发挥市场监管综合执法优势，巩固三年“铁拳”行动成果，以“护民生”为中心，突出“保安全”和“反欺诈”主题，聚焦人民群众反映强烈、社会危害性大、网络舆情关注的违法活动，统筹规定动作与我区实际，重点和严厉查处14类违法行为，查办一批与群众紧密相关、性质恶劣的违法案件，确保“铁拳”发威，取得实效。</w:t>
            </w:r>
          </w:p>
        </w:tc>
        <w:tc>
          <w:tcPr>
            <w:tcW w:w="7391" w:type="dxa"/>
            <w:tcBorders>
              <w:top w:val="single" w:color="auto" w:sz="4" w:space="0"/>
              <w:left w:val="single" w:color="auto" w:sz="4" w:space="0"/>
              <w:bottom w:val="single" w:color="auto" w:sz="4" w:space="0"/>
              <w:right w:val="single" w:color="auto" w:sz="4" w:space="0"/>
            </w:tcBorders>
            <w:vAlign w:val="center"/>
          </w:tcPr>
          <w:p w14:paraId="4D7D0E52">
            <w:pPr>
              <w:widowControl/>
              <w:snapToGrid w:val="0"/>
              <w:spacing w:line="280" w:lineRule="exact"/>
              <w:contextualSpacing/>
              <w:jc w:val="left"/>
              <w:rPr>
                <w:rFonts w:eastAsia="仿宋_GB2312"/>
                <w:szCs w:val="24"/>
              </w:rPr>
            </w:pPr>
            <w:r>
              <w:rPr>
                <w:rFonts w:eastAsia="仿宋_GB2312"/>
                <w:szCs w:val="24"/>
              </w:rPr>
              <w:t>一季度：根据国家局、省局文件的11大类违法行为进行谋划，布局我区民生领域违法行为较为集中的行业及产品等查处重点。</w:t>
            </w:r>
          </w:p>
          <w:p w14:paraId="72EA087A">
            <w:pPr>
              <w:widowControl/>
              <w:snapToGrid w:val="0"/>
              <w:spacing w:line="280" w:lineRule="exact"/>
              <w:contextualSpacing/>
              <w:jc w:val="left"/>
              <w:rPr>
                <w:rFonts w:eastAsia="仿宋_GB2312"/>
                <w:szCs w:val="24"/>
              </w:rPr>
            </w:pPr>
            <w:r>
              <w:rPr>
                <w:rFonts w:eastAsia="仿宋_GB2312"/>
                <w:szCs w:val="24"/>
              </w:rPr>
              <w:t>二季度：根据省局、市局文件，结合我区实际，发布我区2024民生领域案件查办“铁拳”行动方案，对13类违法行为重拳出击，集中力量对我市、我区重点聚焦的3类违法行为：“电梯维保领域违法行为”“食品、食用农产品两超一非违法行为”医美领域违法行为，通过查办一批案件，规范一个领域，同时做好宣传工作，定期发布典型案例，提升“铁拳”行动影响力。</w:t>
            </w:r>
          </w:p>
          <w:p w14:paraId="6671BF37">
            <w:pPr>
              <w:widowControl/>
              <w:snapToGrid w:val="0"/>
              <w:spacing w:line="280" w:lineRule="exact"/>
              <w:contextualSpacing/>
              <w:jc w:val="left"/>
              <w:rPr>
                <w:rFonts w:eastAsia="仿宋_GB2312"/>
                <w:szCs w:val="24"/>
              </w:rPr>
            </w:pPr>
            <w:r>
              <w:rPr>
                <w:rFonts w:eastAsia="仿宋_GB2312"/>
                <w:szCs w:val="24"/>
              </w:rPr>
              <w:t>三季度：对上半年“铁拳”行动开展情况进行阶段性总结，加强统筹谋划，对薄弱环节增进铁拳推进力，结合专项治理，突出案源线索，深入开展“铁拳”行动。</w:t>
            </w:r>
          </w:p>
          <w:p w14:paraId="21F9BB56">
            <w:pPr>
              <w:widowControl/>
              <w:snapToGrid w:val="0"/>
              <w:spacing w:line="280" w:lineRule="exact"/>
              <w:contextualSpacing/>
              <w:jc w:val="left"/>
              <w:rPr>
                <w:rFonts w:eastAsia="仿宋_GB2312"/>
                <w:szCs w:val="24"/>
              </w:rPr>
            </w:pPr>
            <w:r>
              <w:rPr>
                <w:rFonts w:eastAsia="仿宋_GB2312"/>
                <w:szCs w:val="24"/>
              </w:rPr>
              <w:t>四季度：加强对铁拳行动重大疑难案件的督办力度，提升铁拳战斗力，</w:t>
            </w:r>
            <w:r>
              <w:rPr>
                <w:rFonts w:hint="eastAsia" w:eastAsia="仿宋_GB2312"/>
                <w:szCs w:val="24"/>
              </w:rPr>
              <w:t>总结</w:t>
            </w:r>
            <w:r>
              <w:rPr>
                <w:rFonts w:eastAsia="仿宋_GB2312"/>
                <w:szCs w:val="24"/>
              </w:rPr>
              <w:t>本年度“铁拳”行动，梳理有效做法和成功经验，并提出下年度重点案件查办建议。</w:t>
            </w:r>
          </w:p>
        </w:tc>
        <w:tc>
          <w:tcPr>
            <w:tcW w:w="1086" w:type="dxa"/>
            <w:tcBorders>
              <w:top w:val="single" w:color="auto" w:sz="4" w:space="0"/>
              <w:left w:val="single" w:color="auto" w:sz="4" w:space="0"/>
              <w:bottom w:val="single" w:color="auto" w:sz="4" w:space="0"/>
              <w:right w:val="single" w:color="auto" w:sz="4" w:space="0"/>
            </w:tcBorders>
            <w:vAlign w:val="center"/>
          </w:tcPr>
          <w:p w14:paraId="0E473657">
            <w:pPr>
              <w:widowControl/>
              <w:snapToGrid w:val="0"/>
              <w:spacing w:line="280" w:lineRule="exact"/>
              <w:contextualSpacing/>
              <w:jc w:val="left"/>
              <w:rPr>
                <w:rFonts w:eastAsia="仿宋_GB2312"/>
                <w:szCs w:val="24"/>
              </w:rPr>
            </w:pPr>
            <w:r>
              <w:rPr>
                <w:rFonts w:eastAsia="仿宋_GB2312"/>
                <w:szCs w:val="24"/>
              </w:rPr>
              <w:t>执法大队（消保中心）</w:t>
            </w:r>
          </w:p>
        </w:tc>
        <w:tc>
          <w:tcPr>
            <w:tcW w:w="1066" w:type="dxa"/>
            <w:tcBorders>
              <w:top w:val="single" w:color="auto" w:sz="4" w:space="0"/>
              <w:left w:val="single" w:color="auto" w:sz="4" w:space="0"/>
              <w:bottom w:val="single" w:color="auto" w:sz="4" w:space="0"/>
              <w:right w:val="single" w:color="auto" w:sz="4" w:space="0"/>
            </w:tcBorders>
            <w:vAlign w:val="center"/>
          </w:tcPr>
          <w:p w14:paraId="0BE3C017">
            <w:pPr>
              <w:widowControl/>
              <w:snapToGrid w:val="0"/>
              <w:spacing w:line="280" w:lineRule="exact"/>
              <w:contextualSpacing/>
              <w:jc w:val="left"/>
              <w:rPr>
                <w:rFonts w:eastAsia="仿宋_GB2312"/>
                <w:szCs w:val="24"/>
              </w:rPr>
            </w:pPr>
            <w:r>
              <w:rPr>
                <w:rFonts w:eastAsia="仿宋_GB2312"/>
                <w:szCs w:val="24"/>
              </w:rPr>
              <w:t>束建刚</w:t>
            </w:r>
          </w:p>
        </w:tc>
      </w:tr>
      <w:tr w14:paraId="1BE0A204">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C57B076">
            <w:pPr>
              <w:widowControl/>
              <w:snapToGrid w:val="0"/>
              <w:spacing w:line="280" w:lineRule="exact"/>
              <w:contextualSpacing/>
              <w:jc w:val="center"/>
              <w:rPr>
                <w:rFonts w:eastAsia="黑体"/>
                <w:kern w:val="0"/>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6FEA8E3B">
            <w:pPr>
              <w:widowControl/>
              <w:snapToGrid w:val="0"/>
              <w:spacing w:line="280" w:lineRule="exact"/>
              <w:contextualSpacing/>
              <w:jc w:val="left"/>
              <w:rPr>
                <w:rFonts w:eastAsia="仿宋_GB2312"/>
                <w:color w:val="0070C0"/>
                <w:szCs w:val="21"/>
              </w:rPr>
            </w:pPr>
          </w:p>
        </w:tc>
        <w:tc>
          <w:tcPr>
            <w:tcW w:w="13051" w:type="dxa"/>
            <w:gridSpan w:val="4"/>
            <w:tcBorders>
              <w:top w:val="single" w:color="auto" w:sz="4" w:space="0"/>
              <w:left w:val="single" w:color="auto" w:sz="4" w:space="0"/>
              <w:bottom w:val="single" w:color="auto" w:sz="4" w:space="0"/>
              <w:right w:val="single" w:color="auto" w:sz="4" w:space="0"/>
            </w:tcBorders>
            <w:vAlign w:val="center"/>
          </w:tcPr>
          <w:p w14:paraId="4C7FF3AC">
            <w:pPr>
              <w:widowControl/>
              <w:snapToGrid w:val="0"/>
              <w:spacing w:line="280" w:lineRule="exact"/>
              <w:contextualSpacing/>
              <w:jc w:val="center"/>
              <w:rPr>
                <w:rFonts w:eastAsia="黑体"/>
                <w:color w:val="0070C0"/>
                <w:kern w:val="0"/>
                <w:sz w:val="24"/>
              </w:rPr>
            </w:pPr>
            <w:r>
              <w:rPr>
                <w:rFonts w:eastAsia="黑体"/>
                <w:kern w:val="0"/>
                <w:sz w:val="24"/>
              </w:rPr>
              <w:t>五、队伍提能优素质</w:t>
            </w:r>
          </w:p>
        </w:tc>
      </w:tr>
      <w:tr w14:paraId="1DB85716">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31521F38">
            <w:pPr>
              <w:widowControl/>
              <w:snapToGrid w:val="0"/>
              <w:spacing w:line="280" w:lineRule="exact"/>
              <w:contextualSpacing/>
              <w:jc w:val="center"/>
              <w:rPr>
                <w:rFonts w:eastAsia="黑体"/>
                <w:kern w:val="0"/>
                <w:sz w:val="24"/>
              </w:rPr>
            </w:pPr>
            <w:r>
              <w:rPr>
                <w:rFonts w:eastAsia="黑体"/>
                <w:kern w:val="0"/>
                <w:sz w:val="24"/>
              </w:rPr>
              <w:t>18</w:t>
            </w:r>
          </w:p>
        </w:tc>
        <w:tc>
          <w:tcPr>
            <w:tcW w:w="1481" w:type="dxa"/>
            <w:tcBorders>
              <w:top w:val="single" w:color="auto" w:sz="4" w:space="0"/>
              <w:left w:val="single" w:color="auto" w:sz="4" w:space="0"/>
              <w:bottom w:val="single" w:color="auto" w:sz="4" w:space="0"/>
              <w:right w:val="single" w:color="auto" w:sz="4" w:space="0"/>
            </w:tcBorders>
            <w:vAlign w:val="center"/>
          </w:tcPr>
          <w:p w14:paraId="457D319E">
            <w:pPr>
              <w:widowControl/>
              <w:snapToGrid w:val="0"/>
              <w:spacing w:line="280" w:lineRule="exact"/>
              <w:contextualSpacing/>
              <w:jc w:val="left"/>
              <w:rPr>
                <w:rFonts w:eastAsia="仿宋_GB2312"/>
                <w:szCs w:val="21"/>
              </w:rPr>
            </w:pPr>
            <w:r>
              <w:rPr>
                <w:rFonts w:eastAsia="仿宋_GB2312"/>
                <w:szCs w:val="21"/>
              </w:rPr>
              <w:t>商品条码宣传、培训</w:t>
            </w:r>
          </w:p>
        </w:tc>
        <w:tc>
          <w:tcPr>
            <w:tcW w:w="3508" w:type="dxa"/>
            <w:tcBorders>
              <w:top w:val="single" w:color="auto" w:sz="4" w:space="0"/>
              <w:left w:val="single" w:color="auto" w:sz="4" w:space="0"/>
              <w:bottom w:val="single" w:color="auto" w:sz="4" w:space="0"/>
              <w:right w:val="single" w:color="auto" w:sz="4" w:space="0"/>
            </w:tcBorders>
            <w:vAlign w:val="center"/>
          </w:tcPr>
          <w:p w14:paraId="6F396A7D">
            <w:pPr>
              <w:widowControl/>
              <w:snapToGrid w:val="0"/>
              <w:spacing w:line="280" w:lineRule="exact"/>
              <w:contextualSpacing/>
              <w:jc w:val="left"/>
              <w:rPr>
                <w:rFonts w:eastAsia="仿宋_GB2312"/>
                <w:szCs w:val="21"/>
              </w:rPr>
            </w:pPr>
            <w:r>
              <w:rPr>
                <w:rFonts w:eastAsia="仿宋_GB2312"/>
                <w:szCs w:val="21"/>
              </w:rPr>
              <w:t>通过商品条码宣传培训，提高企业与分局干部的条码应用意识</w:t>
            </w:r>
          </w:p>
        </w:tc>
        <w:tc>
          <w:tcPr>
            <w:tcW w:w="7391" w:type="dxa"/>
            <w:tcBorders>
              <w:top w:val="single" w:color="auto" w:sz="4" w:space="0"/>
              <w:left w:val="single" w:color="auto" w:sz="4" w:space="0"/>
              <w:bottom w:val="single" w:color="auto" w:sz="4" w:space="0"/>
              <w:right w:val="single" w:color="auto" w:sz="4" w:space="0"/>
            </w:tcBorders>
            <w:vAlign w:val="center"/>
          </w:tcPr>
          <w:p w14:paraId="52328B04">
            <w:pPr>
              <w:widowControl/>
              <w:snapToGrid w:val="0"/>
              <w:spacing w:line="280" w:lineRule="exact"/>
              <w:contextualSpacing/>
              <w:jc w:val="left"/>
              <w:rPr>
                <w:rFonts w:eastAsia="仿宋_GB2312"/>
                <w:szCs w:val="21"/>
              </w:rPr>
            </w:pPr>
            <w:r>
              <w:rPr>
                <w:rFonts w:eastAsia="仿宋_GB2312"/>
                <w:szCs w:val="21"/>
              </w:rPr>
              <w:t>对企业、分局监管干部进行有针对性的条码培训，为企业提供注册续展、到期提醒等方面的咨询服务。</w:t>
            </w:r>
          </w:p>
        </w:tc>
        <w:tc>
          <w:tcPr>
            <w:tcW w:w="1086" w:type="dxa"/>
            <w:tcBorders>
              <w:top w:val="single" w:color="auto" w:sz="4" w:space="0"/>
              <w:left w:val="single" w:color="auto" w:sz="4" w:space="0"/>
              <w:bottom w:val="single" w:color="auto" w:sz="4" w:space="0"/>
              <w:right w:val="single" w:color="auto" w:sz="4" w:space="0"/>
            </w:tcBorders>
            <w:vAlign w:val="center"/>
          </w:tcPr>
          <w:p w14:paraId="70F647AD">
            <w:pPr>
              <w:widowControl/>
              <w:snapToGrid w:val="0"/>
              <w:spacing w:line="280" w:lineRule="exact"/>
              <w:contextualSpacing/>
              <w:jc w:val="left"/>
              <w:rPr>
                <w:rFonts w:eastAsia="仿宋_GB2312"/>
                <w:szCs w:val="21"/>
              </w:rPr>
            </w:pPr>
            <w:r>
              <w:rPr>
                <w:rFonts w:eastAsia="仿宋_GB2312"/>
                <w:szCs w:val="21"/>
              </w:rPr>
              <w:t>信息中心</w:t>
            </w:r>
          </w:p>
        </w:tc>
        <w:tc>
          <w:tcPr>
            <w:tcW w:w="1066" w:type="dxa"/>
            <w:tcBorders>
              <w:top w:val="single" w:color="auto" w:sz="4" w:space="0"/>
              <w:left w:val="single" w:color="auto" w:sz="4" w:space="0"/>
              <w:bottom w:val="single" w:color="auto" w:sz="4" w:space="0"/>
              <w:right w:val="single" w:color="auto" w:sz="4" w:space="0"/>
            </w:tcBorders>
            <w:vAlign w:val="center"/>
          </w:tcPr>
          <w:p w14:paraId="2551957F">
            <w:pPr>
              <w:widowControl/>
              <w:snapToGrid w:val="0"/>
              <w:spacing w:line="280" w:lineRule="exact"/>
              <w:contextualSpacing/>
              <w:jc w:val="left"/>
              <w:rPr>
                <w:rFonts w:eastAsia="仿宋_GB2312"/>
                <w:szCs w:val="21"/>
              </w:rPr>
            </w:pPr>
            <w:r>
              <w:rPr>
                <w:rFonts w:eastAsia="仿宋_GB2312"/>
                <w:szCs w:val="21"/>
              </w:rPr>
              <w:t>濮文伟</w:t>
            </w:r>
          </w:p>
        </w:tc>
      </w:tr>
      <w:tr w14:paraId="58F3CE77">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E50F64C">
            <w:pPr>
              <w:widowControl/>
              <w:snapToGrid w:val="0"/>
              <w:spacing w:line="280" w:lineRule="exact"/>
              <w:contextualSpacing/>
              <w:jc w:val="center"/>
              <w:rPr>
                <w:rFonts w:eastAsia="黑体"/>
                <w:kern w:val="0"/>
                <w:sz w:val="24"/>
              </w:rPr>
            </w:pPr>
            <w:r>
              <w:rPr>
                <w:rFonts w:eastAsia="黑体"/>
                <w:kern w:val="0"/>
                <w:sz w:val="24"/>
              </w:rPr>
              <w:t>19</w:t>
            </w:r>
          </w:p>
        </w:tc>
        <w:tc>
          <w:tcPr>
            <w:tcW w:w="1481" w:type="dxa"/>
            <w:tcBorders>
              <w:top w:val="single" w:color="auto" w:sz="4" w:space="0"/>
              <w:left w:val="single" w:color="auto" w:sz="4" w:space="0"/>
              <w:bottom w:val="single" w:color="auto" w:sz="4" w:space="0"/>
              <w:right w:val="single" w:color="auto" w:sz="4" w:space="0"/>
            </w:tcBorders>
            <w:vAlign w:val="center"/>
          </w:tcPr>
          <w:p w14:paraId="7DF8783A">
            <w:pPr>
              <w:widowControl/>
              <w:snapToGrid w:val="0"/>
              <w:spacing w:line="280" w:lineRule="exact"/>
              <w:contextualSpacing/>
              <w:jc w:val="left"/>
              <w:rPr>
                <w:rFonts w:eastAsia="仿宋_GB2312"/>
                <w:szCs w:val="21"/>
              </w:rPr>
            </w:pPr>
            <w:r>
              <w:rPr>
                <w:rFonts w:eastAsia="仿宋_GB2312"/>
                <w:szCs w:val="21"/>
              </w:rPr>
              <w:t>提高行政执法队伍能力素质</w:t>
            </w:r>
          </w:p>
        </w:tc>
        <w:tc>
          <w:tcPr>
            <w:tcW w:w="3508" w:type="dxa"/>
            <w:tcBorders>
              <w:top w:val="single" w:color="auto" w:sz="4" w:space="0"/>
              <w:left w:val="single" w:color="auto" w:sz="4" w:space="0"/>
              <w:bottom w:val="single" w:color="auto" w:sz="4" w:space="0"/>
              <w:right w:val="single" w:color="auto" w:sz="4" w:space="0"/>
            </w:tcBorders>
            <w:vAlign w:val="center"/>
          </w:tcPr>
          <w:p w14:paraId="1F737DCE">
            <w:pPr>
              <w:widowControl/>
              <w:snapToGrid w:val="0"/>
              <w:spacing w:line="280" w:lineRule="exact"/>
              <w:contextualSpacing/>
              <w:jc w:val="left"/>
              <w:rPr>
                <w:rFonts w:eastAsia="仿宋_GB2312"/>
                <w:szCs w:val="21"/>
              </w:rPr>
            </w:pPr>
            <w:r>
              <w:rPr>
                <w:rFonts w:eastAsia="仿宋_GB2312"/>
                <w:szCs w:val="21"/>
              </w:rPr>
              <w:t>以提升行政执法质量和效能为目标，强化执法人员案件办理规范化水平，切实提升一线执法人员运用法治思维和法治方式开展执法、维护稳定、化解矛盾的能力，全面推进严格规范公正文明执法，以高质量法治服务护航高质量发展</w:t>
            </w:r>
          </w:p>
        </w:tc>
        <w:tc>
          <w:tcPr>
            <w:tcW w:w="7391" w:type="dxa"/>
            <w:tcBorders>
              <w:top w:val="single" w:color="auto" w:sz="4" w:space="0"/>
              <w:left w:val="single" w:color="auto" w:sz="4" w:space="0"/>
              <w:bottom w:val="single" w:color="auto" w:sz="4" w:space="0"/>
              <w:right w:val="single" w:color="auto" w:sz="4" w:space="0"/>
            </w:tcBorders>
            <w:vAlign w:val="center"/>
          </w:tcPr>
          <w:p w14:paraId="40740922">
            <w:pPr>
              <w:widowControl/>
              <w:snapToGrid w:val="0"/>
              <w:spacing w:line="280" w:lineRule="exact"/>
              <w:contextualSpacing/>
              <w:jc w:val="left"/>
              <w:rPr>
                <w:rFonts w:eastAsia="仿宋_GB2312"/>
                <w:szCs w:val="21"/>
              </w:rPr>
            </w:pPr>
            <w:r>
              <w:rPr>
                <w:rFonts w:eastAsia="仿宋_GB2312"/>
                <w:szCs w:val="21"/>
              </w:rPr>
              <w:t>开展“一季一考”学法考法活动，通过以考促学、以考促改，为执法人员学法用法赋能提效；加大案卷检查频次和力度，使案卷评查成为业务培训和经验交流的渠道，提升执法人员业务能力和水平；通过文书制作专题辅导、案例分析、理论研讨交流等形式，提升执法人员的执法理论素养及实务操作技能。</w:t>
            </w:r>
          </w:p>
        </w:tc>
        <w:tc>
          <w:tcPr>
            <w:tcW w:w="1086" w:type="dxa"/>
            <w:tcBorders>
              <w:top w:val="single" w:color="auto" w:sz="4" w:space="0"/>
              <w:left w:val="single" w:color="auto" w:sz="4" w:space="0"/>
              <w:bottom w:val="single" w:color="auto" w:sz="4" w:space="0"/>
              <w:right w:val="single" w:color="auto" w:sz="4" w:space="0"/>
            </w:tcBorders>
            <w:vAlign w:val="center"/>
          </w:tcPr>
          <w:p w14:paraId="6E173BB7">
            <w:pPr>
              <w:widowControl/>
              <w:snapToGrid w:val="0"/>
              <w:spacing w:line="280" w:lineRule="exact"/>
              <w:contextualSpacing/>
              <w:jc w:val="left"/>
              <w:rPr>
                <w:rFonts w:eastAsia="仿宋_GB2312"/>
                <w:szCs w:val="21"/>
              </w:rPr>
            </w:pPr>
            <w:r>
              <w:rPr>
                <w:rFonts w:eastAsia="仿宋_GB2312"/>
                <w:szCs w:val="21"/>
              </w:rPr>
              <w:t>政策法规科</w:t>
            </w:r>
          </w:p>
        </w:tc>
        <w:tc>
          <w:tcPr>
            <w:tcW w:w="1066" w:type="dxa"/>
            <w:tcBorders>
              <w:top w:val="single" w:color="auto" w:sz="4" w:space="0"/>
              <w:left w:val="single" w:color="auto" w:sz="4" w:space="0"/>
              <w:bottom w:val="single" w:color="auto" w:sz="4" w:space="0"/>
              <w:right w:val="single" w:color="auto" w:sz="4" w:space="0"/>
            </w:tcBorders>
            <w:vAlign w:val="center"/>
          </w:tcPr>
          <w:p w14:paraId="3016DBC3">
            <w:pPr>
              <w:widowControl/>
              <w:snapToGrid w:val="0"/>
              <w:spacing w:line="280" w:lineRule="exact"/>
              <w:contextualSpacing/>
              <w:jc w:val="left"/>
              <w:rPr>
                <w:rFonts w:eastAsia="仿宋_GB2312"/>
                <w:szCs w:val="21"/>
              </w:rPr>
            </w:pPr>
            <w:r>
              <w:rPr>
                <w:rFonts w:eastAsia="仿宋_GB2312"/>
                <w:szCs w:val="21"/>
              </w:rPr>
              <w:t>濮文伟</w:t>
            </w:r>
          </w:p>
        </w:tc>
      </w:tr>
      <w:tr w14:paraId="56B174DE">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11E498AC">
            <w:pPr>
              <w:widowControl/>
              <w:snapToGrid w:val="0"/>
              <w:spacing w:line="280" w:lineRule="exact"/>
              <w:contextualSpacing/>
              <w:jc w:val="center"/>
              <w:rPr>
                <w:rFonts w:eastAsia="黑体"/>
                <w:kern w:val="0"/>
                <w:sz w:val="24"/>
              </w:rPr>
            </w:pPr>
            <w:r>
              <w:rPr>
                <w:rFonts w:eastAsia="黑体"/>
                <w:kern w:val="0"/>
                <w:sz w:val="24"/>
              </w:rPr>
              <w:t>20</w:t>
            </w:r>
          </w:p>
        </w:tc>
        <w:tc>
          <w:tcPr>
            <w:tcW w:w="1481" w:type="dxa"/>
            <w:tcBorders>
              <w:top w:val="single" w:color="auto" w:sz="4" w:space="0"/>
              <w:left w:val="single" w:color="auto" w:sz="4" w:space="0"/>
              <w:bottom w:val="single" w:color="auto" w:sz="4" w:space="0"/>
              <w:right w:val="single" w:color="auto" w:sz="4" w:space="0"/>
            </w:tcBorders>
            <w:vAlign w:val="center"/>
          </w:tcPr>
          <w:p w14:paraId="4DD0B052">
            <w:pPr>
              <w:widowControl/>
              <w:snapToGrid w:val="0"/>
              <w:spacing w:line="280" w:lineRule="exact"/>
              <w:contextualSpacing/>
              <w:jc w:val="left"/>
              <w:rPr>
                <w:rFonts w:eastAsia="仿宋_GB2312"/>
                <w:szCs w:val="21"/>
              </w:rPr>
            </w:pPr>
            <w:r>
              <w:rPr>
                <w:rFonts w:eastAsia="仿宋_GB2312"/>
                <w:szCs w:val="21"/>
              </w:rPr>
              <w:t>“旗帜引领 锻造先锋”工程</w:t>
            </w:r>
          </w:p>
        </w:tc>
        <w:tc>
          <w:tcPr>
            <w:tcW w:w="3508" w:type="dxa"/>
            <w:tcBorders>
              <w:top w:val="single" w:color="auto" w:sz="4" w:space="0"/>
              <w:left w:val="single" w:color="auto" w:sz="4" w:space="0"/>
              <w:bottom w:val="single" w:color="auto" w:sz="4" w:space="0"/>
              <w:right w:val="single" w:color="auto" w:sz="4" w:space="0"/>
            </w:tcBorders>
            <w:vAlign w:val="center"/>
          </w:tcPr>
          <w:p w14:paraId="1EDA4A18">
            <w:pPr>
              <w:widowControl/>
              <w:snapToGrid w:val="0"/>
              <w:spacing w:line="280" w:lineRule="exact"/>
              <w:contextualSpacing/>
              <w:jc w:val="left"/>
              <w:rPr>
                <w:rFonts w:eastAsia="仿宋_GB2312"/>
                <w:szCs w:val="21"/>
              </w:rPr>
            </w:pPr>
            <w:r>
              <w:rPr>
                <w:rFonts w:eastAsia="仿宋_GB2312"/>
                <w:szCs w:val="21"/>
              </w:rPr>
              <w:t>围绕建设忠诚干净担当的干部队伍，锻造创新实干、主动担当、凝心聚力的市场监管先锋，为全面高效履行市场监管职能提供强而有力的组织保障。</w:t>
            </w:r>
          </w:p>
        </w:tc>
        <w:tc>
          <w:tcPr>
            <w:tcW w:w="7391" w:type="dxa"/>
            <w:tcBorders>
              <w:top w:val="single" w:color="auto" w:sz="4" w:space="0"/>
              <w:left w:val="single" w:color="auto" w:sz="4" w:space="0"/>
              <w:bottom w:val="single" w:color="auto" w:sz="4" w:space="0"/>
              <w:right w:val="single" w:color="auto" w:sz="4" w:space="0"/>
            </w:tcBorders>
            <w:vAlign w:val="center"/>
          </w:tcPr>
          <w:p w14:paraId="5C3672D0">
            <w:pPr>
              <w:widowControl/>
              <w:snapToGrid w:val="0"/>
              <w:spacing w:line="280" w:lineRule="exact"/>
              <w:contextualSpacing/>
              <w:jc w:val="left"/>
              <w:rPr>
                <w:rFonts w:eastAsia="仿宋_GB2312"/>
                <w:szCs w:val="21"/>
              </w:rPr>
            </w:pPr>
            <w:r>
              <w:rPr>
                <w:rFonts w:eastAsia="仿宋_GB2312"/>
                <w:szCs w:val="21"/>
              </w:rPr>
              <w:t>一是加大年轻干部选育力度。在系统内继续实施“请党放心 市监有我”激扬青春工程。加强干部实践锻炼和专业训练，开展市场监管技能比武大赛，在微信公众号开辟“市监新声”专题，培养年轻干部在工作、生活中发掘、收集、提炼信息的能力和文字功底，力争打造一支高素质年轻市场监管队伍。</w:t>
            </w:r>
          </w:p>
          <w:p w14:paraId="6CC2C799">
            <w:pPr>
              <w:widowControl/>
              <w:snapToGrid w:val="0"/>
              <w:spacing w:line="280" w:lineRule="exact"/>
              <w:contextualSpacing/>
              <w:jc w:val="left"/>
              <w:rPr>
                <w:rFonts w:eastAsia="仿宋_GB2312"/>
                <w:szCs w:val="21"/>
              </w:rPr>
            </w:pPr>
            <w:r>
              <w:rPr>
                <w:rFonts w:eastAsia="仿宋_GB2312"/>
                <w:szCs w:val="21"/>
              </w:rPr>
              <w:t>二是着力提升干部荣誉感归属感。开展“光荣在岗三十年”系列活动，通过挖掘感人故事、展示具有纪念意义和代表性的老物件老照片、开展师徒结对仪式等举措，大力弘扬“爱岗敬业、争创一流、艰苦奋斗、勇于创新、淡泊名利、甘于奉献”的劳动精神和市监精神，展现市场监管人忠诚党的事业、竭诚服务群众的担当作为，提升干部荣誉感归属感。</w:t>
            </w:r>
          </w:p>
          <w:p w14:paraId="33083FEC">
            <w:pPr>
              <w:widowControl/>
              <w:snapToGrid w:val="0"/>
              <w:spacing w:line="280" w:lineRule="exact"/>
              <w:contextualSpacing/>
              <w:jc w:val="left"/>
              <w:rPr>
                <w:rFonts w:eastAsia="仿宋_GB2312"/>
                <w:szCs w:val="21"/>
              </w:rPr>
            </w:pPr>
            <w:r>
              <w:rPr>
                <w:rFonts w:eastAsia="仿宋_GB2312"/>
                <w:szCs w:val="21"/>
              </w:rPr>
              <w:t>三是同频共振激发群团生机活力。发挥工会、共青团、妇联组织团结沟通桥梁作用，积极开展“三八妇女节”“五四青年节”“八一建军节”“重阳敬老节”、老干部支部等活动，营造和谐氛围，打造团队文化，以党建带动群建，巩固发展统一战线，在全局凝聚朝气蓬勃，昂扬向上的最强正能量。</w:t>
            </w:r>
          </w:p>
        </w:tc>
        <w:tc>
          <w:tcPr>
            <w:tcW w:w="1086" w:type="dxa"/>
            <w:tcBorders>
              <w:top w:val="single" w:color="auto" w:sz="4" w:space="0"/>
              <w:left w:val="single" w:color="auto" w:sz="4" w:space="0"/>
              <w:bottom w:val="single" w:color="auto" w:sz="4" w:space="0"/>
              <w:right w:val="single" w:color="auto" w:sz="4" w:space="0"/>
            </w:tcBorders>
            <w:vAlign w:val="center"/>
          </w:tcPr>
          <w:p w14:paraId="580D7780">
            <w:pPr>
              <w:widowControl/>
              <w:snapToGrid w:val="0"/>
              <w:spacing w:line="280" w:lineRule="exact"/>
              <w:contextualSpacing/>
              <w:jc w:val="left"/>
              <w:rPr>
                <w:rFonts w:eastAsia="仿宋_GB2312"/>
                <w:szCs w:val="21"/>
              </w:rPr>
            </w:pPr>
            <w:r>
              <w:rPr>
                <w:rFonts w:eastAsia="仿宋_GB2312"/>
                <w:szCs w:val="21"/>
              </w:rPr>
              <w:t>组织人事科</w:t>
            </w:r>
          </w:p>
        </w:tc>
        <w:tc>
          <w:tcPr>
            <w:tcW w:w="1066" w:type="dxa"/>
            <w:tcBorders>
              <w:top w:val="single" w:color="auto" w:sz="4" w:space="0"/>
              <w:left w:val="single" w:color="auto" w:sz="4" w:space="0"/>
              <w:bottom w:val="single" w:color="auto" w:sz="4" w:space="0"/>
              <w:right w:val="single" w:color="auto" w:sz="4" w:space="0"/>
            </w:tcBorders>
            <w:vAlign w:val="center"/>
          </w:tcPr>
          <w:p w14:paraId="41B71788">
            <w:pPr>
              <w:widowControl/>
              <w:snapToGrid w:val="0"/>
              <w:spacing w:line="280" w:lineRule="exact"/>
              <w:contextualSpacing/>
              <w:jc w:val="left"/>
              <w:rPr>
                <w:rFonts w:eastAsia="仿宋_GB2312"/>
                <w:color w:val="0070C0"/>
                <w:szCs w:val="21"/>
              </w:rPr>
            </w:pPr>
            <w:r>
              <w:rPr>
                <w:rFonts w:eastAsia="仿宋_GB2312"/>
                <w:szCs w:val="21"/>
              </w:rPr>
              <w:t>王  勇</w:t>
            </w:r>
          </w:p>
        </w:tc>
      </w:tr>
      <w:tr w14:paraId="4982C190">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B47F790">
            <w:pPr>
              <w:widowControl/>
              <w:snapToGrid w:val="0"/>
              <w:spacing w:line="280" w:lineRule="exact"/>
              <w:contextualSpacing/>
              <w:jc w:val="center"/>
              <w:rPr>
                <w:rFonts w:eastAsia="黑体"/>
                <w:kern w:val="0"/>
                <w:sz w:val="24"/>
              </w:rPr>
            </w:pPr>
            <w:r>
              <w:rPr>
                <w:rFonts w:eastAsia="黑体"/>
                <w:kern w:val="0"/>
                <w:sz w:val="24"/>
              </w:rPr>
              <w:t>21</w:t>
            </w:r>
          </w:p>
        </w:tc>
        <w:tc>
          <w:tcPr>
            <w:tcW w:w="1481" w:type="dxa"/>
            <w:tcBorders>
              <w:top w:val="single" w:color="auto" w:sz="4" w:space="0"/>
              <w:left w:val="single" w:color="auto" w:sz="4" w:space="0"/>
              <w:bottom w:val="single" w:color="auto" w:sz="4" w:space="0"/>
              <w:right w:val="single" w:color="auto" w:sz="4" w:space="0"/>
            </w:tcBorders>
            <w:vAlign w:val="center"/>
          </w:tcPr>
          <w:p w14:paraId="50F40C30">
            <w:pPr>
              <w:widowControl/>
              <w:snapToGrid w:val="0"/>
              <w:spacing w:line="280" w:lineRule="exact"/>
              <w:contextualSpacing/>
              <w:jc w:val="left"/>
              <w:rPr>
                <w:rFonts w:eastAsia="仿宋_GB2312"/>
                <w:szCs w:val="21"/>
              </w:rPr>
            </w:pPr>
            <w:r>
              <w:rPr>
                <w:rFonts w:eastAsia="仿宋_GB2312"/>
                <w:szCs w:val="21"/>
              </w:rPr>
              <w:t>宣传筑基提能行动</w:t>
            </w:r>
          </w:p>
        </w:tc>
        <w:tc>
          <w:tcPr>
            <w:tcW w:w="3508" w:type="dxa"/>
            <w:tcBorders>
              <w:top w:val="single" w:color="auto" w:sz="4" w:space="0"/>
              <w:left w:val="single" w:color="auto" w:sz="4" w:space="0"/>
              <w:bottom w:val="single" w:color="auto" w:sz="4" w:space="0"/>
              <w:right w:val="single" w:color="auto" w:sz="4" w:space="0"/>
            </w:tcBorders>
            <w:vAlign w:val="center"/>
          </w:tcPr>
          <w:p w14:paraId="4AADC035">
            <w:pPr>
              <w:widowControl/>
              <w:snapToGrid w:val="0"/>
              <w:spacing w:line="280" w:lineRule="exact"/>
              <w:contextualSpacing/>
              <w:jc w:val="left"/>
              <w:rPr>
                <w:rFonts w:eastAsia="仿宋_GB2312"/>
                <w:szCs w:val="21"/>
              </w:rPr>
            </w:pPr>
            <w:r>
              <w:rPr>
                <w:rFonts w:eastAsia="仿宋_GB2312"/>
                <w:szCs w:val="21"/>
              </w:rPr>
              <w:t>通过今日武进微信公众号、拍摄专题宣传片、武进电台“市监之声”专栏、武进日报专版等形式宣传工作，提升社会知晓度和群众满意度</w:t>
            </w:r>
          </w:p>
        </w:tc>
        <w:tc>
          <w:tcPr>
            <w:tcW w:w="7391" w:type="dxa"/>
            <w:tcBorders>
              <w:top w:val="single" w:color="auto" w:sz="4" w:space="0"/>
              <w:left w:val="single" w:color="auto" w:sz="4" w:space="0"/>
              <w:bottom w:val="single" w:color="auto" w:sz="4" w:space="0"/>
              <w:right w:val="single" w:color="auto" w:sz="4" w:space="0"/>
            </w:tcBorders>
            <w:vAlign w:val="center"/>
          </w:tcPr>
          <w:p w14:paraId="07A7693E">
            <w:pPr>
              <w:widowControl/>
              <w:snapToGrid w:val="0"/>
              <w:spacing w:line="280" w:lineRule="exact"/>
              <w:contextualSpacing/>
              <w:jc w:val="left"/>
              <w:rPr>
                <w:rFonts w:eastAsia="仿宋_GB2312"/>
                <w:szCs w:val="21"/>
              </w:rPr>
            </w:pPr>
            <w:r>
              <w:rPr>
                <w:rFonts w:eastAsia="仿宋_GB2312"/>
                <w:szCs w:val="21"/>
              </w:rPr>
              <w:t>一是开展信息培训。组织专家信息宣传写作授课、信息写作沙龙、“学无止境 笔耕不息”等活动提高全员宣传写作能力，</w:t>
            </w:r>
            <w:r>
              <w:rPr>
                <w:rFonts w:hint="eastAsia" w:eastAsia="仿宋_GB2312"/>
                <w:szCs w:val="21"/>
              </w:rPr>
              <w:t>强化</w:t>
            </w:r>
            <w:r>
              <w:rPr>
                <w:rFonts w:eastAsia="仿宋_GB2312"/>
                <w:szCs w:val="21"/>
              </w:rPr>
              <w:t>宣传</w:t>
            </w:r>
            <w:r>
              <w:rPr>
                <w:rFonts w:hint="eastAsia" w:eastAsia="仿宋_GB2312"/>
                <w:szCs w:val="21"/>
              </w:rPr>
              <w:t>工作</w:t>
            </w:r>
            <w:r>
              <w:rPr>
                <w:rFonts w:eastAsia="仿宋_GB2312"/>
                <w:szCs w:val="21"/>
              </w:rPr>
              <w:t>。</w:t>
            </w:r>
          </w:p>
          <w:p w14:paraId="1B55A2E5">
            <w:pPr>
              <w:widowControl/>
              <w:snapToGrid w:val="0"/>
              <w:spacing w:line="280" w:lineRule="exact"/>
              <w:contextualSpacing/>
              <w:jc w:val="left"/>
              <w:rPr>
                <w:rFonts w:eastAsia="仿宋_GB2312"/>
                <w:szCs w:val="21"/>
              </w:rPr>
            </w:pPr>
            <w:r>
              <w:rPr>
                <w:rFonts w:eastAsia="仿宋_GB2312"/>
                <w:szCs w:val="21"/>
              </w:rPr>
              <w:t>二是加强媒体宣传。加大与媒体单位的对接，制定全年宣传计划和拍摄计划，全年通过今日武进或微武进发布微信公众号内容12篇，完成武进日报专版12篇，“市监之声”80篇。</w:t>
            </w:r>
          </w:p>
        </w:tc>
        <w:tc>
          <w:tcPr>
            <w:tcW w:w="1086" w:type="dxa"/>
            <w:tcBorders>
              <w:top w:val="single" w:color="auto" w:sz="4" w:space="0"/>
              <w:left w:val="single" w:color="auto" w:sz="4" w:space="0"/>
              <w:bottom w:val="single" w:color="auto" w:sz="4" w:space="0"/>
              <w:right w:val="single" w:color="auto" w:sz="4" w:space="0"/>
            </w:tcBorders>
            <w:vAlign w:val="center"/>
          </w:tcPr>
          <w:p w14:paraId="74EDCF33">
            <w:pPr>
              <w:widowControl/>
              <w:snapToGrid w:val="0"/>
              <w:spacing w:line="280" w:lineRule="exact"/>
              <w:contextualSpacing/>
              <w:jc w:val="left"/>
              <w:rPr>
                <w:rFonts w:eastAsia="仿宋_GB2312"/>
                <w:szCs w:val="21"/>
              </w:rPr>
            </w:pPr>
            <w:r>
              <w:rPr>
                <w:rFonts w:eastAsia="仿宋_GB2312"/>
                <w:szCs w:val="21"/>
              </w:rPr>
              <w:t>办公室</w:t>
            </w:r>
          </w:p>
        </w:tc>
        <w:tc>
          <w:tcPr>
            <w:tcW w:w="1066" w:type="dxa"/>
            <w:tcBorders>
              <w:top w:val="single" w:color="auto" w:sz="4" w:space="0"/>
              <w:left w:val="single" w:color="auto" w:sz="4" w:space="0"/>
              <w:bottom w:val="single" w:color="auto" w:sz="4" w:space="0"/>
              <w:right w:val="single" w:color="auto" w:sz="4" w:space="0"/>
            </w:tcBorders>
            <w:vAlign w:val="center"/>
          </w:tcPr>
          <w:p w14:paraId="7114A559">
            <w:pPr>
              <w:widowControl/>
              <w:snapToGrid w:val="0"/>
              <w:spacing w:line="280" w:lineRule="exact"/>
              <w:contextualSpacing/>
              <w:jc w:val="left"/>
              <w:rPr>
                <w:rFonts w:eastAsia="仿宋_GB2312"/>
                <w:szCs w:val="21"/>
              </w:rPr>
            </w:pPr>
            <w:r>
              <w:rPr>
                <w:rFonts w:eastAsia="仿宋_GB2312"/>
                <w:szCs w:val="21"/>
              </w:rPr>
              <w:t>王  勇</w:t>
            </w:r>
          </w:p>
        </w:tc>
      </w:tr>
      <w:tr w14:paraId="20D63A1C">
        <w:tblPrEx>
          <w:tblCellMar>
            <w:top w:w="0" w:type="dxa"/>
            <w:left w:w="108" w:type="dxa"/>
            <w:bottom w:w="0" w:type="dxa"/>
            <w:right w:w="108" w:type="dxa"/>
          </w:tblCellMar>
        </w:tblPrEx>
        <w:trPr>
          <w:trHeight w:val="68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33C871E">
            <w:pPr>
              <w:widowControl/>
              <w:snapToGrid w:val="0"/>
              <w:spacing w:line="280" w:lineRule="exact"/>
              <w:contextualSpacing/>
              <w:jc w:val="center"/>
              <w:rPr>
                <w:rFonts w:eastAsia="黑体"/>
                <w:kern w:val="0"/>
                <w:sz w:val="24"/>
              </w:rPr>
            </w:pPr>
            <w:r>
              <w:rPr>
                <w:rFonts w:eastAsia="黑体"/>
                <w:kern w:val="0"/>
                <w:sz w:val="24"/>
              </w:rPr>
              <w:t>22</w:t>
            </w:r>
          </w:p>
        </w:tc>
        <w:tc>
          <w:tcPr>
            <w:tcW w:w="1481" w:type="dxa"/>
            <w:tcBorders>
              <w:top w:val="single" w:color="auto" w:sz="4" w:space="0"/>
              <w:left w:val="single" w:color="auto" w:sz="4" w:space="0"/>
              <w:bottom w:val="single" w:color="auto" w:sz="4" w:space="0"/>
              <w:right w:val="single" w:color="auto" w:sz="4" w:space="0"/>
            </w:tcBorders>
            <w:vAlign w:val="center"/>
          </w:tcPr>
          <w:p w14:paraId="5E257C01">
            <w:pPr>
              <w:widowControl/>
              <w:snapToGrid w:val="0"/>
              <w:spacing w:line="280" w:lineRule="exact"/>
              <w:contextualSpacing/>
              <w:jc w:val="left"/>
              <w:rPr>
                <w:rFonts w:eastAsia="仿宋_GB2312"/>
                <w:color w:val="0070C0"/>
                <w:szCs w:val="21"/>
              </w:rPr>
            </w:pPr>
            <w:r>
              <w:rPr>
                <w:rFonts w:eastAsia="仿宋_GB2312"/>
                <w:szCs w:val="21"/>
              </w:rPr>
              <w:t>财务管理水平提升行动</w:t>
            </w:r>
          </w:p>
        </w:tc>
        <w:tc>
          <w:tcPr>
            <w:tcW w:w="3508" w:type="dxa"/>
            <w:tcBorders>
              <w:top w:val="single" w:color="auto" w:sz="4" w:space="0"/>
              <w:left w:val="single" w:color="auto" w:sz="4" w:space="0"/>
              <w:bottom w:val="single" w:color="auto" w:sz="4" w:space="0"/>
              <w:right w:val="single" w:color="auto" w:sz="4" w:space="0"/>
            </w:tcBorders>
            <w:vAlign w:val="center"/>
          </w:tcPr>
          <w:p w14:paraId="4081562B">
            <w:pPr>
              <w:widowControl/>
              <w:snapToGrid w:val="0"/>
              <w:spacing w:line="280" w:lineRule="exact"/>
              <w:contextualSpacing/>
              <w:jc w:val="left"/>
              <w:rPr>
                <w:rFonts w:eastAsia="仿宋_GB2312"/>
                <w:color w:val="0070C0"/>
                <w:szCs w:val="21"/>
              </w:rPr>
            </w:pPr>
            <w:r>
              <w:rPr>
                <w:rFonts w:eastAsia="仿宋_GB2312"/>
                <w:szCs w:val="21"/>
              </w:rPr>
              <w:t>通过开展条线培训、上线罚没款线上缴纳、清查固定资产等工作，不断提升全局财务装备管理水平</w:t>
            </w:r>
          </w:p>
        </w:tc>
        <w:tc>
          <w:tcPr>
            <w:tcW w:w="7391" w:type="dxa"/>
            <w:tcBorders>
              <w:top w:val="single" w:color="auto" w:sz="4" w:space="0"/>
              <w:left w:val="single" w:color="auto" w:sz="4" w:space="0"/>
              <w:bottom w:val="single" w:color="auto" w:sz="4" w:space="0"/>
              <w:right w:val="single" w:color="auto" w:sz="4" w:space="0"/>
            </w:tcBorders>
            <w:vAlign w:val="center"/>
          </w:tcPr>
          <w:p w14:paraId="0749FEB7">
            <w:pPr>
              <w:widowControl/>
              <w:snapToGrid w:val="0"/>
              <w:spacing w:line="280" w:lineRule="exact"/>
              <w:contextualSpacing/>
              <w:jc w:val="left"/>
              <w:rPr>
                <w:rFonts w:eastAsia="仿宋_GB2312"/>
                <w:szCs w:val="21"/>
              </w:rPr>
            </w:pPr>
            <w:r>
              <w:rPr>
                <w:rFonts w:eastAsia="仿宋_GB2312"/>
                <w:szCs w:val="21"/>
              </w:rPr>
              <w:t>一季度：实现罚没款全程电子支付；</w:t>
            </w:r>
          </w:p>
          <w:p w14:paraId="7FC0DBC7">
            <w:pPr>
              <w:widowControl/>
              <w:snapToGrid w:val="0"/>
              <w:spacing w:line="280" w:lineRule="exact"/>
              <w:contextualSpacing/>
              <w:jc w:val="left"/>
              <w:rPr>
                <w:rFonts w:eastAsia="仿宋_GB2312"/>
                <w:szCs w:val="21"/>
              </w:rPr>
            </w:pPr>
            <w:r>
              <w:rPr>
                <w:rFonts w:eastAsia="仿宋_GB2312"/>
                <w:szCs w:val="21"/>
              </w:rPr>
              <w:t>二季度：全面清查全局固定资产；</w:t>
            </w:r>
          </w:p>
          <w:p w14:paraId="6D103874">
            <w:pPr>
              <w:widowControl/>
              <w:snapToGrid w:val="0"/>
              <w:spacing w:line="280" w:lineRule="exact"/>
              <w:contextualSpacing/>
              <w:jc w:val="left"/>
              <w:rPr>
                <w:rFonts w:eastAsia="仿宋_GB2312"/>
                <w:szCs w:val="21"/>
              </w:rPr>
            </w:pPr>
            <w:r>
              <w:rPr>
                <w:rFonts w:eastAsia="仿宋_GB2312"/>
                <w:szCs w:val="21"/>
              </w:rPr>
              <w:t>三季度：科学编制2025年度部门预算；</w:t>
            </w:r>
          </w:p>
          <w:p w14:paraId="4E72192C">
            <w:pPr>
              <w:widowControl/>
              <w:snapToGrid w:val="0"/>
              <w:spacing w:line="280" w:lineRule="exact"/>
              <w:contextualSpacing/>
              <w:jc w:val="left"/>
              <w:rPr>
                <w:rFonts w:eastAsia="仿宋_GB2312"/>
                <w:szCs w:val="21"/>
              </w:rPr>
            </w:pPr>
            <w:r>
              <w:rPr>
                <w:rFonts w:eastAsia="仿宋_GB2312"/>
                <w:szCs w:val="21"/>
              </w:rPr>
              <w:t>四季度：开展重点项目预算绩效评价。</w:t>
            </w:r>
          </w:p>
        </w:tc>
        <w:tc>
          <w:tcPr>
            <w:tcW w:w="1086" w:type="dxa"/>
            <w:tcBorders>
              <w:top w:val="single" w:color="auto" w:sz="4" w:space="0"/>
              <w:left w:val="single" w:color="auto" w:sz="4" w:space="0"/>
              <w:bottom w:val="single" w:color="auto" w:sz="4" w:space="0"/>
              <w:right w:val="single" w:color="auto" w:sz="4" w:space="0"/>
            </w:tcBorders>
            <w:vAlign w:val="center"/>
          </w:tcPr>
          <w:p w14:paraId="22FCDF5D">
            <w:pPr>
              <w:widowControl/>
              <w:snapToGrid w:val="0"/>
              <w:spacing w:line="280" w:lineRule="exact"/>
              <w:contextualSpacing/>
              <w:jc w:val="left"/>
              <w:rPr>
                <w:rFonts w:eastAsia="仿宋_GB2312"/>
                <w:szCs w:val="21"/>
              </w:rPr>
            </w:pPr>
            <w:r>
              <w:rPr>
                <w:rFonts w:eastAsia="仿宋_GB2312"/>
                <w:szCs w:val="21"/>
              </w:rPr>
              <w:t>财务装备科</w:t>
            </w:r>
          </w:p>
        </w:tc>
        <w:tc>
          <w:tcPr>
            <w:tcW w:w="1066" w:type="dxa"/>
            <w:tcBorders>
              <w:top w:val="single" w:color="auto" w:sz="4" w:space="0"/>
              <w:left w:val="single" w:color="auto" w:sz="4" w:space="0"/>
              <w:bottom w:val="single" w:color="auto" w:sz="4" w:space="0"/>
              <w:right w:val="single" w:color="auto" w:sz="4" w:space="0"/>
            </w:tcBorders>
            <w:vAlign w:val="center"/>
          </w:tcPr>
          <w:p w14:paraId="4B9940B3">
            <w:pPr>
              <w:widowControl/>
              <w:snapToGrid w:val="0"/>
              <w:spacing w:line="280" w:lineRule="exact"/>
              <w:contextualSpacing/>
              <w:jc w:val="left"/>
              <w:rPr>
                <w:rFonts w:eastAsia="仿宋_GB2312"/>
                <w:szCs w:val="21"/>
              </w:rPr>
            </w:pPr>
            <w:r>
              <w:rPr>
                <w:rFonts w:eastAsia="仿宋_GB2312"/>
                <w:szCs w:val="21"/>
              </w:rPr>
              <w:t>王  勇</w:t>
            </w:r>
          </w:p>
        </w:tc>
      </w:tr>
    </w:tbl>
    <w:p w14:paraId="37A40065"/>
    <w:sectPr>
      <w:footerReference r:id="rId4" w:type="default"/>
      <w:footerReference r:id="rId5" w:type="even"/>
      <w:pgSz w:w="16838" w:h="11906" w:orient="landscape"/>
      <w:pgMar w:top="1531" w:right="2098" w:bottom="1531" w:left="1985" w:header="709"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965144"/>
      <w:docPartObj>
        <w:docPartGallery w:val="autotext"/>
      </w:docPartObj>
    </w:sdtPr>
    <w:sdtContent>
      <w:p w14:paraId="50EF4239">
        <w:pPr>
          <w:pStyle w:val="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sdtContent>
  </w:sdt>
  <w:p w14:paraId="76F51C1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965141"/>
      <w:docPartObj>
        <w:docPartGallery w:val="autotext"/>
      </w:docPartObj>
    </w:sdtPr>
    <w:sdtContent>
      <w:p w14:paraId="35BAD2BB">
        <w:pPr>
          <w:pStyle w:val="3"/>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5 -</w:t>
        </w:r>
        <w:r>
          <w:rPr>
            <w:rFonts w:ascii="Times New Roman" w:hAnsi="Times New Roman"/>
            <w:sz w:val="24"/>
            <w:szCs w:val="24"/>
          </w:rPr>
          <w:fldChar w:fldCharType="end"/>
        </w:r>
      </w:p>
    </w:sdtContent>
  </w:sdt>
  <w:p w14:paraId="340DB36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9BCA">
    <w:pPr>
      <w:pStyle w:val="3"/>
      <w:rPr>
        <w:sz w:val="28"/>
      </w:rPr>
    </w:pPr>
    <w:r>
      <w:rPr>
        <w:sz w:val="28"/>
      </w:rPr>
      <w:fldChar w:fldCharType="begin"/>
    </w:r>
    <w:r>
      <w:rPr>
        <w:sz w:val="28"/>
      </w:rPr>
      <w:instrText xml:space="preserve"> PAGE  \* ArabicDash  \* MERGEFORMAT </w:instrText>
    </w:r>
    <w:r>
      <w:rPr>
        <w:sz w:val="28"/>
      </w:rPr>
      <w:fldChar w:fldCharType="separate"/>
    </w:r>
    <w:r>
      <w:rPr>
        <w:sz w:val="28"/>
      </w:rPr>
      <w:t>- 10 -</w:t>
    </w:r>
    <w:r>
      <w:rPr>
        <w:sz w:val="28"/>
      </w:rPr>
      <w:fldChar w:fldCharType="end"/>
    </w:r>
  </w:p>
  <w:p w14:paraId="678840F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mNzQ1YzA0YjE0ZThmNjkwOTljMDNiYjU2MGQ0Y2YifQ=="/>
  </w:docVars>
  <w:rsids>
    <w:rsidRoot w:val="005E5517"/>
    <w:rsid w:val="000821F6"/>
    <w:rsid w:val="00350212"/>
    <w:rsid w:val="00500B7A"/>
    <w:rsid w:val="005E5517"/>
    <w:rsid w:val="00763A39"/>
    <w:rsid w:val="0089755D"/>
    <w:rsid w:val="009E379B"/>
    <w:rsid w:val="2F4A4728"/>
    <w:rsid w:val="54F3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uiPriority w:val="99"/>
    <w:pPr>
      <w:spacing w:after="120"/>
      <w:ind w:left="420" w:leftChars="2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0"/>
    <w:uiPriority w:val="0"/>
    <w:pPr>
      <w:ind w:firstLine="420" w:firstLineChars="200"/>
    </w:pPr>
  </w:style>
  <w:style w:type="character" w:customStyle="1" w:styleId="8">
    <w:name w:val="页脚 Char"/>
    <w:basedOn w:val="7"/>
    <w:link w:val="3"/>
    <w:uiPriority w:val="99"/>
    <w:rPr>
      <w:rFonts w:ascii="Calibri" w:hAnsi="Calibri" w:eastAsia="宋体" w:cs="Times New Roman"/>
      <w:sz w:val="18"/>
      <w:szCs w:val="18"/>
    </w:rPr>
  </w:style>
  <w:style w:type="character" w:customStyle="1" w:styleId="9">
    <w:name w:val="正文文本缩进 Char"/>
    <w:basedOn w:val="7"/>
    <w:link w:val="2"/>
    <w:semiHidden/>
    <w:uiPriority w:val="99"/>
    <w:rPr>
      <w:rFonts w:ascii="Calibri" w:hAnsi="Calibri" w:eastAsia="宋体" w:cs="Times New Roman"/>
    </w:rPr>
  </w:style>
  <w:style w:type="character" w:customStyle="1" w:styleId="10">
    <w:name w:val="正文首行缩进 2 Char"/>
    <w:basedOn w:val="9"/>
    <w:link w:val="5"/>
    <w:uiPriority w:val="0"/>
  </w:style>
  <w:style w:type="character" w:customStyle="1" w:styleId="11">
    <w:name w:val="页眉 Char"/>
    <w:basedOn w:val="7"/>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7718</Words>
  <Characters>7866</Characters>
  <Lines>59</Lines>
  <Paragraphs>16</Paragraphs>
  <TotalTime>11</TotalTime>
  <ScaleCrop>false</ScaleCrop>
  <LinksUpToDate>false</LinksUpToDate>
  <CharactersWithSpaces>7889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2024-04-15T05:53:00Z</dcterms:created>
  <dc:creator>郑海燕</dc:creator>
  <cp:lastModifiedBy>WPS_1721180985</cp:lastModifiedBy>
  <dcterms:modified xsi:type="dcterms:W3CDTF">2024-07-30T03:26:43Z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1AE0E04E110145208210963E651C8898_12</vt:lpwstr>
  </property>
</Properties>
</file>