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_GBK"/>
          <w:sz w:val="32"/>
          <w:szCs w:val="32"/>
        </w:rPr>
      </w:pPr>
      <w:r>
        <w:rPr>
          <w:rFonts w:ascii="Times New Roman" w:hAnsi="方正仿宋_GBK" w:eastAsia="方正仿宋_GBK"/>
          <w:sz w:val="32"/>
          <w:szCs w:val="32"/>
        </w:rPr>
        <w:t>附件</w:t>
      </w:r>
      <w:r>
        <w:rPr>
          <w:rFonts w:ascii="Times New Roman" w:hAnsi="Times New Roman" w:eastAsia="方正仿宋_GBK"/>
          <w:sz w:val="32"/>
          <w:szCs w:val="32"/>
        </w:rPr>
        <w:t>3</w:t>
      </w:r>
    </w:p>
    <w:p>
      <w:pPr>
        <w:jc w:val="center"/>
        <w:rPr>
          <w:rFonts w:ascii="Times New Roman" w:hAnsi="Times New Roman" w:eastAsia="黑体"/>
          <w:sz w:val="52"/>
        </w:rPr>
      </w:pPr>
    </w:p>
    <w:p>
      <w:pPr>
        <w:jc w:val="center"/>
        <w:rPr>
          <w:rFonts w:ascii="Times New Roman" w:hAnsi="Times New Roman" w:eastAsia="黑体"/>
          <w:sz w:val="52"/>
        </w:rPr>
      </w:pPr>
    </w:p>
    <w:p>
      <w:pPr>
        <w:jc w:val="center"/>
        <w:rPr>
          <w:rFonts w:ascii="Times New Roman" w:hAnsi="Times New Roman" w:eastAsia="方正小标宋_GBK"/>
          <w:b/>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江苏省固体（危险）废物</w:t>
      </w:r>
    </w:p>
    <w:p>
      <w:pPr>
        <w:jc w:val="center"/>
        <w:rPr>
          <w:rFonts w:ascii="Times New Roman" w:hAnsi="Times New Roman" w:eastAsia="方正小标宋_GBK"/>
          <w:sz w:val="52"/>
          <w:szCs w:val="52"/>
        </w:rPr>
      </w:pPr>
      <w:r>
        <w:rPr>
          <w:rFonts w:ascii="Times New Roman" w:hAnsi="Times New Roman" w:eastAsia="方正小标宋_GBK"/>
          <w:sz w:val="52"/>
          <w:szCs w:val="52"/>
        </w:rPr>
        <w:t>跨省</w:t>
      </w:r>
      <w:r>
        <w:rPr>
          <w:rFonts w:hint="eastAsia" w:ascii="Times New Roman" w:hAnsi="Times New Roman" w:eastAsia="方正小标宋_GBK"/>
          <w:sz w:val="52"/>
          <w:szCs w:val="52"/>
        </w:rPr>
        <w:t>（市）</w:t>
      </w:r>
      <w:r>
        <w:rPr>
          <w:rFonts w:ascii="Times New Roman" w:hAnsi="Times New Roman" w:eastAsia="方正小标宋_GBK"/>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tabs>
          <w:tab w:val="left" w:pos="5940"/>
        </w:tabs>
        <w:snapToGrid w:val="0"/>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hint="eastAsia" w:ascii="Times New Roman" w:hAnsi="Times New Roman"/>
          <w:b/>
          <w:sz w:val="32"/>
          <w:u w:val="single"/>
        </w:rPr>
        <w:t>常州市星辉环保科技发展有限公司</w:t>
      </w:r>
      <w:r>
        <w:rPr>
          <w:rFonts w:ascii="Times New Roman" w:hAnsi="Times New Roman"/>
          <w:b/>
          <w:color w:val="auto"/>
          <w:sz w:val="32"/>
          <w:u w:val="single"/>
        </w:rPr>
        <w:t xml:space="preserve"> </w:t>
      </w:r>
      <w:r>
        <w:rPr>
          <w:rFonts w:ascii="Times New Roman" w:hAnsi="宋体"/>
          <w:b/>
          <w:color w:val="auto"/>
          <w:sz w:val="32"/>
        </w:rPr>
        <w:t>（</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lang w:val="en-US" w:eastAsia="zh-CN"/>
        </w:rPr>
        <w:t>2024.5.6</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pPr>
        <w:ind w:right="-758" w:rightChars="-361"/>
        <w:jc w:val="center"/>
        <w:rPr>
          <w:rFonts w:ascii="Times New Roman" w:hAnsi="Times New Roman" w:eastAsia="方正小标宋_GBK"/>
          <w:sz w:val="44"/>
          <w:szCs w:val="44"/>
        </w:rPr>
      </w:pPr>
      <w:r>
        <w:rPr>
          <w:rFonts w:ascii="Times New Roman" w:hAnsi="Times New Roman" w:eastAsia="方正小标宋_GBK"/>
          <w:sz w:val="44"/>
          <w:szCs w:val="44"/>
        </w:rPr>
        <w:t>申请者声明</w:t>
      </w:r>
    </w:p>
    <w:p>
      <w:pPr>
        <w:ind w:right="-758" w:rightChars="-361"/>
        <w:jc w:val="center"/>
        <w:rPr>
          <w:rFonts w:ascii="Times New Roman" w:hAnsi="Times New Roman" w:eastAsia="方正小标宋_GBK"/>
          <w:b/>
          <w:sz w:val="44"/>
          <w:szCs w:val="44"/>
        </w:rPr>
      </w:pPr>
    </w:p>
    <w:p>
      <w:pPr>
        <w:spacing w:line="360" w:lineRule="auto"/>
        <w:ind w:left="-210" w:leftChars="-100" w:right="-210" w:rightChars="-100" w:firstLine="640" w:firstLineChars="200"/>
        <w:rPr>
          <w:rFonts w:ascii="Times New Roman" w:hAnsi="Times New Roman" w:eastAsia="方正仿宋_GBK"/>
          <w:sz w:val="32"/>
          <w:szCs w:val="32"/>
        </w:rPr>
      </w:pPr>
      <w:bookmarkStart w:id="0" w:name="_GoBack"/>
      <w:r>
        <w:rPr>
          <w:rFonts w:ascii="Times New Roman" w:hAnsi="方正仿宋_GBK" w:eastAsia="方正仿宋_GBK"/>
          <w:sz w:val="32"/>
          <w:szCs w:val="32"/>
        </w:rPr>
        <w:t>我代表申请单位郑重承诺：本实施方案所填资料是完整的和真实的。转移的危险废物名称、</w:t>
      </w:r>
      <w:r>
        <w:rPr>
          <w:rFonts w:hint="eastAsia" w:ascii="Times New Roman" w:hAnsi="方正仿宋_GBK" w:eastAsia="方正仿宋_GBK"/>
          <w:sz w:val="32"/>
          <w:szCs w:val="32"/>
        </w:rPr>
        <w:t>类别、</w:t>
      </w:r>
      <w:r>
        <w:rPr>
          <w:rFonts w:ascii="Times New Roman" w:hAnsi="方正仿宋_GBK" w:eastAsia="方正仿宋_GBK"/>
          <w:sz w:val="32"/>
          <w:szCs w:val="32"/>
        </w:rPr>
        <w:t>代码、数量与实际相符</w:t>
      </w:r>
      <w:r>
        <w:rPr>
          <w:rFonts w:hint="eastAsia" w:ascii="Times New Roman" w:hAnsi="方正仿宋_GBK" w:eastAsia="方正仿宋_GBK"/>
          <w:sz w:val="32"/>
          <w:szCs w:val="32"/>
        </w:rPr>
        <w:t>。危险废物接受单位具备相应的处置利用能力</w:t>
      </w:r>
      <w:r>
        <w:rPr>
          <w:rFonts w:ascii="Times New Roman" w:hAnsi="方正仿宋_GBK" w:eastAsia="方正仿宋_GBK"/>
          <w:sz w:val="32"/>
          <w:szCs w:val="32"/>
        </w:rPr>
        <w:t>和污染防治</w:t>
      </w:r>
      <w:r>
        <w:rPr>
          <w:rFonts w:hint="eastAsia" w:ascii="Times New Roman" w:hAnsi="方正仿宋_GBK" w:eastAsia="方正仿宋_GBK"/>
          <w:sz w:val="32"/>
          <w:szCs w:val="32"/>
        </w:rPr>
        <w:t>措施。</w:t>
      </w:r>
      <w:r>
        <w:rPr>
          <w:rFonts w:ascii="Times New Roman"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Times New Roman" w:hAnsi="方正仿宋_GBK" w:eastAsia="方正仿宋_GBK"/>
          <w:sz w:val="32"/>
          <w:szCs w:val="32"/>
        </w:rPr>
        <w:t>（市）</w:t>
      </w:r>
      <w:r>
        <w:rPr>
          <w:rFonts w:ascii="Times New Roman" w:hAnsi="方正仿宋_GBK" w:eastAsia="方正仿宋_GBK"/>
          <w:sz w:val="32"/>
          <w:szCs w:val="32"/>
        </w:rPr>
        <w:t>转移网上报告，承担转移全过程监控责任。</w:t>
      </w:r>
    </w:p>
    <w:bookmarkEnd w:id="0"/>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hint="default" w:ascii="Times New Roman" w:hAnsi="Times New Roman" w:eastAsia="方正仿宋_GBK"/>
          <w:color w:val="FF0000"/>
          <w:sz w:val="32"/>
          <w:szCs w:val="32"/>
          <w:lang w:val="en-US" w:eastAsia="zh-CN"/>
        </w:rPr>
      </w:pPr>
      <w:r>
        <w:rPr>
          <w:rFonts w:ascii="Times New Roman" w:hAnsi="Times New Roman" w:eastAsia="方正仿宋_GBK"/>
          <w:sz w:val="32"/>
          <w:szCs w:val="32"/>
        </w:rPr>
        <w:t xml:space="preserve">      </w:t>
      </w:r>
      <w:r>
        <w:rPr>
          <w:rFonts w:ascii="Times New Roman" w:hAnsi="方正仿宋_GBK" w:eastAsia="方正仿宋_GBK"/>
          <w:sz w:val="32"/>
          <w:szCs w:val="32"/>
        </w:rPr>
        <w:t>法人代表签字：</w:t>
      </w:r>
      <w:r>
        <w:rPr>
          <w:rFonts w:hint="eastAsia" w:ascii="Times New Roman" w:hAnsi="方正仿宋_GBK" w:eastAsia="方正仿宋_GBK"/>
          <w:sz w:val="32"/>
          <w:szCs w:val="32"/>
          <w:lang w:val="en-US" w:eastAsia="zh-CN"/>
        </w:rPr>
        <w:t xml:space="preserve">   </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方正仿宋_GBK" w:eastAsia="方正仿宋_GBK"/>
          <w:sz w:val="32"/>
          <w:szCs w:val="32"/>
        </w:rPr>
        <w:t>年</w:t>
      </w:r>
      <w:r>
        <w:rPr>
          <w:rFonts w:ascii="Times New Roman" w:hAnsi="Times New Roman" w:eastAsia="方正仿宋_GBK"/>
          <w:sz w:val="32"/>
          <w:szCs w:val="32"/>
        </w:rPr>
        <w:t xml:space="preserve">    </w:t>
      </w:r>
      <w:r>
        <w:rPr>
          <w:rFonts w:ascii="Times New Roman" w:hAnsi="方正仿宋_GBK"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方正仿宋_GBK" w:eastAsia="方正仿宋_GBK"/>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eastAsia="黑体"/>
                <w:sz w:val="24"/>
                <w:szCs w:val="24"/>
              </w:rPr>
            </w:pPr>
            <w:r>
              <w:rPr>
                <w:rFonts w:ascii="Times New Roman" w:eastAsia="黑体"/>
                <w:sz w:val="24"/>
                <w:szCs w:val="24"/>
              </w:rPr>
              <w:t>表</w:t>
            </w:r>
            <w:r>
              <w:rPr>
                <w:rFonts w:ascii="Times New Roman" w:hAnsi="Times New Roman" w:eastAsia="黑体"/>
                <w:sz w:val="24"/>
                <w:szCs w:val="24"/>
              </w:rPr>
              <w:t xml:space="preserve">1 </w:t>
            </w:r>
            <w:r>
              <w:rPr>
                <w:rFonts w:ascii="Times New Roman" w:eastAsia="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spacing w:line="300" w:lineRule="exact"/>
              <w:rPr>
                <w:rFonts w:ascii="Times New Roman"/>
                <w:szCs w:val="21"/>
              </w:rPr>
            </w:pPr>
            <w:r>
              <w:rPr>
                <w:rFonts w:ascii="Times New Roman"/>
                <w:szCs w:val="21"/>
              </w:rPr>
              <w:t>废物产生企业概况（企业投产时间、主要经营范围及规模）</w:t>
            </w:r>
          </w:p>
          <w:p>
            <w:pPr>
              <w:spacing w:line="300" w:lineRule="exact"/>
              <w:rPr>
                <w:rFonts w:hint="default" w:ascii="Times New Roman" w:eastAsia="宋体"/>
                <w:szCs w:val="21"/>
                <w:lang w:val="en-US" w:eastAsia="zh-CN"/>
              </w:rPr>
            </w:pPr>
            <w:r>
              <w:rPr>
                <w:rFonts w:hint="eastAsia" w:ascii="Times New Roman"/>
                <w:color w:val="auto"/>
                <w:szCs w:val="21"/>
                <w:lang w:val="en-US" w:eastAsia="zh-CN"/>
              </w:rPr>
              <w:t>合肥海尔信息产品有限公司成立于2000年06月01日，注册地位于安徽省合肥市经济技术开发区海尔工业园，法定代表人为刘军艮。经营范围包括视屏产品、通讯器材、计算机及辅助设备、家用电器、民用仪器仪表、电子元器件制造、销售。合肥海尔信息产品有限公司对外投资1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szCs w:val="21"/>
              </w:rPr>
            </w:pPr>
            <w:r>
              <w:rPr>
                <w:rFonts w:ascii="Times New Roman"/>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szCs w:val="21"/>
              </w:rPr>
            </w:pPr>
            <w:r>
              <w:rPr>
                <w:rFonts w:ascii="Times New Roman"/>
                <w:szCs w:val="21"/>
              </w:rPr>
              <w:t>产品情况</w:t>
            </w:r>
          </w:p>
        </w:tc>
        <w:tc>
          <w:tcPr>
            <w:tcW w:w="4215" w:type="dxa"/>
            <w:gridSpan w:val="2"/>
            <w:noWrap w:val="0"/>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szCs w:val="21"/>
              </w:rPr>
            </w:pPr>
            <w:r>
              <w:rPr>
                <w:rFonts w:ascii="Times New Roman"/>
                <w:szCs w:val="21"/>
              </w:rPr>
              <w:t>产品名称</w:t>
            </w:r>
          </w:p>
        </w:tc>
        <w:tc>
          <w:tcPr>
            <w:tcW w:w="2052" w:type="dxa"/>
            <w:noWrap w:val="0"/>
            <w:vAlign w:val="center"/>
          </w:tcPr>
          <w:p>
            <w:pPr>
              <w:spacing w:line="300" w:lineRule="exact"/>
              <w:jc w:val="center"/>
              <w:rPr>
                <w:rFonts w:ascii="Times New Roman" w:hAnsi="Times New Roman"/>
                <w:szCs w:val="21"/>
              </w:rPr>
            </w:pPr>
            <w:r>
              <w:rPr>
                <w:rFonts w:ascii="Times New Roman"/>
                <w:szCs w:val="21"/>
              </w:rPr>
              <w:t>主要成分化学名</w:t>
            </w:r>
          </w:p>
        </w:tc>
        <w:tc>
          <w:tcPr>
            <w:tcW w:w="1350" w:type="dxa"/>
            <w:noWrap w:val="0"/>
            <w:vAlign w:val="center"/>
          </w:tcPr>
          <w:p>
            <w:pPr>
              <w:spacing w:line="300" w:lineRule="exact"/>
              <w:jc w:val="center"/>
              <w:rPr>
                <w:rFonts w:ascii="Times New Roman" w:hAnsi="Times New Roman"/>
                <w:szCs w:val="21"/>
              </w:rPr>
            </w:pPr>
            <w:r>
              <w:rPr>
                <w:rFonts w:ascii="Times New Roman"/>
                <w:szCs w:val="21"/>
              </w:rPr>
              <w:t>年产量</w:t>
            </w:r>
          </w:p>
        </w:tc>
        <w:tc>
          <w:tcPr>
            <w:tcW w:w="2409" w:type="dxa"/>
            <w:noWrap w:val="0"/>
            <w:vAlign w:val="center"/>
          </w:tcPr>
          <w:p>
            <w:pPr>
              <w:spacing w:line="300" w:lineRule="exact"/>
              <w:jc w:val="center"/>
              <w:rPr>
                <w:rFonts w:ascii="Times New Roman" w:hAnsi="Times New Roman"/>
                <w:szCs w:val="21"/>
              </w:rPr>
            </w:pPr>
            <w:r>
              <w:rPr>
                <w:rFonts w:ascii="Times New Roman"/>
                <w:szCs w:val="21"/>
              </w:rPr>
              <w:t>废物名称</w:t>
            </w:r>
          </w:p>
        </w:tc>
        <w:tc>
          <w:tcPr>
            <w:tcW w:w="1806" w:type="dxa"/>
            <w:noWrap w:val="0"/>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电视</w:t>
            </w:r>
          </w:p>
        </w:tc>
        <w:tc>
          <w:tcPr>
            <w:tcW w:w="2052" w:type="dxa"/>
            <w:vMerge w:val="restart"/>
            <w:noWrap w:val="0"/>
            <w:vAlign w:val="center"/>
          </w:tcPr>
          <w:p>
            <w:pPr>
              <w:spacing w:line="300" w:lineRule="exact"/>
              <w:jc w:val="center"/>
              <w:rPr>
                <w:rFonts w:hint="default" w:ascii="Times New Roman" w:hAnsi="Times New Roman" w:eastAsia="宋体"/>
                <w:szCs w:val="24"/>
                <w:lang w:val="en-US" w:eastAsia="zh-CN"/>
              </w:rPr>
            </w:pPr>
            <w:r>
              <w:rPr>
                <w:rFonts w:hint="eastAsia" w:ascii="Times New Roman" w:hAnsi="Times New Roman"/>
                <w:szCs w:val="24"/>
                <w:lang w:val="en-US" w:eastAsia="zh-CN"/>
              </w:rPr>
              <w:t>金属、塑料等</w:t>
            </w:r>
          </w:p>
        </w:tc>
        <w:tc>
          <w:tcPr>
            <w:tcW w:w="1350" w:type="dxa"/>
            <w:vMerge w:val="restart"/>
            <w:noWrap w:val="0"/>
            <w:vAlign w:val="center"/>
          </w:tcPr>
          <w:p>
            <w:pPr>
              <w:spacing w:line="300" w:lineRule="exact"/>
              <w:jc w:val="center"/>
              <w:rPr>
                <w:rFonts w:hint="default" w:ascii="Times New Roman" w:hAnsi="Times New Roman" w:eastAsia="宋体"/>
                <w:color w:val="auto"/>
                <w:szCs w:val="24"/>
                <w:lang w:val="en-US" w:eastAsia="zh-CN"/>
              </w:rPr>
            </w:pPr>
          </w:p>
        </w:tc>
        <w:tc>
          <w:tcPr>
            <w:tcW w:w="2409" w:type="dxa"/>
            <w:noWrap w:val="0"/>
            <w:vAlign w:val="center"/>
          </w:tcPr>
          <w:p>
            <w:pPr>
              <w:spacing w:line="300" w:lineRule="exact"/>
              <w:jc w:val="center"/>
              <w:rPr>
                <w:rFonts w:hint="default" w:ascii="Times New Roman" w:hAnsi="Times New Roman" w:eastAsia="宋体"/>
                <w:color w:val="auto"/>
                <w:szCs w:val="24"/>
                <w:lang w:val="en-US" w:eastAsia="zh-CN"/>
              </w:rPr>
            </w:pPr>
            <w:r>
              <w:rPr>
                <w:rFonts w:hint="eastAsia" w:ascii="宋体" w:hAnsi="宋体"/>
                <w:color w:val="auto"/>
                <w:szCs w:val="21"/>
              </w:rPr>
              <w:t>废</w:t>
            </w:r>
            <w:r>
              <w:rPr>
                <w:rFonts w:hint="eastAsia" w:ascii="宋体" w:hAnsi="宋体"/>
                <w:color w:val="auto"/>
                <w:szCs w:val="21"/>
                <w:lang w:val="en-US" w:eastAsia="zh-CN"/>
              </w:rPr>
              <w:t>线路</w:t>
            </w:r>
            <w:r>
              <w:rPr>
                <w:rFonts w:hint="eastAsia" w:ascii="宋体" w:hAnsi="宋体"/>
                <w:color w:val="auto"/>
                <w:szCs w:val="21"/>
              </w:rPr>
              <w:t>板</w:t>
            </w:r>
          </w:p>
        </w:tc>
        <w:tc>
          <w:tcPr>
            <w:tcW w:w="1806" w:type="dxa"/>
            <w:noWrap w:val="0"/>
            <w:vAlign w:val="top"/>
          </w:tcPr>
          <w:p>
            <w:pPr>
              <w:spacing w:line="300" w:lineRule="exact"/>
              <w:jc w:val="center"/>
              <w:rPr>
                <w:rFonts w:hint="default" w:ascii="Times New Roman" w:hAnsi="Times New Roman" w:eastAsia="宋体"/>
                <w:color w:val="auto"/>
                <w:szCs w:val="24"/>
                <w:lang w:val="en-US" w:eastAsia="zh-CN"/>
              </w:rPr>
            </w:pPr>
            <w:r>
              <w:rPr>
                <w:rFonts w:hint="eastAsia" w:ascii="Times New Roman" w:hAnsi="Times New Roman"/>
                <w:color w:val="auto"/>
                <w:szCs w:val="24"/>
                <w:lang w:val="en-US" w:eastAsia="zh-CN"/>
              </w:rPr>
              <w:t>300吨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color w:val="auto"/>
                <w:szCs w:val="24"/>
              </w:rPr>
            </w:pPr>
          </w:p>
        </w:tc>
        <w:tc>
          <w:tcPr>
            <w:tcW w:w="2409" w:type="dxa"/>
            <w:noWrap w:val="0"/>
            <w:vAlign w:val="center"/>
          </w:tcPr>
          <w:p>
            <w:pPr>
              <w:spacing w:line="300" w:lineRule="exact"/>
              <w:jc w:val="center"/>
              <w:rPr>
                <w:rFonts w:ascii="Times New Roman" w:hAnsi="Times New Roman"/>
                <w:color w:val="auto"/>
                <w:szCs w:val="24"/>
              </w:rPr>
            </w:pPr>
          </w:p>
        </w:tc>
        <w:tc>
          <w:tcPr>
            <w:tcW w:w="1806" w:type="dxa"/>
            <w:noWrap w:val="0"/>
            <w:vAlign w:val="top"/>
          </w:tcPr>
          <w:p>
            <w:pPr>
              <w:spacing w:line="300" w:lineRule="exact"/>
              <w:jc w:val="center"/>
              <w:rPr>
                <w:rFonts w:ascii="Times New Roman" w:hAnsi="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color w:val="auto"/>
                <w:szCs w:val="24"/>
              </w:rPr>
            </w:pPr>
          </w:p>
        </w:tc>
        <w:tc>
          <w:tcPr>
            <w:tcW w:w="2409" w:type="dxa"/>
            <w:noWrap w:val="0"/>
            <w:vAlign w:val="center"/>
          </w:tcPr>
          <w:p>
            <w:pPr>
              <w:spacing w:line="300" w:lineRule="exact"/>
              <w:jc w:val="center"/>
              <w:rPr>
                <w:rFonts w:ascii="Times New Roman" w:hAnsi="Times New Roman"/>
                <w:color w:val="auto"/>
                <w:szCs w:val="24"/>
              </w:rPr>
            </w:pPr>
          </w:p>
        </w:tc>
        <w:tc>
          <w:tcPr>
            <w:tcW w:w="1806" w:type="dxa"/>
            <w:noWrap w:val="0"/>
            <w:vAlign w:val="top"/>
          </w:tcPr>
          <w:p>
            <w:pPr>
              <w:spacing w:line="300" w:lineRule="exact"/>
              <w:jc w:val="center"/>
              <w:rPr>
                <w:rFonts w:ascii="Times New Roman" w:hAnsi="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2 </w:t>
            </w:r>
            <w:r>
              <w:rPr>
                <w:rFonts w:ascii="Times New Roman" w:eastAsia="黑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pacing w:line="300" w:lineRule="exact"/>
              <w:rPr>
                <w:rFonts w:ascii="Times New Roman" w:hAnsi="Times New Roman"/>
                <w:szCs w:val="24"/>
              </w:rPr>
            </w:pPr>
            <w:r>
              <w:rPr>
                <w:rFonts w:ascii="Times New Roman"/>
                <w:szCs w:val="24"/>
              </w:rPr>
              <w:t>文字描述及工艺流程图</w:t>
            </w: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r>
              <w:rPr>
                <w:rFonts w:ascii="Times New Roman" w:hAnsi="Times New Roman"/>
                <w:szCs w:val="24"/>
              </w:rPr>
              <w:drawing>
                <wp:anchor distT="0" distB="0" distL="114300" distR="114300" simplePos="0" relativeHeight="251660288" behindDoc="0" locked="0" layoutInCell="1" allowOverlap="1">
                  <wp:simplePos x="0" y="0"/>
                  <wp:positionH relativeFrom="column">
                    <wp:posOffset>99060</wp:posOffset>
                  </wp:positionH>
                  <wp:positionV relativeFrom="paragraph">
                    <wp:posOffset>65405</wp:posOffset>
                  </wp:positionV>
                  <wp:extent cx="5494020" cy="1038225"/>
                  <wp:effectExtent l="0" t="0" r="11430" b="9525"/>
                  <wp:wrapNone/>
                  <wp:docPr id="1" name="图片 2" descr="168984193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89841930443"/>
                          <pic:cNvPicPr>
                            <a:picLocks noChangeAspect="1"/>
                          </pic:cNvPicPr>
                        </pic:nvPicPr>
                        <pic:blipFill>
                          <a:blip r:embed="rId7"/>
                          <a:stretch>
                            <a:fillRect/>
                          </a:stretch>
                        </pic:blipFill>
                        <pic:spPr>
                          <a:xfrm>
                            <a:off x="0" y="0"/>
                            <a:ext cx="5494020" cy="1038225"/>
                          </a:xfrm>
                          <a:prstGeom prst="rect">
                            <a:avLst/>
                          </a:prstGeom>
                          <a:noFill/>
                          <a:ln>
                            <a:noFill/>
                          </a:ln>
                        </pic:spPr>
                      </pic:pic>
                    </a:graphicData>
                  </a:graphic>
                </wp:anchor>
              </w:drawing>
            </w: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eastAsia="仿宋_GB2312"/>
          <w:sz w:val="28"/>
        </w:rPr>
      </w:pP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sz w:val="24"/>
                <w:szCs w:val="24"/>
              </w:rPr>
            </w:pPr>
            <w:r>
              <w:rPr>
                <w:rFonts w:ascii="Times New Roman" w:eastAsia="黑体"/>
                <w:sz w:val="24"/>
                <w:szCs w:val="24"/>
              </w:rPr>
              <w:t>表</w:t>
            </w:r>
            <w:r>
              <w:rPr>
                <w:rFonts w:ascii="Times New Roman" w:hAnsi="Times New Roman" w:eastAsia="黑体"/>
                <w:sz w:val="24"/>
                <w:szCs w:val="24"/>
              </w:rPr>
              <w:t xml:space="preserve">3   </w:t>
            </w:r>
            <w:r>
              <w:rPr>
                <w:rFonts w:ascii="Times New Roman" w:eastAsia="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1801" w:type="dxa"/>
            <w:noWrap w:val="0"/>
            <w:vAlign w:val="center"/>
          </w:tcPr>
          <w:p>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hint="default" w:ascii="Times New Roman" w:hAnsi="Times New Roman" w:eastAsia="宋体"/>
                <w:szCs w:val="21"/>
                <w:lang w:val="en-US" w:eastAsia="zh-CN"/>
              </w:rPr>
            </w:pPr>
            <w:r>
              <w:rPr>
                <w:rFonts w:hint="eastAsia" w:ascii="宋体" w:hAnsi="宋体"/>
                <w:szCs w:val="21"/>
              </w:rPr>
              <w:t>废</w:t>
            </w:r>
            <w:r>
              <w:rPr>
                <w:rFonts w:hint="eastAsia" w:ascii="宋体" w:hAnsi="宋体"/>
                <w:szCs w:val="21"/>
                <w:lang w:val="en-US" w:eastAsia="zh-CN"/>
              </w:rPr>
              <w:t>线</w:t>
            </w:r>
            <w:r>
              <w:rPr>
                <w:rFonts w:hint="eastAsia" w:ascii="宋体" w:hAnsi="宋体"/>
                <w:szCs w:val="21"/>
              </w:rPr>
              <w:t>路板</w:t>
            </w:r>
          </w:p>
        </w:tc>
        <w:tc>
          <w:tcPr>
            <w:tcW w:w="1769" w:type="dxa"/>
            <w:noWrap w:val="0"/>
            <w:vAlign w:val="top"/>
          </w:tcPr>
          <w:p>
            <w:pPr>
              <w:spacing w:line="240" w:lineRule="auto"/>
              <w:rPr>
                <w:rFonts w:hint="default" w:ascii="Times New Roman" w:hAnsi="Times New Roman" w:eastAsia="宋体"/>
                <w:szCs w:val="21"/>
                <w:lang w:val="en-US" w:eastAsia="zh-CN"/>
              </w:rPr>
            </w:pPr>
            <w:r>
              <w:rPr>
                <w:rFonts w:hint="eastAsia" w:ascii="Times New Roman" w:hAnsi="Times New Roman"/>
                <w:color w:val="auto"/>
                <w:szCs w:val="21"/>
                <w:lang w:val="en-US" w:eastAsia="zh-CN"/>
              </w:rPr>
              <w:t>环氧树脂</w:t>
            </w:r>
          </w:p>
        </w:tc>
        <w:tc>
          <w:tcPr>
            <w:tcW w:w="1680" w:type="dxa"/>
            <w:noWrap w:val="0"/>
            <w:vAlign w:val="top"/>
          </w:tcPr>
          <w:p>
            <w:pPr>
              <w:spacing w:line="240" w:lineRule="auto"/>
              <w:rPr>
                <w:rFonts w:ascii="Times New Roman" w:hAnsi="Times New Roman"/>
                <w:szCs w:val="21"/>
              </w:rPr>
            </w:pP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hint="eastAsia" w:ascii="Times New Roman" w:hAnsi="Times New Roman" w:eastAsia="宋体"/>
                <w:szCs w:val="21"/>
                <w:lang w:eastAsia="zh-CN"/>
              </w:rPr>
            </w:pPr>
            <w:r>
              <w:rPr>
                <w:rFonts w:ascii="Times New Roman" w:hAnsi="宋体"/>
                <w:szCs w:val="21"/>
              </w:rPr>
              <w:t>毒性</w:t>
            </w:r>
            <w:r>
              <w:rPr>
                <w:rFonts w:ascii="Times New Roman" w:hAnsi="Times New Roman"/>
                <w:szCs w:val="21"/>
              </w:rPr>
              <w:t xml:space="preserve">           </w:t>
            </w:r>
            <w:r>
              <w:rPr>
                <w:rFonts w:hint="eastAsia" w:ascii="Times New Roman" w:hAnsi="Times New Roman"/>
                <w:szCs w:val="21"/>
                <w:lang w:eastAsia="zh-CN"/>
              </w:rPr>
              <w:t>☑</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hint="eastAsia" w:ascii="Times New Roman" w:hAnsi="Times New Roman" w:eastAsia="宋体"/>
                <w:szCs w:val="21"/>
                <w:lang w:eastAsia="zh-CN"/>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lang w:eastAsia="zh-CN"/>
              </w:rPr>
              <w:t>☑</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1801" w:type="dxa"/>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hAnsi="Times New Roman" w:eastAsia="黑体"/>
          <w:sz w:val="28"/>
          <w:szCs w:val="28"/>
        </w:rPr>
      </w:pPr>
      <w:r>
        <w:rPr>
          <w:rFonts w:ascii="Times New Roman"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815"/>
        <w:gridCol w:w="2083"/>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6" w:type="dxa"/>
            <w:noWrap w:val="0"/>
            <w:vAlign w:val="center"/>
          </w:tcPr>
          <w:p>
            <w:pPr>
              <w:jc w:val="center"/>
              <w:rPr>
                <w:rFonts w:ascii="Times New Roman" w:hAnsi="Times New Roman"/>
              </w:rPr>
            </w:pPr>
            <w:r>
              <w:rPr>
                <w:rFonts w:ascii="Times New Roman"/>
              </w:rPr>
              <w:t>序号</w:t>
            </w:r>
          </w:p>
        </w:tc>
        <w:tc>
          <w:tcPr>
            <w:tcW w:w="1815" w:type="dxa"/>
            <w:noWrap w:val="0"/>
            <w:vAlign w:val="center"/>
          </w:tcPr>
          <w:p>
            <w:pPr>
              <w:jc w:val="center"/>
              <w:rPr>
                <w:rFonts w:ascii="Times New Roman" w:hAnsi="Times New Roman"/>
              </w:rPr>
            </w:pPr>
            <w:r>
              <w:rPr>
                <w:rFonts w:ascii="Times New Roman"/>
              </w:rPr>
              <w:t>废物名称</w:t>
            </w:r>
          </w:p>
        </w:tc>
        <w:tc>
          <w:tcPr>
            <w:tcW w:w="2083" w:type="dxa"/>
            <w:noWrap w:val="0"/>
            <w:vAlign w:val="center"/>
          </w:tcPr>
          <w:p>
            <w:pPr>
              <w:jc w:val="center"/>
              <w:rPr>
                <w:rFonts w:ascii="Times New Roman" w:hAnsi="Times New Roman"/>
              </w:rPr>
            </w:pPr>
            <w:r>
              <w:rPr>
                <w:rFonts w:ascii="Times New Roman"/>
              </w:rPr>
              <w:t>包装物（容器）名称</w:t>
            </w:r>
          </w:p>
        </w:tc>
        <w:tc>
          <w:tcPr>
            <w:tcW w:w="1421" w:type="dxa"/>
            <w:noWrap w:val="0"/>
            <w:vAlign w:val="center"/>
          </w:tcPr>
          <w:p>
            <w:pPr>
              <w:jc w:val="center"/>
              <w:rPr>
                <w:rFonts w:ascii="Times New Roman" w:hAnsi="Times New Roman"/>
              </w:rPr>
            </w:pPr>
            <w:r>
              <w:rPr>
                <w:rFonts w:ascii="Times New Roman"/>
              </w:rPr>
              <w:t>材质</w:t>
            </w:r>
          </w:p>
        </w:tc>
        <w:tc>
          <w:tcPr>
            <w:tcW w:w="1379" w:type="dxa"/>
            <w:noWrap w:val="0"/>
            <w:vAlign w:val="center"/>
          </w:tcPr>
          <w:p>
            <w:pPr>
              <w:jc w:val="center"/>
              <w:rPr>
                <w:rFonts w:ascii="Times New Roman" w:hAnsi="Times New Roman"/>
              </w:rPr>
            </w:pPr>
            <w:r>
              <w:rPr>
                <w:rFonts w:ascii="Times New Roman"/>
              </w:rPr>
              <w:t>容积</w:t>
            </w:r>
          </w:p>
        </w:tc>
        <w:tc>
          <w:tcPr>
            <w:tcW w:w="1716" w:type="dxa"/>
            <w:noWrap w:val="0"/>
            <w:vAlign w:val="center"/>
          </w:tcPr>
          <w:p>
            <w:pPr>
              <w:jc w:val="center"/>
              <w:rPr>
                <w:rFonts w:ascii="Times New Roman" w:hAnsi="Times New Roman"/>
              </w:rPr>
            </w:pPr>
            <w:r>
              <w:rPr>
                <w:rFonts w:ascii="Times New Roman"/>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center"/>
          </w:tcPr>
          <w:p>
            <w:pPr>
              <w:jc w:val="center"/>
              <w:rPr>
                <w:rFonts w:hint="eastAsia" w:ascii="Times New Roman" w:hAnsi="Times New Roman" w:eastAsia="宋体"/>
                <w:lang w:val="en-US" w:eastAsia="zh-CN"/>
              </w:rPr>
            </w:pPr>
            <w:r>
              <w:rPr>
                <w:rFonts w:hint="eastAsia" w:ascii="Times New Roman" w:hAnsi="Times New Roman"/>
                <w:lang w:val="en-US" w:eastAsia="zh-CN"/>
              </w:rPr>
              <w:t>1</w:t>
            </w:r>
          </w:p>
        </w:tc>
        <w:tc>
          <w:tcPr>
            <w:tcW w:w="1815" w:type="dxa"/>
            <w:noWrap w:val="0"/>
            <w:vAlign w:val="center"/>
          </w:tcPr>
          <w:p>
            <w:pPr>
              <w:jc w:val="center"/>
              <w:rPr>
                <w:rFonts w:hint="default" w:ascii="Times New Roman" w:hAnsi="Times New Roman" w:eastAsia="宋体"/>
                <w:color w:val="FF0000"/>
                <w:lang w:val="en-US" w:eastAsia="zh-CN"/>
              </w:rPr>
            </w:pPr>
            <w:r>
              <w:rPr>
                <w:rFonts w:hint="eastAsia" w:ascii="宋体" w:hAnsi="宋体"/>
                <w:szCs w:val="21"/>
              </w:rPr>
              <w:t>废</w:t>
            </w:r>
            <w:r>
              <w:rPr>
                <w:rFonts w:hint="eastAsia" w:ascii="宋体" w:hAnsi="宋体"/>
                <w:szCs w:val="21"/>
                <w:lang w:val="en-US" w:eastAsia="zh-CN"/>
              </w:rPr>
              <w:t>线</w:t>
            </w:r>
            <w:r>
              <w:rPr>
                <w:rFonts w:hint="eastAsia" w:ascii="宋体" w:hAnsi="宋体"/>
                <w:szCs w:val="21"/>
              </w:rPr>
              <w:t>路板</w:t>
            </w:r>
          </w:p>
        </w:tc>
        <w:tc>
          <w:tcPr>
            <w:tcW w:w="2083" w:type="dxa"/>
            <w:noWrap w:val="0"/>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包装袋</w:t>
            </w:r>
          </w:p>
        </w:tc>
        <w:tc>
          <w:tcPr>
            <w:tcW w:w="1421" w:type="dxa"/>
            <w:noWrap w:val="0"/>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塑料</w:t>
            </w:r>
          </w:p>
        </w:tc>
        <w:tc>
          <w:tcPr>
            <w:tcW w:w="1379" w:type="dxa"/>
            <w:noWrap w:val="0"/>
            <w:vAlign w:val="top"/>
          </w:tcPr>
          <w:p>
            <w:pPr>
              <w:jc w:val="center"/>
              <w:rPr>
                <w:rFonts w:hint="default" w:ascii="Times New Roman" w:hAnsi="Times New Roman" w:eastAsia="宋体"/>
                <w:color w:val="auto"/>
                <w:lang w:val="en-US" w:eastAsia="zh-CN"/>
              </w:rPr>
            </w:pPr>
            <w:r>
              <w:rPr>
                <w:rFonts w:hint="eastAsia" w:ascii="Times New Roman" w:hAnsi="Times New Roman"/>
                <w:color w:val="auto"/>
                <w:lang w:val="en-US" w:eastAsia="zh-CN"/>
              </w:rPr>
              <w:t>200-800L</w:t>
            </w:r>
          </w:p>
        </w:tc>
        <w:tc>
          <w:tcPr>
            <w:tcW w:w="1716" w:type="dxa"/>
            <w:noWrap w:val="0"/>
            <w:vAlign w:val="center"/>
          </w:tcPr>
          <w:p>
            <w:pPr>
              <w:jc w:val="center"/>
              <w:rPr>
                <w:rFonts w:hint="eastAsia" w:ascii="Times New Roman" w:hAnsi="Times New Roman" w:eastAsia="宋体"/>
                <w:color w:val="auto"/>
                <w:lang w:val="en-US" w:eastAsia="zh-CN"/>
              </w:rPr>
            </w:pPr>
            <w:r>
              <w:rPr>
                <w:rFonts w:hint="eastAsia" w:ascii="Times New Roman" w:hAnsi="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top"/>
          </w:tcPr>
          <w:p>
            <w:pPr>
              <w:rPr>
                <w:rFonts w:ascii="Times New Roman" w:hAnsi="Times New Roman"/>
              </w:rPr>
            </w:pPr>
          </w:p>
        </w:tc>
        <w:tc>
          <w:tcPr>
            <w:tcW w:w="1815" w:type="dxa"/>
            <w:noWrap w:val="0"/>
            <w:vAlign w:val="top"/>
          </w:tcPr>
          <w:p>
            <w:pPr>
              <w:rPr>
                <w:rFonts w:ascii="Times New Roman" w:hAnsi="Times New Roman"/>
              </w:rPr>
            </w:pPr>
          </w:p>
        </w:tc>
        <w:tc>
          <w:tcPr>
            <w:tcW w:w="2083"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top"/>
          </w:tcPr>
          <w:p>
            <w:pPr>
              <w:rPr>
                <w:rFonts w:ascii="Times New Roman" w:hAnsi="Times New Roman"/>
              </w:rPr>
            </w:pPr>
          </w:p>
        </w:tc>
        <w:tc>
          <w:tcPr>
            <w:tcW w:w="1815" w:type="dxa"/>
            <w:noWrap w:val="0"/>
            <w:vAlign w:val="top"/>
          </w:tcPr>
          <w:p>
            <w:pPr>
              <w:rPr>
                <w:rFonts w:ascii="Times New Roman" w:hAnsi="Times New Roman"/>
              </w:rPr>
            </w:pPr>
          </w:p>
        </w:tc>
        <w:tc>
          <w:tcPr>
            <w:tcW w:w="2083"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top"/>
          </w:tcPr>
          <w:p>
            <w:pPr>
              <w:rPr>
                <w:rFonts w:ascii="Times New Roman" w:hAnsi="Times New Roman"/>
              </w:rPr>
            </w:pPr>
          </w:p>
        </w:tc>
        <w:tc>
          <w:tcPr>
            <w:tcW w:w="1815" w:type="dxa"/>
            <w:noWrap w:val="0"/>
            <w:vAlign w:val="top"/>
          </w:tcPr>
          <w:p>
            <w:pPr>
              <w:rPr>
                <w:rFonts w:ascii="Times New Roman" w:hAnsi="Times New Roman"/>
              </w:rPr>
            </w:pPr>
          </w:p>
        </w:tc>
        <w:tc>
          <w:tcPr>
            <w:tcW w:w="2083"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6" w:type="dxa"/>
            <w:noWrap w:val="0"/>
            <w:vAlign w:val="top"/>
          </w:tcPr>
          <w:p>
            <w:pPr>
              <w:rPr>
                <w:rFonts w:ascii="Times New Roman" w:hAnsi="Times New Roman"/>
              </w:rPr>
            </w:pPr>
          </w:p>
        </w:tc>
        <w:tc>
          <w:tcPr>
            <w:tcW w:w="1815" w:type="dxa"/>
            <w:noWrap w:val="0"/>
            <w:vAlign w:val="top"/>
          </w:tcPr>
          <w:p>
            <w:pPr>
              <w:rPr>
                <w:rFonts w:ascii="Times New Roman" w:hAnsi="Times New Roman"/>
              </w:rPr>
            </w:pPr>
          </w:p>
        </w:tc>
        <w:tc>
          <w:tcPr>
            <w:tcW w:w="2083" w:type="dxa"/>
            <w:noWrap w:val="0"/>
            <w:vAlign w:val="top"/>
          </w:tcPr>
          <w:p>
            <w:pPr>
              <w:rPr>
                <w:rFonts w:ascii="Times New Roman" w:hAnsi="Times New Roman"/>
              </w:rPr>
            </w:pPr>
          </w:p>
        </w:tc>
        <w:tc>
          <w:tcPr>
            <w:tcW w:w="1421" w:type="dxa"/>
            <w:noWrap w:val="0"/>
            <w:vAlign w:val="top"/>
          </w:tcPr>
          <w:p>
            <w:pPr>
              <w:rPr>
                <w:rFonts w:ascii="Times New Roman" w:hAnsi="Times New Roman"/>
              </w:rPr>
            </w:pPr>
          </w:p>
        </w:tc>
        <w:tc>
          <w:tcPr>
            <w:tcW w:w="1379" w:type="dxa"/>
            <w:noWrap w:val="0"/>
            <w:vAlign w:val="top"/>
          </w:tcPr>
          <w:p>
            <w:pPr>
              <w:rPr>
                <w:rFonts w:ascii="Times New Roman" w:hAnsi="Times New Roman"/>
              </w:rPr>
            </w:pPr>
          </w:p>
        </w:tc>
        <w:tc>
          <w:tcPr>
            <w:tcW w:w="1716" w:type="dxa"/>
            <w:noWrap w:val="0"/>
            <w:vAlign w:val="top"/>
          </w:tcPr>
          <w:p>
            <w:pPr>
              <w:rPr>
                <w:rFonts w:ascii="Times New Roman" w:hAnsi="Times New Roman"/>
              </w:rPr>
            </w:pPr>
          </w:p>
        </w:tc>
      </w:tr>
    </w:tbl>
    <w:p>
      <w:pPr>
        <w:rPr>
          <w:rFonts w:ascii="Times New Roman" w:hAnsi="Times New Roman" w:eastAsia="黑体"/>
          <w:sz w:val="28"/>
          <w:szCs w:val="28"/>
        </w:rPr>
      </w:pP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b/>
                <w:bCs/>
                <w:szCs w:val="24"/>
              </w:rPr>
            </w:pPr>
            <w:r>
              <w:rPr>
                <w:rFonts w:ascii="Times New Roman"/>
                <w:b/>
                <w:bCs/>
                <w:szCs w:val="24"/>
              </w:rPr>
              <w:t>表</w:t>
            </w:r>
            <w:r>
              <w:rPr>
                <w:rFonts w:ascii="Times New Roman" w:hAnsi="Times New Roman"/>
                <w:b/>
                <w:bCs/>
                <w:szCs w:val="24"/>
              </w:rPr>
              <w:t xml:space="preserve">2  </w:t>
            </w:r>
            <w:r>
              <w:rPr>
                <w:rFonts w:ascii="Times New Roman"/>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9240" w:type="dxa"/>
            <w:noWrap w:val="0"/>
            <w:vAlign w:val="top"/>
          </w:tcPr>
          <w:p>
            <w:pPr>
              <w:rPr>
                <w:rFonts w:ascii="Times New Roman" w:hAnsi="Times New Roman"/>
                <w:szCs w:val="24"/>
              </w:rPr>
            </w:pPr>
            <w:r>
              <w:rPr>
                <w:rFonts w:ascii="Times New Roman"/>
                <w:szCs w:val="24"/>
              </w:rPr>
              <w:t>运输是否符合交管部门运输相关规定（文字描述）</w:t>
            </w:r>
          </w:p>
          <w:p>
            <w:pPr>
              <w:rPr>
                <w:rFonts w:hint="default" w:ascii="Times New Roman" w:hAnsi="Times New Roman" w:eastAsia="宋体"/>
                <w:szCs w:val="24"/>
                <w:lang w:val="en-US" w:eastAsia="zh-CN"/>
              </w:rPr>
            </w:pPr>
            <w:r>
              <w:rPr>
                <w:rFonts w:hint="eastAsia" w:ascii="Times New Roman" w:hAnsi="Times New Roman"/>
                <w:szCs w:val="24"/>
                <w:lang w:val="en-US" w:eastAsia="zh-CN"/>
              </w:rPr>
              <w:t>运输符合交管部门对于危险废物运输的要求，做到防雨、防漏、防扬散等一系列要求，并具备相应的应急处置条件与能力。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szCs w:val="24"/>
              </w:rPr>
              <w:t>运输方式：</w:t>
            </w:r>
            <w:r>
              <w:rPr>
                <w:rFonts w:ascii="Times New Roman" w:hAnsi="Times New Roman"/>
                <w:szCs w:val="24"/>
              </w:rPr>
              <w:t xml:space="preserve">   </w:t>
            </w:r>
            <w:r>
              <w:rPr>
                <w:rFonts w:ascii="Times New Roman"/>
                <w:szCs w:val="24"/>
              </w:rPr>
              <w:t>道路</w:t>
            </w:r>
            <w:r>
              <w:rPr>
                <w:rFonts w:ascii="Times New Roman" w:hAnsi="Times New Roman"/>
                <w:szCs w:val="24"/>
              </w:rPr>
              <w:t xml:space="preserve"> </w:t>
            </w:r>
            <w:r>
              <w:rPr>
                <w:rFonts w:hint="eastAsia" w:ascii="Times New Roman" w:hAnsi="Times New Roman"/>
                <w:szCs w:val="24"/>
                <w:lang w:eastAsia="zh-CN"/>
              </w:rPr>
              <w:t>☑</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trPr>
        <w:tc>
          <w:tcPr>
            <w:tcW w:w="9240" w:type="dxa"/>
            <w:noWrap w:val="0"/>
            <w:vAlign w:val="top"/>
          </w:tcPr>
          <w:p>
            <w:pPr>
              <w:rPr>
                <w:rFonts w:ascii="Times New Roman"/>
                <w:szCs w:val="24"/>
              </w:rPr>
            </w:pPr>
            <w:r>
              <w:rPr>
                <w:rFonts w:ascii="Times New Roman"/>
                <w:szCs w:val="24"/>
              </w:rPr>
              <w:t>运输路线文字描述：（写明途经省、市、县（区），附路线图）</w:t>
            </w:r>
          </w:p>
          <w:p>
            <w:pPr>
              <w:spacing w:line="240" w:lineRule="auto"/>
              <w:rPr>
                <w:rFonts w:hint="default" w:ascii="Times New Roman" w:eastAsia="宋体"/>
                <w:szCs w:val="24"/>
                <w:lang w:val="en-US" w:eastAsia="zh-CN"/>
              </w:rPr>
            </w:pPr>
            <w:r>
              <w:rPr>
                <w:rFonts w:hint="default" w:ascii="Times New Roman" w:eastAsia="宋体"/>
                <w:szCs w:val="24"/>
                <w:lang w:val="en-US" w:eastAsia="zh-CN"/>
              </w:rPr>
              <w:t>运输路线：安徽省合肥市经济技术开发区海尔工业园-</w:t>
            </w:r>
            <w:r>
              <w:rPr>
                <w:rFonts w:hint="eastAsia" w:ascii="Times New Roman" w:eastAsia="宋体"/>
                <w:szCs w:val="24"/>
                <w:lang w:val="en-US" w:eastAsia="zh-CN"/>
              </w:rPr>
              <w:t>合肥绕城高速-</w:t>
            </w:r>
            <w:r>
              <w:rPr>
                <w:rFonts w:hint="default" w:ascii="Times New Roman" w:eastAsia="宋体"/>
                <w:szCs w:val="24"/>
                <w:lang w:val="en-US" w:eastAsia="zh-CN"/>
              </w:rPr>
              <w:t>京台高速-芜合高速-沪武高速-常武南路-常州市武进高新区龙瑞路3号</w:t>
            </w:r>
          </w:p>
          <w:p>
            <w:pPr>
              <w:spacing w:line="240" w:lineRule="auto"/>
              <w:rPr>
                <w:rFonts w:hint="default" w:ascii="Times New Roman" w:eastAsia="宋体"/>
                <w:szCs w:val="24"/>
                <w:lang w:val="en-US" w:eastAsia="zh-CN"/>
              </w:rPr>
            </w:pPr>
            <w:r>
              <w:rPr>
                <w:rFonts w:hint="default" w:ascii="Times New Roman" w:eastAsia="宋体"/>
                <w:szCs w:val="24"/>
                <w:lang w:val="en-US" w:eastAsia="zh-CN"/>
              </w:rPr>
              <w:drawing>
                <wp:anchor distT="0" distB="0" distL="114300" distR="114300" simplePos="0" relativeHeight="251661312" behindDoc="0" locked="0" layoutInCell="1" allowOverlap="1">
                  <wp:simplePos x="0" y="0"/>
                  <wp:positionH relativeFrom="column">
                    <wp:posOffset>3608070</wp:posOffset>
                  </wp:positionH>
                  <wp:positionV relativeFrom="paragraph">
                    <wp:posOffset>194945</wp:posOffset>
                  </wp:positionV>
                  <wp:extent cx="2075180" cy="2854960"/>
                  <wp:effectExtent l="0" t="0" r="1270" b="2540"/>
                  <wp:wrapNone/>
                  <wp:docPr id="3" name="图片 3" descr="169899473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8994738821"/>
                          <pic:cNvPicPr>
                            <a:picLocks noChangeAspect="1"/>
                          </pic:cNvPicPr>
                        </pic:nvPicPr>
                        <pic:blipFill>
                          <a:blip r:embed="rId8"/>
                          <a:stretch>
                            <a:fillRect/>
                          </a:stretch>
                        </pic:blipFill>
                        <pic:spPr>
                          <a:xfrm>
                            <a:off x="0" y="0"/>
                            <a:ext cx="2075180" cy="2854960"/>
                          </a:xfrm>
                          <a:prstGeom prst="rect">
                            <a:avLst/>
                          </a:prstGeom>
                          <a:noFill/>
                          <a:ln>
                            <a:noFill/>
                          </a:ln>
                        </pic:spPr>
                      </pic:pic>
                    </a:graphicData>
                  </a:graphic>
                </wp:anchor>
              </w:drawing>
            </w:r>
            <w:r>
              <w:rPr>
                <w:rFonts w:hint="default" w:ascii="Times New Roman" w:eastAsia="宋体"/>
                <w:szCs w:val="24"/>
                <w:lang w:val="en-US" w:eastAsia="zh-CN"/>
              </w:rPr>
              <w:t>途径地级市：</w:t>
            </w:r>
            <w:r>
              <w:rPr>
                <w:rFonts w:hint="eastAsia" w:ascii="Times New Roman" w:eastAsia="宋体"/>
                <w:szCs w:val="24"/>
                <w:lang w:val="en-US" w:eastAsia="zh-CN"/>
              </w:rPr>
              <w:t>合肥市、</w:t>
            </w:r>
            <w:r>
              <w:rPr>
                <w:rFonts w:hint="default" w:ascii="Times New Roman" w:eastAsia="宋体"/>
                <w:szCs w:val="24"/>
                <w:lang w:val="en-US" w:eastAsia="zh-CN"/>
              </w:rPr>
              <w:t>马鞍山市、南京市、镇江市、常州市</w:t>
            </w:r>
          </w:p>
        </w:tc>
      </w:tr>
    </w:tbl>
    <w:p>
      <w:pPr>
        <w:rPr>
          <w:rFonts w:ascii="Times New Roman" w:hAnsi="Times New Roman"/>
          <w:szCs w:val="24"/>
        </w:rPr>
        <w:sectPr>
          <w:pgSz w:w="11906" w:h="16838"/>
          <w:pgMar w:top="1440" w:right="1797" w:bottom="1440" w:left="1797" w:header="851" w:footer="992" w:gutter="0"/>
          <w:cols w:space="720" w:num="1"/>
          <w:docGrid w:type="lines" w:linePitch="286" w:charSpace="0"/>
        </w:sect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b/>
                <w:bCs/>
                <w:szCs w:val="24"/>
              </w:rPr>
              <w:t>表</w:t>
            </w:r>
            <w:r>
              <w:rPr>
                <w:rFonts w:ascii="Times New Roman" w:hAnsi="Times New Roman"/>
                <w:b/>
                <w:bCs/>
                <w:szCs w:val="24"/>
              </w:rPr>
              <w:t xml:space="preserve">3  </w:t>
            </w:r>
            <w:r>
              <w:rPr>
                <w:rFonts w:ascii="Times New Roman"/>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1"/>
              </w:numPr>
              <w:spacing w:line="240" w:lineRule="auto"/>
              <w:rPr>
                <w:rFonts w:ascii="Times New Roman" w:hAnsi="Times New Roman"/>
                <w:bCs/>
                <w:szCs w:val="24"/>
              </w:rPr>
            </w:pPr>
            <w:r>
              <w:rPr>
                <w:rFonts w:ascii="Times New Roman"/>
                <w:bCs/>
                <w:szCs w:val="24"/>
              </w:rPr>
              <w:t>运输过程中的污染防治措施以及按照要求配备的相应污染防治设备</w:t>
            </w:r>
          </w:p>
          <w:p>
            <w:pPr>
              <w:numPr>
                <w:ilvl w:val="0"/>
                <w:numId w:val="0"/>
              </w:numPr>
              <w:spacing w:line="240" w:lineRule="auto"/>
              <w:ind w:leftChars="0"/>
              <w:rPr>
                <w:rFonts w:hint="eastAsia" w:ascii="Times New Roman"/>
                <w:bCs/>
                <w:szCs w:val="24"/>
                <w:lang w:val="en-US" w:eastAsia="zh-CN"/>
              </w:rPr>
            </w:pPr>
          </w:p>
          <w:p>
            <w:pPr>
              <w:numPr>
                <w:ilvl w:val="0"/>
                <w:numId w:val="0"/>
              </w:numPr>
              <w:spacing w:line="240" w:lineRule="auto"/>
              <w:ind w:leftChars="0"/>
              <w:rPr>
                <w:rFonts w:hint="default" w:ascii="Times New Roman" w:hAnsi="Times New Roman" w:eastAsia="宋体"/>
                <w:bCs/>
                <w:szCs w:val="24"/>
                <w:lang w:val="en-US" w:eastAsia="zh-CN"/>
              </w:rPr>
            </w:pPr>
            <w:r>
              <w:rPr>
                <w:rFonts w:hint="eastAsia" w:ascii="Times New Roman"/>
                <w:bCs/>
                <w:szCs w:val="24"/>
                <w:lang w:val="en-US" w:eastAsia="zh-CN"/>
              </w:rPr>
              <w:t>运输过程中的污染防治措施主要为防止危险废物倾倒、扬散，对此配备了铁通、铁锹、防化手套、防化鞋等用品。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1"/>
              </w:numPr>
              <w:ind w:left="360" w:leftChars="0" w:hanging="360" w:firstLineChars="0"/>
              <w:rPr>
                <w:rFonts w:ascii="Times New Roman"/>
                <w:bCs/>
                <w:szCs w:val="24"/>
              </w:rPr>
            </w:pPr>
            <w:r>
              <w:rPr>
                <w:rFonts w:ascii="Times New Roman"/>
                <w:bCs/>
                <w:szCs w:val="24"/>
              </w:rPr>
              <w:t>运输过程中的安全防护措施以及按照要求配备的相应安全防护设备</w:t>
            </w:r>
          </w:p>
          <w:p>
            <w:pPr>
              <w:numPr>
                <w:ilvl w:val="0"/>
                <w:numId w:val="0"/>
              </w:numPr>
              <w:ind w:leftChars="0"/>
              <w:rPr>
                <w:rFonts w:ascii="Times New Roman"/>
                <w:bCs/>
                <w:szCs w:val="24"/>
              </w:rPr>
            </w:pPr>
            <w:r>
              <w:rPr>
                <w:rFonts w:hint="eastAsia" w:ascii="Times New Roman"/>
                <w:bCs/>
                <w:szCs w:val="24"/>
                <w:lang w:val="en-US" w:eastAsia="zh-CN"/>
              </w:rPr>
              <w:t>运输过程中的安全防护措施主要为防止危险废物起火，对此配备了干粉灭火器、防化手套、防化鞋等用品。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bCs/>
                <w:szCs w:val="24"/>
              </w:rPr>
              <w:t>、运输过程中的应急预案以及按照要求配备的相应应急设备</w:t>
            </w:r>
          </w:p>
          <w:p>
            <w:pPr>
              <w:rPr>
                <w:rFonts w:hint="eastAsia" w:ascii="Times New Roman" w:hAnsi="Times New Roman"/>
                <w:szCs w:val="24"/>
                <w:lang w:val="en-US" w:eastAsia="zh-CN"/>
              </w:rPr>
            </w:pPr>
            <w:r>
              <w:rPr>
                <w:rFonts w:hint="eastAsia" w:ascii="Times New Roman" w:hAnsi="Times New Roman"/>
                <w:szCs w:val="24"/>
                <w:lang w:val="en-US" w:eastAsia="zh-CN"/>
              </w:rPr>
              <w:t>在运输过程中如果发生运输事故，立即启动应急预案，及时停车，在能力范围内控制住危险废物的扩散并进行报警，同时电话通知产废及接受单位的相关人员，配合相关部门做好后续工作。</w:t>
            </w:r>
          </w:p>
          <w:p>
            <w:pPr>
              <w:rPr>
                <w:rFonts w:hint="default" w:ascii="Times New Roman" w:hAnsi="Times New Roman"/>
                <w:szCs w:val="24"/>
                <w:lang w:val="en-US" w:eastAsia="zh-CN"/>
              </w:rPr>
            </w:pPr>
            <w:r>
              <w:rPr>
                <w:rFonts w:hint="eastAsia" w:ascii="Times New Roman" w:hAnsi="Times New Roman"/>
                <w:szCs w:val="24"/>
                <w:lang w:val="en-US" w:eastAsia="zh-CN"/>
              </w:rPr>
              <w:t>应急设备：铁桶、铁锹、灭火器、防化手套、防化鞋等</w:t>
            </w:r>
          </w:p>
        </w:tc>
      </w:tr>
    </w:tbl>
    <w:p>
      <w:pPr>
        <w:rPr>
          <w:rFonts w:ascii="Times New Roman" w:hAnsi="Times New Roman" w:eastAsia="黑体"/>
          <w:sz w:val="28"/>
          <w:szCs w:val="28"/>
        </w:rPr>
      </w:pPr>
      <w:r>
        <w:rPr>
          <w:rFonts w:ascii="Times New Roman" w:eastAsia="黑体"/>
          <w:sz w:val="28"/>
          <w:szCs w:val="28"/>
        </w:rPr>
        <w:t>第三部分</w:t>
      </w:r>
      <w:r>
        <w:rPr>
          <w:rFonts w:ascii="Times New Roman" w:hAnsi="Times New Roman" w:eastAsia="黑体"/>
          <w:sz w:val="28"/>
          <w:szCs w:val="28"/>
        </w:rPr>
        <w:t xml:space="preserve">   </w:t>
      </w:r>
      <w:r>
        <w:rPr>
          <w:rFonts w:ascii="Times New Roman" w:eastAsia="黑体"/>
          <w:sz w:val="28"/>
          <w:szCs w:val="28"/>
        </w:rPr>
        <w:t>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hint="default" w:ascii="Times New Roman" w:hAnsi="Times New Roman" w:eastAsia="宋体"/>
                <w:lang w:val="en-US" w:eastAsia="zh-CN"/>
              </w:rPr>
            </w:pPr>
            <w:r>
              <w:rPr>
                <w:rFonts w:ascii="Times New Roman"/>
              </w:rPr>
              <w:t>单位名称：</w:t>
            </w:r>
            <w:r>
              <w:rPr>
                <w:rFonts w:hint="eastAsia" w:ascii="Times New Roman"/>
                <w:lang w:val="en-US" w:eastAsia="zh-CN"/>
              </w:rPr>
              <w:t>常州市星辉环保科技发展有限公司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rPr>
              <w:t>危废经营许可证编号：</w:t>
            </w:r>
            <w:r>
              <w:rPr>
                <w:rFonts w:hint="eastAsia" w:ascii="Times New Roman" w:hAnsi="宋体"/>
                <w:szCs w:val="21"/>
                <w:lang w:val="en-US" w:eastAsia="zh-CN"/>
              </w:rPr>
              <w:t>JSCZ0412OOD052-2</w:t>
            </w:r>
          </w:p>
        </w:tc>
        <w:tc>
          <w:tcPr>
            <w:tcW w:w="4200" w:type="dxa"/>
            <w:noWrap w:val="0"/>
            <w:vAlign w:val="center"/>
          </w:tcPr>
          <w:p>
            <w:pPr>
              <w:rPr>
                <w:rFonts w:hint="default" w:ascii="Times New Roman" w:hAnsi="Times New Roman" w:eastAsia="宋体"/>
                <w:lang w:val="en-US" w:eastAsia="zh-CN"/>
              </w:rPr>
            </w:pPr>
            <w:r>
              <w:rPr>
                <w:rFonts w:ascii="Times New Roman"/>
              </w:rPr>
              <w:t>有效期：</w:t>
            </w:r>
            <w:r>
              <w:rPr>
                <w:rFonts w:hint="eastAsia" w:ascii="Times New Roman"/>
                <w:lang w:val="en-US" w:eastAsia="zh-CN"/>
              </w:rPr>
              <w:t>2019.12-2024.12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hint="default" w:ascii="Times New Roman" w:hAnsi="Times New Roman" w:eastAsia="宋体"/>
                <w:lang w:val="en-US" w:eastAsia="zh-CN"/>
              </w:rPr>
            </w:pPr>
            <w:r>
              <w:rPr>
                <w:rFonts w:ascii="Times New Roman"/>
              </w:rPr>
              <w:t>经营核准内容（废物名称、类别、数量）：</w:t>
            </w:r>
            <w:r>
              <w:rPr>
                <w:rFonts w:hint="eastAsia" w:ascii="Times New Roman"/>
                <w:lang w:val="en-US" w:eastAsia="zh-CN"/>
              </w:rPr>
              <w:t>处置、利用废线路板（包括废电线板上附带的元器件、芯片、插件、贴脚等）（HW49,900-045-49)8000吨/年</w:t>
            </w:r>
          </w:p>
        </w:tc>
      </w:tr>
    </w:tbl>
    <w:p>
      <w:pPr>
        <w:rPr>
          <w:rFonts w:ascii="Times New Roman" w:hAnsi="Times New Roman"/>
        </w:rPr>
      </w:pP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9345" w:type="dxa"/>
            <w:noWrap w:val="0"/>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szCs w:val="24"/>
              </w:rPr>
            </w:pPr>
            <w:r>
              <w:rPr>
                <w:rFonts w:ascii="Times New Roman"/>
                <w:szCs w:val="24"/>
              </w:rPr>
              <w:t>文字描述及工艺流程图</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收料控制：本项目收回的电路板主要为铝基覆铜板（来源于电子电路板生产企业生产过程中的不合格品、半成品），尚未安装电子元器件，且未进行锡焊，不收取含铅、汞、铬、镉、镍、锡等重金属电子组件及焊料的电路板，原料通过与来料厂家协议控制；另一部分收回的各类电子废弃物拆解过程产生的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路板，在进入破碎线之前将电路板表面的芯片、电容、电阻等元器件和焊接元器件的焊锡通过物理方法去除。电路板主要由基板和电子元器件组成，废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本项目进入回收生产线的仅为电路板基板，不涉及铅、汞、铬、镉、镍、锡重金属。</w:t>
            </w:r>
          </w:p>
          <w:p>
            <w:pPr>
              <w:spacing w:line="300" w:lineRule="exact"/>
              <w:rPr>
                <w:rFonts w:ascii="Times New Roman" w:eastAsia="宋体" w:cs="Times New Roman"/>
                <w:szCs w:val="24"/>
                <w:lang w:val="en-US" w:eastAsia="en-US"/>
              </w:rPr>
            </w:pP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工艺流程：利用废旧电路板进行含铜金属的回收加工，主要以收集来的电子电路板厂产生的和覆铜板边角料以及收回的各类电子废弃物物理拆解过程产生的废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路板（拆解过程中有少量粉尘 G1-1 产生）为原料，拆解过程使用锤磨机、手工小电钻等，拆解下来的电子元器件外售；经过初步拆解的废旧电路板、覆铜板为原料，采用干式回收方法进行回收电路板中的铜金属。</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流程说明：</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人工分拣——利用手工分拣的方式将废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路板、覆铜板按照外形和尺寸将其分类，以便于分批次进入破碎机进行破碎或者小尺寸电路板直接进入二级破碎机，该工序没有污染产生；</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一级破碎——一级破碎采用四轴对锟设计，具有噪声小、扭矩大、破碎室声大等优点，采用破碎刀片将较大尺寸的电路板挤压、剪切为小尺寸碎片，一般进料尺寸不大于 70*70cm，出料尺寸不大于 4*4cm，破碎时密闭操作，没有颗粒物逸出到空气中；</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二级破碎、三级破碎——二碎和三碎采用高速旋转的刀片对待碎物料产生冲击和剪切作用，从而使物料得以粉碎，破碎的目的是使废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路板、覆铜板中的金属尽可能的单体解离，以便于提高分选效率。破碎通常也是其他回收方法的一种预处理技术。研究发现，一般破碎到 6mm 时金属基本上可以达到 100%的解离，二碎机的进料尺寸不大于 4*4cm，出料尺寸不大于 1.5*1.5cm；三碎机进料尺寸不大于 1.5*1.5cm，出料尺寸小于 80 目。由于废</w:t>
            </w:r>
            <w:r>
              <w:rPr>
                <w:rFonts w:hint="eastAsia" w:ascii="Times New Roman" w:eastAsia="宋体" w:cs="Times New Roman"/>
                <w:szCs w:val="24"/>
                <w:lang w:val="en-US" w:eastAsia="zh-CN"/>
              </w:rPr>
              <w:t>线</w:t>
            </w:r>
            <w:r>
              <w:rPr>
                <w:rFonts w:ascii="Times New Roman" w:eastAsia="宋体" w:cs="Times New Roman"/>
                <w:szCs w:val="24"/>
                <w:lang w:val="en-US" w:eastAsia="en-US"/>
              </w:rPr>
              <w:t>路板主要由金属材料和非金属材料组成，金属材料具有较大的韧性，而非金属材料具有脆性，利用这一特性差异，在对电路板进行机械破碎时，金属材料由于受剪切与挤压而打卷，成为“卷型”颗粒，而非金属材料均为粉碎性破坏，当粉碎到一定细度时（约 300 目），金属粉将与非金属粉呈完全剥离状态。二碎和三碎过程均为密闭操作，过程中产生一定的粉尘，经过生产线自带的集气管道收集进入脉冲除尘器。</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磁选：在二级破碎及三级破碎之间有一道磁选，分选出铁粉颗粒；</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气流分选——气流分选是利用颗粒在气流中的沉降的速度差或运动轨迹的不同而进行分离的过程。PCB 破碎产物中铜等金属的密度远大于树脂等非金属的密度，因此在垂直上升气流作用下，金属与非金属的沉降速度存在较大差异，容易实现富集分离。分选原理：不同比重的颗粒混合物料给到床面一端，与从床面缝隙吹入的空气混合，颗粒群在重力、风力的综合作用下按密度差异产生松散、流化并分层，重颗粒受到板的摩擦和振动作用下向床面的上端移动，轻颗粒浮在床面上部并向下端漂移，从而实现了金属和其他物质的分离，分选出铜铝金属粉，气流分选的分选率可以达到 92%以上；气流分选过程中较大颗粒通过回流系统重新回到三级破碎机破碎，同时产生的粉尘通过分选设备自带管道进入脉冲除尘设备处理，分选出的含铜颗粒继续进入静电分选提纯。</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静电分选——利用不同物质的导电性能的不同，在静电场内的行进线路不同进行分选，具体原理为：物料在电选机中的分选过程与其导电性有关。根据不同物质在电场中的受力方式、受力大小都不同，因而产生不同的运动轨迹，从而实现导电性不同的物料分离，从而分出金属粉（含铜、铝、金、钯）和树脂粉（S1-1）。</w:t>
            </w:r>
          </w:p>
          <w:p>
            <w:pPr>
              <w:spacing w:line="300" w:lineRule="exact"/>
              <w:rPr>
                <w:rFonts w:ascii="Times New Roman" w:eastAsia="宋体" w:cs="Times New Roman"/>
                <w:szCs w:val="24"/>
                <w:lang w:val="en-US" w:eastAsia="en-US"/>
              </w:rPr>
            </w:pPr>
            <w:r>
              <w:rPr>
                <w:rFonts w:ascii="Times New Roman" w:eastAsia="宋体" w:cs="Times New Roman"/>
                <w:szCs w:val="24"/>
                <w:lang w:val="en-US" w:eastAsia="en-US"/>
              </w:rPr>
              <w:t>本项目回收生产线为定制成套密闭设备，工段之间均采用管道连接，整个回收生产线内产生一定的粉尘 G1-2（主要成分为树脂粉、铜、铝），出料口产品收集袋与出料口管口密闭连接，设备配套吸风罩收集包装袋束口可能逸出的出料粉尘，进入生产线自带管道负压收集后进入自带脉冲除尘器处理。</w:t>
            </w:r>
          </w:p>
          <w:p>
            <w:pPr>
              <w:spacing w:line="300" w:lineRule="exact"/>
              <w:rPr>
                <w:rFonts w:ascii="Times New Roman"/>
                <w:szCs w:val="24"/>
              </w:rPr>
            </w:pPr>
          </w:p>
          <w:p>
            <w:pPr>
              <w:spacing w:line="300" w:lineRule="exact"/>
              <w:rPr>
                <w:rFonts w:ascii="Times New Roman"/>
                <w:szCs w:val="24"/>
              </w:rPr>
            </w:pPr>
            <w:r>
              <w:drawing>
                <wp:anchor distT="0" distB="0" distL="114300" distR="114300" simplePos="0" relativeHeight="251659264" behindDoc="1" locked="0" layoutInCell="1" allowOverlap="1">
                  <wp:simplePos x="0" y="0"/>
                  <wp:positionH relativeFrom="page">
                    <wp:posOffset>1297305</wp:posOffset>
                  </wp:positionH>
                  <wp:positionV relativeFrom="page">
                    <wp:posOffset>3163570</wp:posOffset>
                  </wp:positionV>
                  <wp:extent cx="3186430" cy="4772660"/>
                  <wp:effectExtent l="0" t="0" r="13970" b="889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3186430" cy="4772660"/>
                          </a:xfrm>
                          <a:prstGeom prst="rect">
                            <a:avLst/>
                          </a:prstGeom>
                          <a:noFill/>
                          <a:ln>
                            <a:noFill/>
                          </a:ln>
                        </pic:spPr>
                      </pic:pic>
                    </a:graphicData>
                  </a:graphic>
                </wp:anchor>
              </w:drawing>
            </w: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p>
            <w:pPr>
              <w:spacing w:line="300" w:lineRule="exact"/>
              <w:rPr>
                <w:rFonts w:ascii="Times New Roman"/>
                <w:szCs w:val="24"/>
              </w:rPr>
            </w:pPr>
          </w:p>
        </w:tc>
      </w:tr>
    </w:tbl>
    <w:p>
      <w:pPr>
        <w:rPr>
          <w:rFonts w:ascii="Times New Roman" w:hAnsi="Times New Roman"/>
        </w:rPr>
        <w:sectPr>
          <w:pgSz w:w="11906" w:h="16838"/>
          <w:pgMar w:top="1440" w:right="1797" w:bottom="1440" w:left="1797" w:header="851" w:footer="992" w:gutter="0"/>
          <w:cols w:space="720" w:num="1"/>
          <w:docGrid w:type="lines" w:linePitch="312" w:charSpace="0"/>
        </w:sectPr>
      </w:pPr>
    </w:p>
    <w:p>
      <w:pPr>
        <w:rPr>
          <w:rFonts w:ascii="Times New Roman" w:hAnsi="Times New Roman" w:eastAsia="黑体"/>
          <w:sz w:val="28"/>
          <w:szCs w:val="28"/>
        </w:rPr>
      </w:pPr>
      <w:r>
        <w:rPr>
          <w:rFonts w:ascii="Times New Roman" w:eastAsia="黑体"/>
          <w:sz w:val="28"/>
          <w:szCs w:val="28"/>
        </w:rPr>
        <w:t>第四部分</w:t>
      </w:r>
      <w:r>
        <w:rPr>
          <w:rFonts w:ascii="Times New Roman" w:hAnsi="Times New Roman" w:eastAsia="黑体"/>
          <w:sz w:val="28"/>
          <w:szCs w:val="28"/>
        </w:rPr>
        <w:t xml:space="preserve"> </w:t>
      </w:r>
      <w:r>
        <w:rPr>
          <w:rFonts w:ascii="Times New Roman" w:eastAsia="黑体"/>
          <w:sz w:val="28"/>
          <w:szCs w:val="28"/>
        </w:rPr>
        <w:t>上年度固体（危险）废物跨省转移情况</w:t>
      </w:r>
    </w:p>
    <w:tbl>
      <w:tblPr>
        <w:tblStyle w:val="4"/>
        <w:tblW w:w="15168"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460"/>
        <w:gridCol w:w="1460"/>
        <w:gridCol w:w="1460"/>
        <w:gridCol w:w="1460"/>
        <w:gridCol w:w="1460"/>
        <w:gridCol w:w="1460"/>
        <w:gridCol w:w="1460"/>
        <w:gridCol w:w="146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center"/>
          </w:tcPr>
          <w:p>
            <w:pPr>
              <w:jc w:val="center"/>
              <w:rPr>
                <w:rFonts w:ascii="Times New Roman" w:hAnsi="Times New Roman"/>
              </w:rPr>
            </w:pPr>
            <w:r>
              <w:rPr>
                <w:rFonts w:ascii="Times New Roman" w:hAnsi="宋体"/>
              </w:rPr>
              <w:t>出厂日期</w:t>
            </w:r>
          </w:p>
        </w:tc>
        <w:tc>
          <w:tcPr>
            <w:tcW w:w="1460" w:type="dxa"/>
            <w:noWrap w:val="0"/>
            <w:vAlign w:val="center"/>
          </w:tcPr>
          <w:p>
            <w:pPr>
              <w:jc w:val="center"/>
              <w:rPr>
                <w:rFonts w:ascii="Times New Roman" w:hAnsi="Times New Roman"/>
              </w:rPr>
            </w:pPr>
            <w:r>
              <w:rPr>
                <w:rFonts w:ascii="Times New Roman" w:hAnsi="宋体"/>
              </w:rPr>
              <w:t>转移批次</w:t>
            </w:r>
          </w:p>
        </w:tc>
        <w:tc>
          <w:tcPr>
            <w:tcW w:w="1460" w:type="dxa"/>
            <w:noWrap w:val="0"/>
            <w:vAlign w:val="center"/>
          </w:tcPr>
          <w:p>
            <w:pPr>
              <w:jc w:val="center"/>
              <w:rPr>
                <w:rFonts w:ascii="Times New Roman" w:hAnsi="Times New Roman"/>
              </w:rPr>
            </w:pPr>
            <w:r>
              <w:rPr>
                <w:rFonts w:ascii="Times New Roman" w:hAnsi="宋体"/>
              </w:rPr>
              <w:t>联单编号</w:t>
            </w:r>
          </w:p>
        </w:tc>
        <w:tc>
          <w:tcPr>
            <w:tcW w:w="1460" w:type="dxa"/>
            <w:noWrap w:val="0"/>
            <w:vAlign w:val="center"/>
          </w:tcPr>
          <w:p>
            <w:pPr>
              <w:jc w:val="center"/>
              <w:rPr>
                <w:rFonts w:ascii="Times New Roman" w:hAnsi="Times New Roman"/>
              </w:rPr>
            </w:pPr>
            <w:r>
              <w:rPr>
                <w:rFonts w:ascii="Times New Roman" w:hAnsi="宋体"/>
              </w:rPr>
              <w:t>废物名称</w:t>
            </w:r>
          </w:p>
        </w:tc>
        <w:tc>
          <w:tcPr>
            <w:tcW w:w="1460" w:type="dxa"/>
            <w:noWrap w:val="0"/>
            <w:vAlign w:val="center"/>
          </w:tcPr>
          <w:p>
            <w:pPr>
              <w:jc w:val="center"/>
              <w:rPr>
                <w:rFonts w:ascii="Times New Roman" w:hAnsi="Times New Roman"/>
              </w:rPr>
            </w:pPr>
            <w:r>
              <w:rPr>
                <w:rFonts w:ascii="Times New Roman" w:hAnsi="宋体"/>
              </w:rPr>
              <w:t>类别</w:t>
            </w:r>
            <w:r>
              <w:rPr>
                <w:rFonts w:ascii="Times New Roman" w:hAnsi="Times New Roman"/>
              </w:rPr>
              <w:t>/</w:t>
            </w:r>
            <w:r>
              <w:rPr>
                <w:rFonts w:ascii="Times New Roman" w:hAnsi="宋体"/>
              </w:rPr>
              <w:t>代码</w:t>
            </w:r>
          </w:p>
        </w:tc>
        <w:tc>
          <w:tcPr>
            <w:tcW w:w="1460" w:type="dxa"/>
            <w:noWrap w:val="0"/>
            <w:vAlign w:val="center"/>
          </w:tcPr>
          <w:p>
            <w:pPr>
              <w:jc w:val="center"/>
              <w:rPr>
                <w:rFonts w:ascii="Times New Roman" w:hAnsi="Times New Roman"/>
              </w:rPr>
            </w:pPr>
            <w:r>
              <w:rPr>
                <w:rFonts w:ascii="Times New Roman" w:hAnsi="宋体"/>
              </w:rPr>
              <w:t>转移量（吨）</w:t>
            </w:r>
          </w:p>
        </w:tc>
        <w:tc>
          <w:tcPr>
            <w:tcW w:w="1460" w:type="dxa"/>
            <w:noWrap w:val="0"/>
            <w:vAlign w:val="center"/>
          </w:tcPr>
          <w:p>
            <w:pPr>
              <w:jc w:val="center"/>
              <w:rPr>
                <w:rFonts w:ascii="Times New Roman" w:hAnsi="Times New Roman"/>
              </w:rPr>
            </w:pPr>
            <w:r>
              <w:rPr>
                <w:rFonts w:ascii="Times New Roman"/>
              </w:rPr>
              <w:t>运输单位</w:t>
            </w:r>
          </w:p>
        </w:tc>
        <w:tc>
          <w:tcPr>
            <w:tcW w:w="1460" w:type="dxa"/>
            <w:noWrap w:val="0"/>
            <w:vAlign w:val="center"/>
          </w:tcPr>
          <w:p>
            <w:pPr>
              <w:jc w:val="center"/>
              <w:rPr>
                <w:rFonts w:ascii="Times New Roman" w:hAnsi="Times New Roman"/>
              </w:rPr>
            </w:pPr>
            <w:r>
              <w:rPr>
                <w:rFonts w:ascii="Times New Roman"/>
              </w:rPr>
              <w:t>车号</w:t>
            </w:r>
          </w:p>
        </w:tc>
        <w:tc>
          <w:tcPr>
            <w:tcW w:w="1460" w:type="dxa"/>
            <w:noWrap w:val="0"/>
            <w:vAlign w:val="center"/>
          </w:tcPr>
          <w:p>
            <w:pPr>
              <w:jc w:val="center"/>
              <w:rPr>
                <w:rFonts w:ascii="Times New Roman" w:hAnsi="Times New Roman"/>
              </w:rPr>
            </w:pPr>
            <w:r>
              <w:rPr>
                <w:rFonts w:ascii="Times New Roman" w:hAnsi="宋体"/>
              </w:rPr>
              <w:t>接收单位</w:t>
            </w:r>
          </w:p>
        </w:tc>
        <w:tc>
          <w:tcPr>
            <w:tcW w:w="1744" w:type="dxa"/>
            <w:noWrap w:val="0"/>
            <w:vAlign w:val="center"/>
          </w:tcPr>
          <w:p>
            <w:pPr>
              <w:jc w:val="center"/>
              <w:rPr>
                <w:rFonts w:ascii="Times New Roman" w:hAnsi="Times New Roman"/>
              </w:rPr>
            </w:pPr>
            <w:r>
              <w:rPr>
                <w:rFonts w:ascii="Times New Roman" w:hAnsi="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4" w:type="dxa"/>
            <w:noWrap w:val="0"/>
            <w:vAlign w:val="top"/>
          </w:tcPr>
          <w:p>
            <w:pPr>
              <w:jc w:val="left"/>
              <w:rPr>
                <w:rFonts w:ascii="Times New Roman" w:hAnsi="Times New Roman"/>
              </w:rPr>
            </w:pPr>
            <w:r>
              <w:rPr>
                <w:rFonts w:ascii="Times New Roman"/>
              </w:rPr>
              <w:t>合计</w:t>
            </w: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460" w:type="dxa"/>
            <w:noWrap w:val="0"/>
            <w:vAlign w:val="top"/>
          </w:tcPr>
          <w:p>
            <w:pPr>
              <w:jc w:val="left"/>
              <w:rPr>
                <w:rFonts w:ascii="Times New Roman" w:hAnsi="Times New Roman"/>
              </w:rPr>
            </w:pPr>
          </w:p>
        </w:tc>
        <w:tc>
          <w:tcPr>
            <w:tcW w:w="1744" w:type="dxa"/>
            <w:noWrap w:val="0"/>
            <w:vAlign w:val="top"/>
          </w:tcPr>
          <w:p>
            <w:pPr>
              <w:jc w:val="left"/>
              <w:rPr>
                <w:rFonts w:ascii="Times New Roman" w:hAnsi="Times New Roman"/>
              </w:rPr>
            </w:pPr>
          </w:p>
        </w:tc>
      </w:tr>
    </w:tbl>
    <w:p>
      <w:pPr>
        <w:spacing w:line="440" w:lineRule="exact"/>
        <w:jc w:val="left"/>
        <w:rPr>
          <w:rFonts w:ascii="Times New Roman" w:hAnsi="Times New Roman"/>
        </w:rPr>
      </w:pPr>
      <w:r>
        <w:rPr>
          <w:rFonts w:ascii="Times New Roman"/>
        </w:rPr>
        <w:t>注：每种废物请填写合计量</w:t>
      </w:r>
    </w:p>
    <w:p>
      <w:pPr>
        <w:spacing w:line="440" w:lineRule="exact"/>
        <w:ind w:firstLine="420" w:firstLineChars="200"/>
        <w:jc w:val="left"/>
      </w:pPr>
      <w:r>
        <w:rPr>
          <w:rFonts w:ascii="Times New Roman"/>
        </w:rPr>
        <w:t>首次申请不需填写</w:t>
      </w: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DBmMmExNThkZWM1MWMyZGZkNzZjN2FhMzg2ZmEifQ=="/>
  </w:docVars>
  <w:rsids>
    <w:rsidRoot w:val="11832975"/>
    <w:rsid w:val="01357500"/>
    <w:rsid w:val="082B21F6"/>
    <w:rsid w:val="11832975"/>
    <w:rsid w:val="14CD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pPr>
      <w:spacing w:line="240" w:lineRule="auto"/>
    </w:pPr>
    <w:rPr>
      <w:rFonts w:ascii="宋体" w:hAnsi="Courier New" w:cs="Courier New"/>
      <w:szCs w:val="21"/>
    </w:rPr>
  </w:style>
  <w:style w:type="paragraph" w:styleId="3">
    <w:name w:val="footer"/>
    <w:basedOn w:val="1"/>
    <w:autoRedefine/>
    <w:semiHidden/>
    <w:qFormat/>
    <w:uiPriority w:val="0"/>
    <w:pPr>
      <w:tabs>
        <w:tab w:val="center" w:pos="4153"/>
        <w:tab w:val="right" w:pos="8306"/>
      </w:tabs>
      <w:snapToGrid w:val="0"/>
      <w:spacing w:line="240" w:lineRule="atLeast"/>
      <w:jc w:val="left"/>
    </w:pPr>
    <w:rPr>
      <w:sz w:val="18"/>
      <w:szCs w:val="18"/>
    </w:rPr>
  </w:style>
  <w:style w:type="character" w:styleId="6">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2024-02-26T01:14:00Z</dcterms:created>
  <dc:creator>samsung</dc:creator>
  <cp:lastModifiedBy>唯一的两个</cp:lastModifiedBy>
  <dcterms:modified xsi:type="dcterms:W3CDTF">2024-05-07T06:46:39Z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12CC8511B0D246AE8AA23A53F654ED64_13</vt:lpwstr>
  </property>
</Properties>
</file>