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</w:t>
      </w:r>
      <w:r>
        <w:rPr>
          <w:rFonts w:hint="eastAsia" w:ascii="方正小标宋简体" w:hAnsi="方正小标宋简体" w:eastAsia="方正小标宋简体" w:cs="方正小标宋简体"/>
          <w:color w:val="auto"/>
          <w:spacing w:val="57"/>
          <w:sz w:val="56"/>
          <w:szCs w:val="36"/>
          <w:highlight w:val="none"/>
        </w:rPr>
        <w:t>政府拟</w:t>
      </w:r>
      <w:r>
        <w:rPr>
          <w:rFonts w:hint="eastAsia" w:ascii="方正小标宋简体" w:hAnsi="方正小标宋简体" w:eastAsia="方正小标宋简体" w:cs="方正小标宋简体"/>
          <w:color w:val="auto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color w:val="auto"/>
          <w:spacing w:val="57"/>
          <w:sz w:val="56"/>
          <w:szCs w:val="36"/>
          <w:highlight w:val="none"/>
        </w:rPr>
        <w:t>土地公告</w:t>
      </w:r>
    </w:p>
    <w:p>
      <w:pPr>
        <w:jc w:val="center"/>
        <w:rPr>
          <w:rFonts w:ascii="Times New Roman" w:hAnsi="Times New Roman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</w:rPr>
        <w:t>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color w:val="auto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224138地块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南夏墅街道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该地块总面积0.0090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0.1350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0.0083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0.1245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农用地面积0.0083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0.1245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C21AFE-AD64-4A60-8675-EAC5CD30EA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8AE0C2-F784-4B1E-BBDF-065E81E1D6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04CD7F-E551-4085-A583-BB429509F7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29A62A4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816EC7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5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2024-04-28T01:37:33Z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5F5F4BDBDFA544CB98A380F065D8D4F3_13</vt:lpwstr>
  </property>
</Properties>
</file>