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224131地块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礼嘉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该地块总面积0.2640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3.9600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1.1010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农用地面积0.0734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1.1010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27884B-76EE-450E-A7DB-0319EA5FEB6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F2FC52-4B52-468E-9672-DA5D3EBE7D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8B7188-2D7D-423C-8E1F-AB51D124B5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6EB5B89"/>
    <w:rsid w:val="67424A74"/>
    <w:rsid w:val="67BD21AE"/>
    <w:rsid w:val="67BF5C3E"/>
    <w:rsid w:val="68275779"/>
    <w:rsid w:val="691A609A"/>
    <w:rsid w:val="69D618E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5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2024-04-28T01:36:43Z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003F6D8898774F1FB2461874C9B6F9ED_13</vt:lpwstr>
  </property>
</Properties>
</file>