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24</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30</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_GB2312" w:hAnsi="仿宋_GB2312" w:eastAsia="仿宋_GB2312" w:cs="仿宋_GB2312"/>
          <w:b/>
          <w:bCs/>
          <w:sz w:val="24"/>
          <w:szCs w:val="24"/>
          <w:lang w:val="en-US" w:eastAsia="zh-CN"/>
        </w:rPr>
        <w:t>武</w:t>
      </w:r>
      <w:r>
        <w:rPr>
          <w:rFonts w:hint="eastAsia" w:ascii="仿宋_GB2312" w:hAnsi="仿宋_GB2312" w:eastAsia="仿宋_GB2312" w:cs="仿宋_GB2312"/>
          <w:b/>
          <w:bCs/>
          <w:sz w:val="24"/>
          <w:szCs w:val="24"/>
        </w:rPr>
        <w:t>拟征告〔20</w:t>
      </w:r>
      <w:r>
        <w:rPr>
          <w:rFonts w:hint="eastAsia" w:ascii="仿宋_GB2312" w:hAnsi="仿宋_GB2312" w:eastAsia="仿宋_GB2312" w:cs="仿宋_GB2312"/>
          <w:b/>
          <w:bCs/>
          <w:sz w:val="24"/>
          <w:szCs w:val="24"/>
          <w:lang w:val="en-US" w:eastAsia="zh-CN"/>
        </w:rPr>
        <w:t>24</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30</w:t>
      </w:r>
      <w:r>
        <w:rPr>
          <w:rFonts w:hint="eastAsia" w:ascii="仿宋_GB2312" w:hAnsi="仿宋_GB2312" w:eastAsia="仿宋_GB2312" w:cs="仿宋_GB2312"/>
          <w:b/>
          <w:bCs/>
          <w:sz w:val="24"/>
          <w:szCs w:val="24"/>
        </w:rPr>
        <w:t>号</w:t>
      </w:r>
      <w:r>
        <w:rPr>
          <w:rFonts w:hint="eastAsia" w:ascii="仿宋_GB2312" w:hAnsi="仿宋_GB2312" w:eastAsia="仿宋_GB2312" w:cs="仿宋_GB2312"/>
          <w:sz w:val="24"/>
          <w:szCs w:val="24"/>
        </w:rPr>
        <w:t>开展的拟征收土地现状调查和社会稳定风险评估结果，现将拟订的征收土地补偿安置方案有关事项公告如下：</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一、征收范围</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本次拟征收土地</w:t>
      </w:r>
      <w:r>
        <w:rPr>
          <w:rFonts w:hint="eastAsia" w:ascii="仿宋_GB2312" w:hAnsi="仿宋_GB2312" w:eastAsia="仿宋_GB2312" w:cs="仿宋_GB2312"/>
          <w:sz w:val="24"/>
          <w:szCs w:val="24"/>
          <w:lang w:val="en-US" w:eastAsia="zh-CN"/>
        </w:rPr>
        <w:t>224016地块</w:t>
      </w:r>
      <w:r>
        <w:rPr>
          <w:rFonts w:hint="eastAsia" w:ascii="仿宋_GB2312" w:hAnsi="仿宋_GB2312" w:eastAsia="仿宋_GB2312" w:cs="仿宋_GB2312"/>
          <w:sz w:val="24"/>
          <w:szCs w:val="24"/>
        </w:rPr>
        <w:t>位于</w:t>
      </w:r>
      <w:r>
        <w:rPr>
          <w:rFonts w:hint="eastAsia" w:ascii="仿宋_GB2312" w:hAnsi="仿宋_GB2312" w:eastAsia="仿宋_GB2312" w:cs="仿宋_GB2312"/>
          <w:sz w:val="24"/>
          <w:szCs w:val="24"/>
          <w:lang w:val="en-US" w:eastAsia="zh-CN"/>
        </w:rPr>
        <w:t>武进区前黄镇</w:t>
      </w:r>
      <w:r>
        <w:rPr>
          <w:rFonts w:hint="eastAsia" w:ascii="仿宋_GB2312" w:hAnsi="仿宋_GB2312" w:eastAsia="仿宋_GB2312" w:cs="仿宋_GB2312"/>
          <w:sz w:val="24"/>
          <w:szCs w:val="24"/>
        </w:rPr>
        <w:t>范围内。拟征收土地位置详见附图。</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实际征收土地范围以最终批准文件为准。</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二、土地现状</w:t>
      </w:r>
    </w:p>
    <w:p>
      <w:pPr>
        <w:ind w:firstLine="480" w:firstLineChars="200"/>
        <w:rPr>
          <w:rFonts w:hint="default" w:eastAsia="仿宋_GB2312"/>
          <w:sz w:val="24"/>
          <w:szCs w:val="24"/>
          <w:lang w:val="en-US" w:eastAsia="zh-CN"/>
        </w:rPr>
      </w:pPr>
      <w:r>
        <w:rPr>
          <w:rFonts w:hint="eastAsia" w:ascii="仿宋_GB2312" w:hAnsi="仿宋_GB2312" w:eastAsia="仿宋_GB2312" w:cs="仿宋_GB2312"/>
          <w:sz w:val="24"/>
          <w:szCs w:val="24"/>
        </w:rPr>
        <w:t>根据拟征收土地现状调查结果，本次拟征收土地现状如下：</w:t>
      </w:r>
      <w:r>
        <w:rPr>
          <w:rFonts w:hint="eastAsia" w:ascii="仿宋_GB2312" w:hAnsi="仿宋_GB2312" w:eastAsia="仿宋_GB2312" w:cs="仿宋_GB2312"/>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935"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序号</w:t>
            </w:r>
          </w:p>
        </w:tc>
        <w:tc>
          <w:tcPr>
            <w:tcW w:w="3430"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被征地村组</w:t>
            </w:r>
          </w:p>
        </w:tc>
        <w:tc>
          <w:tcPr>
            <w:tcW w:w="6840" w:type="dxa"/>
            <w:gridSpan w:val="5"/>
            <w:vAlign w:val="center"/>
          </w:tcPr>
          <w:p>
            <w:pPr>
              <w:ind w:left="0" w:leftChars="0" w:firstLine="480" w:firstLineChars="200"/>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被征地面积</w:t>
            </w:r>
          </w:p>
        </w:tc>
        <w:tc>
          <w:tcPr>
            <w:tcW w:w="1419"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拟安置农业人口数</w:t>
            </w:r>
          </w:p>
        </w:tc>
        <w:tc>
          <w:tcPr>
            <w:tcW w:w="1143"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以下</w:t>
            </w:r>
          </w:p>
        </w:tc>
        <w:tc>
          <w:tcPr>
            <w:tcW w:w="1089"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35"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3430"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415"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小计</w:t>
            </w:r>
          </w:p>
        </w:tc>
        <w:tc>
          <w:tcPr>
            <w:tcW w:w="1419"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rPr>
              <w:t>农用地</w:t>
            </w:r>
          </w:p>
        </w:tc>
        <w:tc>
          <w:tcPr>
            <w:tcW w:w="1347"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eastAsia="zh-CN"/>
              </w:rPr>
              <w:t>（</w:t>
            </w:r>
            <w:r>
              <w:rPr>
                <w:rFonts w:hint="eastAsia" w:ascii="仿宋_GB2312" w:hAnsi="仿宋_GB2312" w:eastAsia="仿宋_GB2312" w:cs="仿宋_GB2312"/>
                <w:sz w:val="24"/>
                <w:szCs w:val="15"/>
                <w:lang w:val="en-US" w:eastAsia="zh-CN"/>
              </w:rPr>
              <w:t>其中耕地）</w:t>
            </w:r>
          </w:p>
        </w:tc>
        <w:tc>
          <w:tcPr>
            <w:tcW w:w="1310"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val="en-US" w:eastAsia="zh-CN"/>
              </w:rPr>
              <w:t>建设用地</w:t>
            </w:r>
          </w:p>
        </w:tc>
        <w:tc>
          <w:tcPr>
            <w:tcW w:w="1349"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未利用地</w:t>
            </w:r>
          </w:p>
        </w:tc>
        <w:tc>
          <w:tcPr>
            <w:tcW w:w="141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143"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08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5"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343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前黄镇农民集体</w:t>
            </w:r>
          </w:p>
        </w:tc>
        <w:tc>
          <w:tcPr>
            <w:tcW w:w="14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675</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225</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199</w:t>
            </w:r>
          </w:p>
        </w:tc>
        <w:tc>
          <w:tcPr>
            <w:tcW w:w="134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251</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365" w:type="dxa"/>
            <w:gridSpan w:val="2"/>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合计</w:t>
            </w:r>
          </w:p>
        </w:tc>
        <w:tc>
          <w:tcPr>
            <w:tcW w:w="1415" w:type="dxa"/>
            <w:vAlign w:val="center"/>
          </w:tcPr>
          <w:p>
            <w:pPr>
              <w:keepNext w:val="0"/>
              <w:keepLines w:val="0"/>
              <w:widowControl/>
              <w:suppressLineNumbers w:val="0"/>
              <w:jc w:val="center"/>
              <w:textAlignment w:val="center"/>
              <w:rPr>
                <w:rFonts w:hint="default" w:ascii="仿宋_GB2312" w:hAnsi="仿宋_GB2312" w:eastAsia="仿宋_GB2312" w:cs="仿宋_GB2312"/>
                <w:sz w:val="24"/>
                <w:szCs w:val="15"/>
                <w:lang w:eastAsia="zh-CN"/>
              </w:rPr>
            </w:pPr>
            <w:r>
              <w:rPr>
                <w:rFonts w:hint="eastAsia" w:ascii="宋体" w:hAnsi="宋体" w:eastAsia="宋体" w:cs="宋体"/>
                <w:i w:val="0"/>
                <w:iCs w:val="0"/>
                <w:color w:val="000000"/>
                <w:kern w:val="0"/>
                <w:sz w:val="20"/>
                <w:szCs w:val="20"/>
                <w:u w:val="none"/>
                <w:lang w:val="en-US" w:eastAsia="zh-CN" w:bidi="ar"/>
              </w:rPr>
              <w:t>675</w:t>
            </w:r>
          </w:p>
        </w:tc>
        <w:tc>
          <w:tcPr>
            <w:tcW w:w="1419" w:type="dxa"/>
            <w:vAlign w:val="center"/>
          </w:tcPr>
          <w:p>
            <w:pPr>
              <w:keepNext w:val="0"/>
              <w:keepLines w:val="0"/>
              <w:widowControl/>
              <w:suppressLineNumbers w:val="0"/>
              <w:jc w:val="center"/>
              <w:textAlignment w:val="center"/>
              <w:rPr>
                <w:rFonts w:hint="default" w:ascii="仿宋_GB2312" w:hAnsi="仿宋_GB2312" w:eastAsia="仿宋_GB2312" w:cs="仿宋_GB2312"/>
                <w:sz w:val="24"/>
                <w:szCs w:val="15"/>
                <w:lang w:eastAsia="zh-CN"/>
              </w:rPr>
            </w:pPr>
            <w:r>
              <w:rPr>
                <w:rFonts w:hint="eastAsia" w:ascii="宋体" w:hAnsi="宋体" w:eastAsia="宋体" w:cs="宋体"/>
                <w:i w:val="0"/>
                <w:iCs w:val="0"/>
                <w:color w:val="000000"/>
                <w:kern w:val="0"/>
                <w:sz w:val="20"/>
                <w:szCs w:val="20"/>
                <w:u w:val="none"/>
                <w:lang w:val="en-US" w:eastAsia="zh-CN" w:bidi="ar"/>
              </w:rPr>
              <w:t>225</w:t>
            </w:r>
          </w:p>
        </w:tc>
        <w:tc>
          <w:tcPr>
            <w:tcW w:w="1347" w:type="dxa"/>
            <w:vAlign w:val="center"/>
          </w:tcPr>
          <w:p>
            <w:pPr>
              <w:jc w:val="center"/>
              <w:outlineLvl w:val="9"/>
              <w:rPr>
                <w:rFonts w:hint="default" w:ascii="仿宋_GB2312" w:hAnsi="仿宋_GB2312" w:eastAsia="仿宋_GB2312" w:cs="仿宋_GB2312"/>
                <w:sz w:val="24"/>
                <w:szCs w:val="15"/>
                <w:lang w:eastAsia="zh-CN"/>
              </w:rPr>
            </w:pPr>
            <w:r>
              <w:rPr>
                <w:rFonts w:hint="eastAsia" w:ascii="仿宋_GB2312" w:hAnsi="仿宋_GB2312" w:eastAsia="仿宋_GB2312" w:cs="仿宋_GB2312"/>
                <w:sz w:val="24"/>
                <w:szCs w:val="15"/>
                <w:lang w:val="en-US" w:eastAsia="zh-CN"/>
              </w:rPr>
              <w:t>0</w:t>
            </w:r>
          </w:p>
        </w:tc>
        <w:tc>
          <w:tcPr>
            <w:tcW w:w="1310" w:type="dxa"/>
            <w:vAlign w:val="center"/>
          </w:tcPr>
          <w:p>
            <w:pPr>
              <w:keepNext w:val="0"/>
              <w:keepLines w:val="0"/>
              <w:widowControl/>
              <w:suppressLineNumbers w:val="0"/>
              <w:jc w:val="center"/>
              <w:textAlignment w:val="center"/>
              <w:rPr>
                <w:rFonts w:hint="default" w:ascii="仿宋_GB2312" w:hAnsi="仿宋_GB2312" w:eastAsia="仿宋_GB2312" w:cs="仿宋_GB2312"/>
                <w:sz w:val="24"/>
                <w:szCs w:val="15"/>
                <w:lang w:eastAsia="zh-CN"/>
              </w:rPr>
            </w:pPr>
            <w:r>
              <w:rPr>
                <w:rFonts w:hint="eastAsia" w:ascii="宋体" w:hAnsi="宋体" w:eastAsia="宋体" w:cs="宋体"/>
                <w:i w:val="0"/>
                <w:iCs w:val="0"/>
                <w:color w:val="000000"/>
                <w:kern w:val="0"/>
                <w:sz w:val="20"/>
                <w:szCs w:val="20"/>
                <w:u w:val="none"/>
                <w:lang w:val="en-US" w:eastAsia="zh-CN" w:bidi="ar"/>
              </w:rPr>
              <w:t>199</w:t>
            </w:r>
          </w:p>
        </w:tc>
        <w:tc>
          <w:tcPr>
            <w:tcW w:w="1349" w:type="dxa"/>
            <w:vAlign w:val="center"/>
          </w:tcPr>
          <w:p>
            <w:pPr>
              <w:keepNext w:val="0"/>
              <w:keepLines w:val="0"/>
              <w:widowControl/>
              <w:suppressLineNumbers w:val="0"/>
              <w:jc w:val="center"/>
              <w:textAlignment w:val="center"/>
              <w:rPr>
                <w:rFonts w:hint="default" w:ascii="仿宋_GB2312" w:hAnsi="仿宋_GB2312" w:eastAsia="仿宋_GB2312" w:cs="仿宋_GB2312"/>
                <w:sz w:val="24"/>
                <w:szCs w:val="15"/>
                <w:lang w:val="en-US" w:eastAsia="zh-CN"/>
              </w:rPr>
            </w:pPr>
            <w:r>
              <w:rPr>
                <w:rFonts w:hint="eastAsia" w:ascii="宋体" w:hAnsi="宋体" w:eastAsia="宋体" w:cs="宋体"/>
                <w:i w:val="0"/>
                <w:iCs w:val="0"/>
                <w:color w:val="000000"/>
                <w:kern w:val="0"/>
                <w:sz w:val="20"/>
                <w:szCs w:val="20"/>
                <w:u w:val="none"/>
                <w:lang w:val="en-US" w:eastAsia="zh-CN" w:bidi="ar"/>
              </w:rPr>
              <w:t>251</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bl>
    <w:p>
      <w:pPr>
        <w:rPr>
          <w:rFonts w:hint="eastAsia" w:ascii="仿宋_GB2312" w:hAnsi="仿宋_GB2312" w:eastAsia="仿宋_GB2312" w:cs="仿宋_GB2312"/>
          <w:b/>
          <w:bCs/>
          <w:sz w:val="24"/>
          <w:szCs w:val="24"/>
        </w:rPr>
      </w:pPr>
    </w:p>
    <w:p>
      <w:pPr>
        <w:ind w:firstLine="482"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三、征收目的</w:t>
      </w:r>
    </w:p>
    <w:p>
      <w:pPr>
        <w:ind w:firstLine="480" w:firstLineChars="200"/>
        <w:outlineLvl w:val="9"/>
        <w:rPr>
          <w:rFonts w:hint="eastAsia" w:ascii="FangSong_GB2312" w:hAnsi="FangSong_GB2312" w:eastAsia="FangSong_GB2312" w:cs="FangSong_GB2312"/>
          <w:sz w:val="24"/>
          <w:szCs w:val="24"/>
        </w:rPr>
      </w:pPr>
      <w:r>
        <w:rPr>
          <w:rFonts w:hint="eastAsia" w:ascii="仿宋_GB2312" w:hAnsi="仿宋_GB2312" w:eastAsia="仿宋_GB2312" w:cs="仿宋_GB2312"/>
          <w:sz w:val="24"/>
          <w:szCs w:val="24"/>
        </w:rPr>
        <w:t>根据《中华人民共和国土地管理法》第四十五条的规定，</w:t>
      </w:r>
      <w:r>
        <w:rPr>
          <w:rFonts w:hint="eastAsia" w:ascii="FangSong_GB2312" w:hAnsi="FangSong_GB2312" w:eastAsia="FangSong_GB2312" w:cs="FangSong_GB2312"/>
          <w:sz w:val="24"/>
          <w:szCs w:val="24"/>
        </w:rPr>
        <w:t>本次征收土地目的为由政府组织实施的能源、交通、水利、通信、邮政等基础设施建设需要用地的。</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四、补偿方式与标准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（一）土地补偿费和安置补助费标准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按常州市人民政府《关于</w:t>
      </w:r>
      <w:r>
        <w:rPr>
          <w:rFonts w:hint="eastAsia" w:ascii="仿宋_GB2312" w:hAnsi="仿宋_GB2312" w:eastAsia="仿宋_GB2312" w:cs="仿宋_GB2312"/>
          <w:sz w:val="24"/>
          <w:szCs w:val="24"/>
          <w:lang w:val="en-US" w:eastAsia="zh-CN"/>
        </w:rPr>
        <w:t>重新</w:t>
      </w:r>
      <w:r>
        <w:rPr>
          <w:rFonts w:hint="eastAsia" w:ascii="仿宋_GB2312" w:hAnsi="仿宋_GB2312" w:eastAsia="仿宋_GB2312" w:cs="仿宋_GB2312"/>
          <w:sz w:val="24"/>
          <w:szCs w:val="24"/>
        </w:rPr>
        <w:t>公布</w:t>
      </w:r>
      <w:r>
        <w:rPr>
          <w:rFonts w:hint="eastAsia" w:ascii="仿宋_GB2312" w:hAnsi="仿宋_GB2312" w:eastAsia="仿宋_GB2312" w:cs="仿宋_GB2312"/>
          <w:sz w:val="24"/>
          <w:szCs w:val="24"/>
          <w:lang w:val="en-US" w:eastAsia="zh-CN"/>
        </w:rPr>
        <w:t>常州市所辖各县（市、区）</w:t>
      </w:r>
      <w:r>
        <w:rPr>
          <w:rFonts w:hint="eastAsia" w:ascii="仿宋_GB2312" w:hAnsi="仿宋_GB2312" w:eastAsia="仿宋_GB2312" w:cs="仿宋_GB2312"/>
          <w:sz w:val="24"/>
          <w:szCs w:val="24"/>
        </w:rPr>
        <w:t>征地区片综合地价执行标准的通知》（</w:t>
      </w:r>
      <w:r>
        <w:rPr>
          <w:rFonts w:hint="eastAsia" w:ascii="仿宋_GB2312" w:hAnsi="仿宋_GB2312" w:eastAsia="仿宋_GB2312" w:cs="仿宋_GB2312"/>
          <w:sz w:val="24"/>
          <w:szCs w:val="24"/>
          <w:lang w:val="en-US" w:eastAsia="zh-CN"/>
        </w:rPr>
        <w:t>常</w:t>
      </w:r>
      <w:r>
        <w:rPr>
          <w:rFonts w:hint="eastAsia" w:ascii="仿宋_GB2312" w:hAnsi="仿宋_GB2312" w:eastAsia="仿宋_GB2312" w:cs="仿宋_GB2312"/>
          <w:sz w:val="24"/>
          <w:szCs w:val="24"/>
        </w:rPr>
        <w:t>政</w:t>
      </w:r>
      <w:r>
        <w:rPr>
          <w:rFonts w:hint="eastAsia" w:ascii="仿宋_GB2312" w:hAnsi="仿宋_GB2312" w:eastAsia="仿宋_GB2312" w:cs="仿宋_GB2312"/>
          <w:sz w:val="24"/>
          <w:szCs w:val="24"/>
          <w:lang w:val="en-US" w:eastAsia="zh-CN"/>
        </w:rPr>
        <w:t>规</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号）文件规定执行。</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武征办发〔2017〕</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武征补发〔2020〕8号和武征补发〔202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号文件规定执行，其他附着物按照武政办发〔2017〕118号文件规定执行。</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五、安置对象、方式及社会保障</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六、其他事项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1、本公告在常州市武进区人民政府门户网站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http://www.wj.gov.cn</w:t>
      </w:r>
      <w:r>
        <w:rPr>
          <w:rFonts w:hint="default" w:ascii="Times New Roman" w:hAnsi="Times New Roman" w:eastAsia="仿宋_GB2312" w:cs="Times New Roman"/>
          <w:sz w:val="24"/>
          <w:szCs w:val="24"/>
          <w:lang w:eastAsia="zh-CN"/>
        </w:rPr>
        <w:t>）</w:t>
      </w:r>
      <w:r>
        <w:rPr>
          <w:rFonts w:hint="eastAsia" w:ascii="仿宋_GB2312" w:hAnsi="仿宋_GB2312" w:eastAsia="仿宋_GB2312" w:cs="仿宋_GB2312"/>
          <w:sz w:val="24"/>
          <w:szCs w:val="24"/>
          <w:lang w:val="en-US" w:eastAsia="zh-CN"/>
        </w:rPr>
        <w:t>和拟</w:t>
      </w:r>
      <w:r>
        <w:rPr>
          <w:rFonts w:hint="eastAsia" w:ascii="仿宋_GB2312" w:hAnsi="仿宋_GB2312" w:eastAsia="仿宋_GB2312" w:cs="仿宋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2、对本征地补偿安置方案有异议的，应在本公告发布之日起30日内（截止</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日）提出，实名签名或盖章的书面意见最迟应于公告期满后 5 个工作日内提交。提交地址为：</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rPr>
        <w:t>； 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val="en-US" w:eastAsia="zh-CN"/>
        </w:rPr>
        <w:t>213161</w:t>
      </w:r>
      <w:r>
        <w:rPr>
          <w:rFonts w:hint="eastAsia" w:ascii="仿宋_GB2312" w:hAnsi="仿宋_GB2312" w:eastAsia="仿宋_GB2312" w:cs="仿宋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_GB2312" w:hAnsi="仿宋_GB2312" w:eastAsia="仿宋_GB2312" w:cs="仿宋_GB2312"/>
          <w:sz w:val="24"/>
          <w:szCs w:val="24"/>
          <w:lang w:val="en-US" w:eastAsia="zh-CN"/>
        </w:rPr>
        <w:t>常州市武进区</w:t>
      </w:r>
      <w:r>
        <w:rPr>
          <w:rFonts w:hint="eastAsia" w:ascii="仿宋_GB2312" w:hAnsi="仿宋_GB2312" w:eastAsia="仿宋_GB2312" w:cs="仿宋_GB2312"/>
          <w:sz w:val="24"/>
          <w:szCs w:val="24"/>
        </w:rPr>
        <w:t>人民政府将依法组织听证，相关事项另行通知。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4、拟征收土地范围内的土地所有权人、使用权人应当在本公告规定期限内即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日，持不动产权属证明材料至</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）办理补偿登记，请相互转告。土地所有权人、使用权人如未按期办理补偿登记的，其补偿内容以土地现状调查结果为准。</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附图：拟征收土地位置示意图</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常州市武进区人民政府</w:t>
      </w:r>
    </w:p>
    <w:p>
      <w:pPr>
        <w:ind w:firstLine="11200" w:firstLineChars="4000"/>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w:t>
      </w: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jc w:val="left"/>
        <w:outlineLvl w:val="9"/>
        <w:rPr>
          <w:rFonts w:hint="eastAsia" w:ascii="仿宋_GB2312" w:hAnsi="仿宋_GB2312" w:eastAsia="仿宋_GB2312" w:cs="仿宋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655C13D8"/>
    <w:rsid w:val="07065D44"/>
    <w:rsid w:val="0D8F2F49"/>
    <w:rsid w:val="101C3006"/>
    <w:rsid w:val="1BCB5093"/>
    <w:rsid w:val="1C951C14"/>
    <w:rsid w:val="1FB46E77"/>
    <w:rsid w:val="220B1394"/>
    <w:rsid w:val="270F4445"/>
    <w:rsid w:val="29167DEC"/>
    <w:rsid w:val="2C1C5252"/>
    <w:rsid w:val="34506A2E"/>
    <w:rsid w:val="35AA2402"/>
    <w:rsid w:val="3C69201E"/>
    <w:rsid w:val="4211484E"/>
    <w:rsid w:val="42B935FC"/>
    <w:rsid w:val="4794102E"/>
    <w:rsid w:val="49A56844"/>
    <w:rsid w:val="4D3B06A4"/>
    <w:rsid w:val="4EF86C24"/>
    <w:rsid w:val="4F9C70BE"/>
    <w:rsid w:val="4FA52FF6"/>
    <w:rsid w:val="504D3FDE"/>
    <w:rsid w:val="51975EFF"/>
    <w:rsid w:val="522D2E18"/>
    <w:rsid w:val="57ED400B"/>
    <w:rsid w:val="58191E8F"/>
    <w:rsid w:val="5ACE39FD"/>
    <w:rsid w:val="5E03553E"/>
    <w:rsid w:val="655C13D8"/>
    <w:rsid w:val="66226463"/>
    <w:rsid w:val="698C642E"/>
    <w:rsid w:val="69F56306"/>
    <w:rsid w:val="6B690630"/>
    <w:rsid w:val="6C686BFF"/>
    <w:rsid w:val="6DA22637"/>
    <w:rsid w:val="76206E41"/>
    <w:rsid w:val="7B96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2783</Words>
  <Characters>3001</Characters>
  <Lines>0</Lines>
  <Paragraphs>0</Paragraphs>
  <TotalTime>0</TotalTime>
  <ScaleCrop>false</ScaleCrop>
  <LinksUpToDate>false</LinksUpToDate>
  <CharactersWithSpaces>3357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2024-02-08T03:00:00Z</cp:lastPrinted>
  <dcterms:modified xsi:type="dcterms:W3CDTF">2024-04-26T02:45:35Z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B538E0E87EDB465F9BC43E4CF2F1CE7D_13</vt:lpwstr>
  </property>
</Properties>
</file>