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r>
        <w:rPr>
          <w:rFonts w:hint="eastAsia" w:ascii="黑体" w:hAnsi="黑体" w:eastAsia="黑体"/>
          <w:sz w:val="44"/>
          <w:szCs w:val="44"/>
        </w:rPr>
        <w:t>武进区城镇燃气突发公共事件应急预案</w:t>
      </w:r>
    </w:p>
    <w:p>
      <w:pPr>
        <w:jc w:val="center"/>
        <w:rPr>
          <w:rFonts w:hint="eastAsia"/>
          <w:b/>
        </w:rPr>
      </w:pPr>
    </w:p>
    <w:p>
      <w:pPr>
        <w:jc w:val="center"/>
        <w:rPr>
          <w:rFonts w:hint="eastAsia" w:ascii="黑体" w:hAnsi="黑体" w:eastAsia="黑体"/>
          <w:sz w:val="36"/>
          <w:szCs w:val="36"/>
        </w:rPr>
      </w:pPr>
      <w:r>
        <w:rPr>
          <w:rFonts w:hint="eastAsia" w:ascii="黑体" w:hAnsi="黑体" w:eastAsia="黑体"/>
          <w:sz w:val="36"/>
          <w:szCs w:val="36"/>
        </w:rPr>
        <w:t>目  录</w:t>
      </w:r>
    </w:p>
    <w:p>
      <w:pPr>
        <w:pStyle w:val="14"/>
        <w:rPr>
          <w:rFonts w:ascii="等线" w:hAnsi="等线" w:eastAsia="等线"/>
          <w:b w:val="0"/>
          <w:sz w:val="21"/>
          <w:szCs w:val="22"/>
        </w:rPr>
      </w:pPr>
      <w:r>
        <w:rPr>
          <w:b w:val="0"/>
        </w:rPr>
        <w:fldChar w:fldCharType="begin"/>
      </w:r>
      <w:r>
        <w:rPr>
          <w:b w:val="0"/>
        </w:rPr>
        <w:instrText xml:space="preserve"> TOC \o "1-2" \h \z \u </w:instrText>
      </w:r>
      <w:r>
        <w:rPr>
          <w:b w:val="0"/>
        </w:rPr>
        <w:fldChar w:fldCharType="separate"/>
      </w:r>
      <w:r>
        <w:fldChar w:fldCharType="begin"/>
      </w:r>
      <w:r>
        <w:instrText xml:space="preserve"> HYPERLINK \l "_Toc81237716" </w:instrText>
      </w:r>
      <w:r>
        <w:fldChar w:fldCharType="separate"/>
      </w:r>
      <w:r>
        <w:rPr>
          <w:rStyle w:val="23"/>
        </w:rPr>
        <w:t>1 总则</w:t>
      </w:r>
      <w:r>
        <w:tab/>
      </w:r>
      <w:r>
        <w:fldChar w:fldCharType="begin"/>
      </w:r>
      <w:r>
        <w:instrText xml:space="preserve"> PAGEREF _Toc81237716 \h </w:instrText>
      </w:r>
      <w:r>
        <w:fldChar w:fldCharType="separate"/>
      </w:r>
      <w:r>
        <w:t>- 1 -</w:t>
      </w:r>
      <w:r>
        <w:fldChar w:fldCharType="end"/>
      </w:r>
      <w:r>
        <w:fldChar w:fldCharType="end"/>
      </w:r>
    </w:p>
    <w:p>
      <w:pPr>
        <w:pStyle w:val="15"/>
        <w:ind w:firstLine="560"/>
        <w:rPr>
          <w:rFonts w:ascii="等线" w:hAnsi="等线" w:eastAsia="等线"/>
          <w:sz w:val="21"/>
        </w:rPr>
      </w:pPr>
      <w:r>
        <w:fldChar w:fldCharType="begin"/>
      </w:r>
      <w:r>
        <w:instrText xml:space="preserve"> HYPERLINK \l "_Toc81237717" </w:instrText>
      </w:r>
      <w:r>
        <w:fldChar w:fldCharType="separate"/>
      </w:r>
      <w:r>
        <w:rPr>
          <w:rStyle w:val="23"/>
        </w:rPr>
        <w:t>1.1 编制目的</w:t>
      </w:r>
      <w:r>
        <w:tab/>
      </w:r>
      <w:r>
        <w:fldChar w:fldCharType="begin"/>
      </w:r>
      <w:r>
        <w:instrText xml:space="preserve"> PAGEREF _Toc81237717 \h </w:instrText>
      </w:r>
      <w:r>
        <w:fldChar w:fldCharType="separate"/>
      </w:r>
      <w:r>
        <w:t>- 1 -</w:t>
      </w:r>
      <w:r>
        <w:fldChar w:fldCharType="end"/>
      </w:r>
      <w:r>
        <w:fldChar w:fldCharType="end"/>
      </w:r>
    </w:p>
    <w:p>
      <w:pPr>
        <w:pStyle w:val="15"/>
        <w:ind w:firstLine="560"/>
        <w:rPr>
          <w:rFonts w:ascii="等线" w:hAnsi="等线" w:eastAsia="等线"/>
          <w:sz w:val="21"/>
        </w:rPr>
      </w:pPr>
      <w:r>
        <w:fldChar w:fldCharType="begin"/>
      </w:r>
      <w:r>
        <w:instrText xml:space="preserve"> HYPERLINK \l "_Toc81237718" </w:instrText>
      </w:r>
      <w:r>
        <w:fldChar w:fldCharType="separate"/>
      </w:r>
      <w:r>
        <w:rPr>
          <w:rStyle w:val="23"/>
        </w:rPr>
        <w:t>1.2 编制依据</w:t>
      </w:r>
      <w:r>
        <w:tab/>
      </w:r>
      <w:r>
        <w:fldChar w:fldCharType="begin"/>
      </w:r>
      <w:r>
        <w:instrText xml:space="preserve"> PAGEREF _Toc81237718 \h </w:instrText>
      </w:r>
      <w:r>
        <w:fldChar w:fldCharType="separate"/>
      </w:r>
      <w:r>
        <w:t>- 1 -</w:t>
      </w:r>
      <w:r>
        <w:fldChar w:fldCharType="end"/>
      </w:r>
      <w:r>
        <w:fldChar w:fldCharType="end"/>
      </w:r>
    </w:p>
    <w:p>
      <w:pPr>
        <w:pStyle w:val="15"/>
        <w:ind w:firstLine="560"/>
        <w:rPr>
          <w:rFonts w:ascii="等线" w:hAnsi="等线" w:eastAsia="等线"/>
          <w:sz w:val="21"/>
        </w:rPr>
      </w:pPr>
      <w:r>
        <w:fldChar w:fldCharType="begin"/>
      </w:r>
      <w:r>
        <w:instrText xml:space="preserve"> HYPERLINK \l "_Toc81237719" </w:instrText>
      </w:r>
      <w:r>
        <w:fldChar w:fldCharType="separate"/>
      </w:r>
      <w:r>
        <w:rPr>
          <w:rStyle w:val="23"/>
        </w:rPr>
        <w:t>1.3 工作原则</w:t>
      </w:r>
      <w:r>
        <w:tab/>
      </w:r>
      <w:r>
        <w:fldChar w:fldCharType="begin"/>
      </w:r>
      <w:r>
        <w:instrText xml:space="preserve"> PAGEREF _Toc81237719 \h </w:instrText>
      </w:r>
      <w:r>
        <w:fldChar w:fldCharType="separate"/>
      </w:r>
      <w:r>
        <w:t>- 1 -</w:t>
      </w:r>
      <w:r>
        <w:fldChar w:fldCharType="end"/>
      </w:r>
      <w:r>
        <w:fldChar w:fldCharType="end"/>
      </w:r>
    </w:p>
    <w:p>
      <w:pPr>
        <w:pStyle w:val="15"/>
        <w:ind w:firstLine="560"/>
        <w:rPr>
          <w:rFonts w:ascii="等线" w:hAnsi="等线" w:eastAsia="等线"/>
          <w:sz w:val="21"/>
        </w:rPr>
      </w:pPr>
      <w:r>
        <w:fldChar w:fldCharType="begin"/>
      </w:r>
      <w:r>
        <w:instrText xml:space="preserve"> HYPERLINK \l "_Toc81237720" </w:instrText>
      </w:r>
      <w:r>
        <w:fldChar w:fldCharType="separate"/>
      </w:r>
      <w:r>
        <w:rPr>
          <w:rStyle w:val="23"/>
        </w:rPr>
        <w:t>1.4 适用范围</w:t>
      </w:r>
      <w:r>
        <w:tab/>
      </w:r>
      <w:r>
        <w:fldChar w:fldCharType="begin"/>
      </w:r>
      <w:r>
        <w:instrText xml:space="preserve"> PAGEREF _Toc81237720 \h </w:instrText>
      </w:r>
      <w:r>
        <w:fldChar w:fldCharType="separate"/>
      </w:r>
      <w:r>
        <w:t>- 2 -</w:t>
      </w:r>
      <w:r>
        <w:fldChar w:fldCharType="end"/>
      </w:r>
      <w:r>
        <w:fldChar w:fldCharType="end"/>
      </w:r>
    </w:p>
    <w:p>
      <w:pPr>
        <w:pStyle w:val="14"/>
        <w:rPr>
          <w:rFonts w:ascii="等线" w:hAnsi="等线" w:eastAsia="等线"/>
          <w:b w:val="0"/>
          <w:sz w:val="21"/>
          <w:szCs w:val="22"/>
        </w:rPr>
      </w:pPr>
      <w:r>
        <w:fldChar w:fldCharType="begin"/>
      </w:r>
      <w:r>
        <w:instrText xml:space="preserve"> HYPERLINK \l "_Toc81237721" </w:instrText>
      </w:r>
      <w:r>
        <w:fldChar w:fldCharType="separate"/>
      </w:r>
      <w:r>
        <w:rPr>
          <w:rStyle w:val="23"/>
        </w:rPr>
        <w:t>2 事故分级及标准</w:t>
      </w:r>
      <w:r>
        <w:tab/>
      </w:r>
      <w:r>
        <w:fldChar w:fldCharType="begin"/>
      </w:r>
      <w:r>
        <w:instrText xml:space="preserve"> PAGEREF _Toc81237721 \h </w:instrText>
      </w:r>
      <w:r>
        <w:fldChar w:fldCharType="separate"/>
      </w:r>
      <w:r>
        <w:t>- 2 -</w:t>
      </w:r>
      <w:r>
        <w:fldChar w:fldCharType="end"/>
      </w:r>
      <w:r>
        <w:fldChar w:fldCharType="end"/>
      </w:r>
    </w:p>
    <w:p>
      <w:pPr>
        <w:pStyle w:val="14"/>
        <w:rPr>
          <w:rFonts w:ascii="等线" w:hAnsi="等线" w:eastAsia="等线"/>
          <w:b w:val="0"/>
          <w:sz w:val="21"/>
          <w:szCs w:val="22"/>
        </w:rPr>
      </w:pPr>
      <w:r>
        <w:fldChar w:fldCharType="begin"/>
      </w:r>
      <w:r>
        <w:instrText xml:space="preserve"> HYPERLINK \l "_Toc81237722" </w:instrText>
      </w:r>
      <w:r>
        <w:fldChar w:fldCharType="separate"/>
      </w:r>
      <w:r>
        <w:rPr>
          <w:rStyle w:val="23"/>
        </w:rPr>
        <w:t>3 组织指挥体系及职责</w:t>
      </w:r>
      <w:r>
        <w:tab/>
      </w:r>
      <w:r>
        <w:fldChar w:fldCharType="begin"/>
      </w:r>
      <w:r>
        <w:instrText xml:space="preserve"> PAGEREF _Toc81237722 \h </w:instrText>
      </w:r>
      <w:r>
        <w:fldChar w:fldCharType="separate"/>
      </w:r>
      <w:r>
        <w:t>- 2 -</w:t>
      </w:r>
      <w:r>
        <w:fldChar w:fldCharType="end"/>
      </w:r>
      <w:r>
        <w:fldChar w:fldCharType="end"/>
      </w:r>
    </w:p>
    <w:p>
      <w:pPr>
        <w:pStyle w:val="15"/>
        <w:ind w:firstLine="560"/>
        <w:rPr>
          <w:rFonts w:ascii="等线" w:hAnsi="等线" w:eastAsia="等线"/>
          <w:sz w:val="21"/>
        </w:rPr>
      </w:pPr>
      <w:r>
        <w:fldChar w:fldCharType="begin"/>
      </w:r>
      <w:r>
        <w:instrText xml:space="preserve"> HYPERLINK \l "_Toc81237723" </w:instrText>
      </w:r>
      <w:r>
        <w:fldChar w:fldCharType="separate"/>
      </w:r>
      <w:r>
        <w:rPr>
          <w:rStyle w:val="23"/>
        </w:rPr>
        <w:t>3.1 区城镇燃气突发事件应急指挥部</w:t>
      </w:r>
      <w:r>
        <w:tab/>
      </w:r>
      <w:r>
        <w:fldChar w:fldCharType="begin"/>
      </w:r>
      <w:r>
        <w:instrText xml:space="preserve"> PAGEREF _Toc81237723 \h </w:instrText>
      </w:r>
      <w:r>
        <w:fldChar w:fldCharType="separate"/>
      </w:r>
      <w:r>
        <w:t>- 3 -</w:t>
      </w:r>
      <w:r>
        <w:fldChar w:fldCharType="end"/>
      </w:r>
      <w:r>
        <w:fldChar w:fldCharType="end"/>
      </w:r>
    </w:p>
    <w:p>
      <w:pPr>
        <w:pStyle w:val="15"/>
        <w:ind w:firstLine="560"/>
        <w:rPr>
          <w:rFonts w:ascii="等线" w:hAnsi="等线" w:eastAsia="等线"/>
          <w:sz w:val="21"/>
        </w:rPr>
      </w:pPr>
      <w:r>
        <w:fldChar w:fldCharType="begin"/>
      </w:r>
      <w:r>
        <w:instrText xml:space="preserve"> HYPERLINK \l "_Toc81237724" </w:instrText>
      </w:r>
      <w:r>
        <w:fldChar w:fldCharType="separate"/>
      </w:r>
      <w:r>
        <w:rPr>
          <w:rStyle w:val="23"/>
        </w:rPr>
        <w:t>3.2 指挥部办公室</w:t>
      </w:r>
      <w:r>
        <w:tab/>
      </w:r>
      <w:r>
        <w:fldChar w:fldCharType="begin"/>
      </w:r>
      <w:r>
        <w:instrText xml:space="preserve"> PAGEREF _Toc81237724 \h </w:instrText>
      </w:r>
      <w:r>
        <w:fldChar w:fldCharType="separate"/>
      </w:r>
      <w:r>
        <w:t>- 3 -</w:t>
      </w:r>
      <w:r>
        <w:fldChar w:fldCharType="end"/>
      </w:r>
      <w:r>
        <w:fldChar w:fldCharType="end"/>
      </w:r>
    </w:p>
    <w:p>
      <w:pPr>
        <w:pStyle w:val="15"/>
        <w:ind w:firstLine="560"/>
        <w:rPr>
          <w:rFonts w:ascii="等线" w:hAnsi="等线" w:eastAsia="等线"/>
          <w:sz w:val="21"/>
        </w:rPr>
      </w:pPr>
      <w:r>
        <w:fldChar w:fldCharType="begin"/>
      </w:r>
      <w:r>
        <w:instrText xml:space="preserve"> HYPERLINK \l "_Toc81237725" </w:instrText>
      </w:r>
      <w:r>
        <w:fldChar w:fldCharType="separate"/>
      </w:r>
      <w:r>
        <w:rPr>
          <w:rStyle w:val="23"/>
        </w:rPr>
        <w:t>3.3 现场指挥部</w:t>
      </w:r>
      <w:r>
        <w:tab/>
      </w:r>
      <w:r>
        <w:fldChar w:fldCharType="begin"/>
      </w:r>
      <w:r>
        <w:instrText xml:space="preserve"> PAGEREF _Toc81237725 \h </w:instrText>
      </w:r>
      <w:r>
        <w:fldChar w:fldCharType="separate"/>
      </w:r>
      <w:r>
        <w:t>- 4 -</w:t>
      </w:r>
      <w:r>
        <w:fldChar w:fldCharType="end"/>
      </w:r>
      <w:r>
        <w:fldChar w:fldCharType="end"/>
      </w:r>
    </w:p>
    <w:p>
      <w:pPr>
        <w:pStyle w:val="14"/>
        <w:rPr>
          <w:rFonts w:ascii="等线" w:hAnsi="等线" w:eastAsia="等线"/>
          <w:b w:val="0"/>
          <w:sz w:val="21"/>
          <w:szCs w:val="22"/>
        </w:rPr>
      </w:pPr>
      <w:r>
        <w:fldChar w:fldCharType="begin"/>
      </w:r>
      <w:r>
        <w:instrText xml:space="preserve"> HYPERLINK \l "_Toc81237726" </w:instrText>
      </w:r>
      <w:r>
        <w:fldChar w:fldCharType="separate"/>
      </w:r>
      <w:r>
        <w:rPr>
          <w:rStyle w:val="23"/>
        </w:rPr>
        <w:t>4 预警和预防机制</w:t>
      </w:r>
      <w:r>
        <w:tab/>
      </w:r>
      <w:r>
        <w:fldChar w:fldCharType="begin"/>
      </w:r>
      <w:r>
        <w:instrText xml:space="preserve"> PAGEREF _Toc81237726 \h </w:instrText>
      </w:r>
      <w:r>
        <w:fldChar w:fldCharType="separate"/>
      </w:r>
      <w:r>
        <w:t>- 6 -</w:t>
      </w:r>
      <w:r>
        <w:fldChar w:fldCharType="end"/>
      </w:r>
      <w:r>
        <w:fldChar w:fldCharType="end"/>
      </w:r>
    </w:p>
    <w:p>
      <w:pPr>
        <w:pStyle w:val="15"/>
        <w:ind w:firstLine="560"/>
        <w:rPr>
          <w:rFonts w:ascii="等线" w:hAnsi="等线" w:eastAsia="等线"/>
          <w:sz w:val="21"/>
        </w:rPr>
      </w:pPr>
      <w:r>
        <w:fldChar w:fldCharType="begin"/>
      </w:r>
      <w:r>
        <w:instrText xml:space="preserve"> HYPERLINK \l "_Toc81237727" </w:instrText>
      </w:r>
      <w:r>
        <w:fldChar w:fldCharType="separate"/>
      </w:r>
      <w:r>
        <w:rPr>
          <w:rStyle w:val="23"/>
        </w:rPr>
        <w:t>4.1 预防、监测与预测</w:t>
      </w:r>
      <w:r>
        <w:tab/>
      </w:r>
      <w:r>
        <w:fldChar w:fldCharType="begin"/>
      </w:r>
      <w:r>
        <w:instrText xml:space="preserve"> PAGEREF _Toc81237727 \h </w:instrText>
      </w:r>
      <w:r>
        <w:fldChar w:fldCharType="separate"/>
      </w:r>
      <w:r>
        <w:t>- 6 -</w:t>
      </w:r>
      <w:r>
        <w:fldChar w:fldCharType="end"/>
      </w:r>
      <w:r>
        <w:fldChar w:fldCharType="end"/>
      </w:r>
    </w:p>
    <w:p>
      <w:pPr>
        <w:pStyle w:val="15"/>
        <w:ind w:firstLine="560"/>
        <w:rPr>
          <w:rFonts w:ascii="等线" w:hAnsi="等线" w:eastAsia="等线"/>
          <w:sz w:val="21"/>
        </w:rPr>
      </w:pPr>
      <w:r>
        <w:fldChar w:fldCharType="begin"/>
      </w:r>
      <w:r>
        <w:instrText xml:space="preserve"> HYPERLINK \l "_Toc81237728" </w:instrText>
      </w:r>
      <w:r>
        <w:fldChar w:fldCharType="separate"/>
      </w:r>
      <w:r>
        <w:rPr>
          <w:rStyle w:val="23"/>
        </w:rPr>
        <w:t>4.2 预警分级指标及标准</w:t>
      </w:r>
      <w:r>
        <w:tab/>
      </w:r>
      <w:r>
        <w:fldChar w:fldCharType="begin"/>
      </w:r>
      <w:r>
        <w:instrText xml:space="preserve"> PAGEREF _Toc81237728 \h </w:instrText>
      </w:r>
      <w:r>
        <w:fldChar w:fldCharType="separate"/>
      </w:r>
      <w:r>
        <w:t>- 6 -</w:t>
      </w:r>
      <w:r>
        <w:fldChar w:fldCharType="end"/>
      </w:r>
      <w:r>
        <w:fldChar w:fldCharType="end"/>
      </w:r>
    </w:p>
    <w:p>
      <w:pPr>
        <w:pStyle w:val="15"/>
        <w:ind w:firstLine="560"/>
        <w:rPr>
          <w:rFonts w:ascii="等线" w:hAnsi="等线" w:eastAsia="等线"/>
          <w:sz w:val="21"/>
        </w:rPr>
      </w:pPr>
      <w:r>
        <w:fldChar w:fldCharType="begin"/>
      </w:r>
      <w:r>
        <w:instrText xml:space="preserve"> HYPERLINK \l "_Toc81237729" </w:instrText>
      </w:r>
      <w:r>
        <w:fldChar w:fldCharType="separate"/>
      </w:r>
      <w:r>
        <w:rPr>
          <w:rStyle w:val="23"/>
        </w:rPr>
        <w:t>4.3 预警发布或解除</w:t>
      </w:r>
      <w:r>
        <w:tab/>
      </w:r>
      <w:r>
        <w:fldChar w:fldCharType="begin"/>
      </w:r>
      <w:r>
        <w:instrText xml:space="preserve"> PAGEREF _Toc81237729 \h </w:instrText>
      </w:r>
      <w:r>
        <w:fldChar w:fldCharType="separate"/>
      </w:r>
      <w:r>
        <w:t>- 7 -</w:t>
      </w:r>
      <w:r>
        <w:fldChar w:fldCharType="end"/>
      </w:r>
      <w:r>
        <w:fldChar w:fldCharType="end"/>
      </w:r>
    </w:p>
    <w:p>
      <w:pPr>
        <w:pStyle w:val="15"/>
        <w:ind w:firstLine="560"/>
        <w:rPr>
          <w:rFonts w:ascii="等线" w:hAnsi="等线" w:eastAsia="等线"/>
          <w:sz w:val="21"/>
        </w:rPr>
      </w:pPr>
      <w:r>
        <w:fldChar w:fldCharType="begin"/>
      </w:r>
      <w:r>
        <w:instrText xml:space="preserve"> HYPERLINK \l "_Toc81237730" </w:instrText>
      </w:r>
      <w:r>
        <w:fldChar w:fldCharType="separate"/>
      </w:r>
      <w:r>
        <w:rPr>
          <w:rStyle w:val="23"/>
        </w:rPr>
        <w:t>4.4 预警响应措施</w:t>
      </w:r>
      <w:r>
        <w:tab/>
      </w:r>
      <w:r>
        <w:fldChar w:fldCharType="begin"/>
      </w:r>
      <w:r>
        <w:instrText xml:space="preserve"> PAGEREF _Toc81237730 \h </w:instrText>
      </w:r>
      <w:r>
        <w:fldChar w:fldCharType="separate"/>
      </w:r>
      <w:r>
        <w:t>- 7 -</w:t>
      </w:r>
      <w:r>
        <w:fldChar w:fldCharType="end"/>
      </w:r>
      <w:r>
        <w:fldChar w:fldCharType="end"/>
      </w:r>
    </w:p>
    <w:p>
      <w:pPr>
        <w:pStyle w:val="14"/>
        <w:rPr>
          <w:rFonts w:ascii="等线" w:hAnsi="等线" w:eastAsia="等线"/>
          <w:b w:val="0"/>
          <w:sz w:val="21"/>
          <w:szCs w:val="22"/>
        </w:rPr>
      </w:pPr>
      <w:r>
        <w:fldChar w:fldCharType="begin"/>
      </w:r>
      <w:r>
        <w:instrText xml:space="preserve"> HYPERLINK \l "_Toc81237731" </w:instrText>
      </w:r>
      <w:r>
        <w:fldChar w:fldCharType="separate"/>
      </w:r>
      <w:r>
        <w:rPr>
          <w:rStyle w:val="23"/>
        </w:rPr>
        <w:t>5 应急处置</w:t>
      </w:r>
      <w:r>
        <w:tab/>
      </w:r>
      <w:r>
        <w:fldChar w:fldCharType="begin"/>
      </w:r>
      <w:r>
        <w:instrText xml:space="preserve"> PAGEREF _Toc81237731 \h </w:instrText>
      </w:r>
      <w:r>
        <w:fldChar w:fldCharType="separate"/>
      </w:r>
      <w:r>
        <w:t>- 8 -</w:t>
      </w:r>
      <w:r>
        <w:fldChar w:fldCharType="end"/>
      </w:r>
      <w:r>
        <w:fldChar w:fldCharType="end"/>
      </w:r>
    </w:p>
    <w:p>
      <w:pPr>
        <w:pStyle w:val="15"/>
        <w:ind w:firstLine="560"/>
        <w:rPr>
          <w:rFonts w:ascii="等线" w:hAnsi="等线" w:eastAsia="等线"/>
          <w:sz w:val="21"/>
        </w:rPr>
      </w:pPr>
      <w:r>
        <w:fldChar w:fldCharType="begin"/>
      </w:r>
      <w:r>
        <w:instrText xml:space="preserve"> HYPERLINK \l "_Toc81237732" </w:instrText>
      </w:r>
      <w:r>
        <w:fldChar w:fldCharType="separate"/>
      </w:r>
      <w:r>
        <w:rPr>
          <w:rStyle w:val="23"/>
        </w:rPr>
        <w:t>5.1 应急预案启动</w:t>
      </w:r>
      <w:r>
        <w:tab/>
      </w:r>
      <w:r>
        <w:fldChar w:fldCharType="begin"/>
      </w:r>
      <w:r>
        <w:instrText xml:space="preserve"> PAGEREF _Toc81237732 \h </w:instrText>
      </w:r>
      <w:r>
        <w:fldChar w:fldCharType="separate"/>
      </w:r>
      <w:r>
        <w:t>- 8 -</w:t>
      </w:r>
      <w:r>
        <w:fldChar w:fldCharType="end"/>
      </w:r>
      <w:r>
        <w:fldChar w:fldCharType="end"/>
      </w:r>
    </w:p>
    <w:p>
      <w:pPr>
        <w:pStyle w:val="15"/>
        <w:ind w:firstLine="560"/>
        <w:rPr>
          <w:rFonts w:ascii="等线" w:hAnsi="等线" w:eastAsia="等线"/>
          <w:sz w:val="21"/>
        </w:rPr>
      </w:pPr>
      <w:r>
        <w:fldChar w:fldCharType="begin"/>
      </w:r>
      <w:r>
        <w:instrText xml:space="preserve"> HYPERLINK \l "_Toc81237733" </w:instrText>
      </w:r>
      <w:r>
        <w:fldChar w:fldCharType="separate"/>
      </w:r>
      <w:r>
        <w:rPr>
          <w:rStyle w:val="23"/>
        </w:rPr>
        <w:t>5.2 信息报告</w:t>
      </w:r>
      <w:r>
        <w:tab/>
      </w:r>
      <w:r>
        <w:fldChar w:fldCharType="begin"/>
      </w:r>
      <w:r>
        <w:instrText xml:space="preserve"> PAGEREF _Toc81237733 \h </w:instrText>
      </w:r>
      <w:r>
        <w:fldChar w:fldCharType="separate"/>
      </w:r>
      <w:r>
        <w:t>- 8 -</w:t>
      </w:r>
      <w:r>
        <w:fldChar w:fldCharType="end"/>
      </w:r>
      <w:r>
        <w:fldChar w:fldCharType="end"/>
      </w:r>
    </w:p>
    <w:p>
      <w:pPr>
        <w:pStyle w:val="15"/>
        <w:ind w:firstLine="560"/>
        <w:rPr>
          <w:rFonts w:ascii="等线" w:hAnsi="等线" w:eastAsia="等线"/>
          <w:sz w:val="21"/>
        </w:rPr>
      </w:pPr>
      <w:r>
        <w:fldChar w:fldCharType="begin"/>
      </w:r>
      <w:r>
        <w:instrText xml:space="preserve"> HYPERLINK \l "_Toc81237734" </w:instrText>
      </w:r>
      <w:r>
        <w:fldChar w:fldCharType="separate"/>
      </w:r>
      <w:r>
        <w:rPr>
          <w:rStyle w:val="23"/>
        </w:rPr>
        <w:t>5.3 先期处置</w:t>
      </w:r>
      <w:r>
        <w:tab/>
      </w:r>
      <w:r>
        <w:fldChar w:fldCharType="begin"/>
      </w:r>
      <w:r>
        <w:instrText xml:space="preserve"> PAGEREF _Toc81237734 \h </w:instrText>
      </w:r>
      <w:r>
        <w:fldChar w:fldCharType="separate"/>
      </w:r>
      <w:r>
        <w:t>- 9 -</w:t>
      </w:r>
      <w:r>
        <w:fldChar w:fldCharType="end"/>
      </w:r>
      <w:r>
        <w:fldChar w:fldCharType="end"/>
      </w:r>
    </w:p>
    <w:p>
      <w:pPr>
        <w:pStyle w:val="15"/>
        <w:ind w:firstLine="560"/>
        <w:rPr>
          <w:rFonts w:ascii="等线" w:hAnsi="等线" w:eastAsia="等线"/>
          <w:sz w:val="21"/>
        </w:rPr>
      </w:pPr>
      <w:r>
        <w:fldChar w:fldCharType="begin"/>
      </w:r>
      <w:r>
        <w:instrText xml:space="preserve"> HYPERLINK \l "_Toc81237735" </w:instrText>
      </w:r>
      <w:r>
        <w:fldChar w:fldCharType="separate"/>
      </w:r>
      <w:r>
        <w:rPr>
          <w:rStyle w:val="23"/>
        </w:rPr>
        <w:t>5.4 分级响应</w:t>
      </w:r>
      <w:r>
        <w:tab/>
      </w:r>
      <w:r>
        <w:fldChar w:fldCharType="begin"/>
      </w:r>
      <w:r>
        <w:instrText xml:space="preserve"> PAGEREF _Toc81237735 \h </w:instrText>
      </w:r>
      <w:r>
        <w:fldChar w:fldCharType="separate"/>
      </w:r>
      <w:r>
        <w:t>- 9 -</w:t>
      </w:r>
      <w:r>
        <w:fldChar w:fldCharType="end"/>
      </w:r>
      <w:r>
        <w:fldChar w:fldCharType="end"/>
      </w:r>
    </w:p>
    <w:p>
      <w:pPr>
        <w:pStyle w:val="15"/>
        <w:ind w:firstLine="560"/>
        <w:rPr>
          <w:rFonts w:ascii="等线" w:hAnsi="等线" w:eastAsia="等线"/>
          <w:sz w:val="21"/>
        </w:rPr>
      </w:pPr>
      <w:r>
        <w:fldChar w:fldCharType="begin"/>
      </w:r>
      <w:r>
        <w:instrText xml:space="preserve"> HYPERLINK \l "_Toc81237736" </w:instrText>
      </w:r>
      <w:r>
        <w:fldChar w:fldCharType="separate"/>
      </w:r>
      <w:r>
        <w:rPr>
          <w:rStyle w:val="23"/>
        </w:rPr>
        <w:t>5.5 指挥与协调</w:t>
      </w:r>
      <w:r>
        <w:tab/>
      </w:r>
      <w:r>
        <w:fldChar w:fldCharType="begin"/>
      </w:r>
      <w:r>
        <w:instrText xml:space="preserve"> PAGEREF _Toc81237736 \h </w:instrText>
      </w:r>
      <w:r>
        <w:fldChar w:fldCharType="separate"/>
      </w:r>
      <w:r>
        <w:t>- 10 -</w:t>
      </w:r>
      <w:r>
        <w:fldChar w:fldCharType="end"/>
      </w:r>
      <w:r>
        <w:fldChar w:fldCharType="end"/>
      </w:r>
    </w:p>
    <w:p>
      <w:pPr>
        <w:pStyle w:val="14"/>
        <w:rPr>
          <w:rFonts w:ascii="等线" w:hAnsi="等线" w:eastAsia="等线"/>
          <w:b w:val="0"/>
          <w:sz w:val="21"/>
          <w:szCs w:val="22"/>
        </w:rPr>
      </w:pPr>
      <w:r>
        <w:fldChar w:fldCharType="begin"/>
      </w:r>
      <w:r>
        <w:instrText xml:space="preserve"> HYPERLINK \l "_Toc81237737" </w:instrText>
      </w:r>
      <w:r>
        <w:fldChar w:fldCharType="separate"/>
      </w:r>
      <w:r>
        <w:rPr>
          <w:rStyle w:val="23"/>
        </w:rPr>
        <w:t>6 恢复与重建</w:t>
      </w:r>
      <w:r>
        <w:tab/>
      </w:r>
      <w:r>
        <w:fldChar w:fldCharType="begin"/>
      </w:r>
      <w:r>
        <w:instrText xml:space="preserve"> PAGEREF _Toc81237737 \h </w:instrText>
      </w:r>
      <w:r>
        <w:fldChar w:fldCharType="separate"/>
      </w:r>
      <w:r>
        <w:t>- 11 -</w:t>
      </w:r>
      <w:r>
        <w:fldChar w:fldCharType="end"/>
      </w:r>
      <w:r>
        <w:fldChar w:fldCharType="end"/>
      </w:r>
    </w:p>
    <w:p>
      <w:pPr>
        <w:pStyle w:val="15"/>
        <w:ind w:firstLine="560"/>
        <w:rPr>
          <w:rFonts w:ascii="等线" w:hAnsi="等线" w:eastAsia="等线"/>
          <w:sz w:val="21"/>
        </w:rPr>
      </w:pPr>
      <w:r>
        <w:fldChar w:fldCharType="begin"/>
      </w:r>
      <w:r>
        <w:instrText xml:space="preserve"> HYPERLINK \l "_Toc81237738" </w:instrText>
      </w:r>
      <w:r>
        <w:fldChar w:fldCharType="separate"/>
      </w:r>
      <w:r>
        <w:rPr>
          <w:rStyle w:val="23"/>
        </w:rPr>
        <w:t>6.1 善后处置</w:t>
      </w:r>
      <w:r>
        <w:tab/>
      </w:r>
      <w:r>
        <w:fldChar w:fldCharType="begin"/>
      </w:r>
      <w:r>
        <w:instrText xml:space="preserve"> PAGEREF _Toc81237738 \h </w:instrText>
      </w:r>
      <w:r>
        <w:fldChar w:fldCharType="separate"/>
      </w:r>
      <w:r>
        <w:t>- 11 -</w:t>
      </w:r>
      <w:r>
        <w:fldChar w:fldCharType="end"/>
      </w:r>
      <w:r>
        <w:fldChar w:fldCharType="end"/>
      </w:r>
    </w:p>
    <w:p>
      <w:pPr>
        <w:pStyle w:val="15"/>
        <w:ind w:firstLine="560"/>
        <w:rPr>
          <w:rFonts w:ascii="等线" w:hAnsi="等线" w:eastAsia="等线"/>
          <w:sz w:val="21"/>
        </w:rPr>
      </w:pPr>
      <w:r>
        <w:fldChar w:fldCharType="begin"/>
      </w:r>
      <w:r>
        <w:instrText xml:space="preserve"> HYPERLINK \l "_Toc81237739" </w:instrText>
      </w:r>
      <w:r>
        <w:fldChar w:fldCharType="separate"/>
      </w:r>
      <w:r>
        <w:rPr>
          <w:rStyle w:val="23"/>
        </w:rPr>
        <w:t>6.2 社会救助</w:t>
      </w:r>
      <w:r>
        <w:tab/>
      </w:r>
      <w:r>
        <w:fldChar w:fldCharType="begin"/>
      </w:r>
      <w:r>
        <w:instrText xml:space="preserve"> PAGEREF _Toc81237739 \h </w:instrText>
      </w:r>
      <w:r>
        <w:fldChar w:fldCharType="separate"/>
      </w:r>
      <w:r>
        <w:t>- 11 -</w:t>
      </w:r>
      <w:r>
        <w:fldChar w:fldCharType="end"/>
      </w:r>
      <w:r>
        <w:fldChar w:fldCharType="end"/>
      </w:r>
    </w:p>
    <w:p>
      <w:pPr>
        <w:pStyle w:val="15"/>
        <w:ind w:firstLine="560"/>
        <w:rPr>
          <w:rFonts w:ascii="等线" w:hAnsi="等线" w:eastAsia="等线"/>
          <w:sz w:val="21"/>
        </w:rPr>
      </w:pPr>
      <w:r>
        <w:fldChar w:fldCharType="begin"/>
      </w:r>
      <w:r>
        <w:instrText xml:space="preserve"> HYPERLINK \l "_Toc81237740" </w:instrText>
      </w:r>
      <w:r>
        <w:fldChar w:fldCharType="separate"/>
      </w:r>
      <w:r>
        <w:rPr>
          <w:rStyle w:val="23"/>
        </w:rPr>
        <w:t>6.3 调查与评估</w:t>
      </w:r>
      <w:r>
        <w:tab/>
      </w:r>
      <w:r>
        <w:fldChar w:fldCharType="begin"/>
      </w:r>
      <w:r>
        <w:instrText xml:space="preserve"> PAGEREF _Toc81237740 \h </w:instrText>
      </w:r>
      <w:r>
        <w:fldChar w:fldCharType="separate"/>
      </w:r>
      <w:r>
        <w:t>- 11 -</w:t>
      </w:r>
      <w:r>
        <w:fldChar w:fldCharType="end"/>
      </w:r>
      <w:r>
        <w:fldChar w:fldCharType="end"/>
      </w:r>
    </w:p>
    <w:p>
      <w:pPr>
        <w:pStyle w:val="15"/>
        <w:ind w:firstLine="560"/>
        <w:rPr>
          <w:rFonts w:ascii="等线" w:hAnsi="等线" w:eastAsia="等线"/>
          <w:sz w:val="21"/>
        </w:rPr>
      </w:pPr>
      <w:r>
        <w:fldChar w:fldCharType="begin"/>
      </w:r>
      <w:r>
        <w:instrText xml:space="preserve"> HYPERLINK \l "_Toc81237741" </w:instrText>
      </w:r>
      <w:r>
        <w:fldChar w:fldCharType="separate"/>
      </w:r>
      <w:r>
        <w:rPr>
          <w:rStyle w:val="23"/>
        </w:rPr>
        <w:t>6.4 恢复重建</w:t>
      </w:r>
      <w:r>
        <w:tab/>
      </w:r>
      <w:r>
        <w:fldChar w:fldCharType="begin"/>
      </w:r>
      <w:r>
        <w:instrText xml:space="preserve"> PAGEREF _Toc81237741 \h </w:instrText>
      </w:r>
      <w:r>
        <w:fldChar w:fldCharType="separate"/>
      </w:r>
      <w:r>
        <w:t>- 11 -</w:t>
      </w:r>
      <w:r>
        <w:fldChar w:fldCharType="end"/>
      </w:r>
      <w:r>
        <w:fldChar w:fldCharType="end"/>
      </w:r>
    </w:p>
    <w:p>
      <w:pPr>
        <w:pStyle w:val="14"/>
        <w:rPr>
          <w:rFonts w:ascii="等线" w:hAnsi="等线" w:eastAsia="等线"/>
          <w:b w:val="0"/>
          <w:sz w:val="21"/>
          <w:szCs w:val="22"/>
        </w:rPr>
      </w:pPr>
      <w:r>
        <w:fldChar w:fldCharType="begin"/>
      </w:r>
      <w:r>
        <w:instrText xml:space="preserve"> HYPERLINK \l "_Toc81237742" </w:instrText>
      </w:r>
      <w:r>
        <w:fldChar w:fldCharType="separate"/>
      </w:r>
      <w:r>
        <w:rPr>
          <w:rStyle w:val="23"/>
        </w:rPr>
        <w:t>7 应急保障</w:t>
      </w:r>
      <w:r>
        <w:tab/>
      </w:r>
      <w:r>
        <w:fldChar w:fldCharType="begin"/>
      </w:r>
      <w:r>
        <w:instrText xml:space="preserve"> PAGEREF _Toc81237742 \h </w:instrText>
      </w:r>
      <w:r>
        <w:fldChar w:fldCharType="separate"/>
      </w:r>
      <w:r>
        <w:t>- 11 -</w:t>
      </w:r>
      <w:r>
        <w:fldChar w:fldCharType="end"/>
      </w:r>
      <w:r>
        <w:fldChar w:fldCharType="end"/>
      </w:r>
    </w:p>
    <w:p>
      <w:pPr>
        <w:pStyle w:val="15"/>
        <w:ind w:firstLine="560"/>
        <w:rPr>
          <w:rFonts w:ascii="等线" w:hAnsi="等线" w:eastAsia="等线"/>
          <w:sz w:val="21"/>
        </w:rPr>
      </w:pPr>
      <w:r>
        <w:fldChar w:fldCharType="begin"/>
      </w:r>
      <w:r>
        <w:instrText xml:space="preserve"> HYPERLINK \l "_Toc81237743" </w:instrText>
      </w:r>
      <w:r>
        <w:fldChar w:fldCharType="separate"/>
      </w:r>
      <w:r>
        <w:rPr>
          <w:rStyle w:val="23"/>
        </w:rPr>
        <w:t>7.1 应急救援队伍及物资设备保障</w:t>
      </w:r>
      <w:r>
        <w:tab/>
      </w:r>
      <w:r>
        <w:fldChar w:fldCharType="begin"/>
      </w:r>
      <w:r>
        <w:instrText xml:space="preserve"> PAGEREF _Toc81237743 \h </w:instrText>
      </w:r>
      <w:r>
        <w:fldChar w:fldCharType="separate"/>
      </w:r>
      <w:r>
        <w:t>- 11 -</w:t>
      </w:r>
      <w:r>
        <w:fldChar w:fldCharType="end"/>
      </w:r>
      <w:r>
        <w:fldChar w:fldCharType="end"/>
      </w:r>
    </w:p>
    <w:p>
      <w:pPr>
        <w:pStyle w:val="15"/>
        <w:ind w:firstLine="560"/>
        <w:rPr>
          <w:rFonts w:ascii="等线" w:hAnsi="等线" w:eastAsia="等线"/>
          <w:sz w:val="21"/>
        </w:rPr>
      </w:pPr>
      <w:r>
        <w:fldChar w:fldCharType="begin"/>
      </w:r>
      <w:r>
        <w:instrText xml:space="preserve"> HYPERLINK \l "_Toc81237744" </w:instrText>
      </w:r>
      <w:r>
        <w:fldChar w:fldCharType="separate"/>
      </w:r>
      <w:r>
        <w:rPr>
          <w:rStyle w:val="23"/>
        </w:rPr>
        <w:t>7.2 财力保障</w:t>
      </w:r>
      <w:r>
        <w:tab/>
      </w:r>
      <w:r>
        <w:fldChar w:fldCharType="begin"/>
      </w:r>
      <w:r>
        <w:instrText xml:space="preserve"> PAGEREF _Toc81237744 \h </w:instrText>
      </w:r>
      <w:r>
        <w:fldChar w:fldCharType="separate"/>
      </w:r>
      <w:r>
        <w:t>- 12 -</w:t>
      </w:r>
      <w:r>
        <w:fldChar w:fldCharType="end"/>
      </w:r>
      <w:r>
        <w:fldChar w:fldCharType="end"/>
      </w:r>
    </w:p>
    <w:p>
      <w:pPr>
        <w:pStyle w:val="15"/>
        <w:ind w:firstLine="560"/>
        <w:rPr>
          <w:rFonts w:ascii="等线" w:hAnsi="等线" w:eastAsia="等线"/>
          <w:sz w:val="21"/>
        </w:rPr>
      </w:pPr>
      <w:r>
        <w:fldChar w:fldCharType="begin"/>
      </w:r>
      <w:r>
        <w:instrText xml:space="preserve"> HYPERLINK \l "_Toc81237745" </w:instrText>
      </w:r>
      <w:r>
        <w:fldChar w:fldCharType="separate"/>
      </w:r>
      <w:r>
        <w:rPr>
          <w:rStyle w:val="23"/>
        </w:rPr>
        <w:t>7.3 医疗卫生保障</w:t>
      </w:r>
      <w:r>
        <w:tab/>
      </w:r>
      <w:r>
        <w:fldChar w:fldCharType="begin"/>
      </w:r>
      <w:r>
        <w:instrText xml:space="preserve"> PAGEREF _Toc81237745 \h </w:instrText>
      </w:r>
      <w:r>
        <w:fldChar w:fldCharType="separate"/>
      </w:r>
      <w:r>
        <w:t>- 12 -</w:t>
      </w:r>
      <w:r>
        <w:fldChar w:fldCharType="end"/>
      </w:r>
      <w:r>
        <w:fldChar w:fldCharType="end"/>
      </w:r>
    </w:p>
    <w:p>
      <w:pPr>
        <w:pStyle w:val="15"/>
        <w:ind w:firstLine="560"/>
        <w:rPr>
          <w:rFonts w:ascii="等线" w:hAnsi="等线" w:eastAsia="等线"/>
          <w:sz w:val="21"/>
        </w:rPr>
      </w:pPr>
      <w:r>
        <w:fldChar w:fldCharType="begin"/>
      </w:r>
      <w:r>
        <w:instrText xml:space="preserve"> HYPERLINK \l "_Toc81237746" </w:instrText>
      </w:r>
      <w:r>
        <w:fldChar w:fldCharType="separate"/>
      </w:r>
      <w:r>
        <w:rPr>
          <w:rStyle w:val="23"/>
        </w:rPr>
        <w:t>7.4 交通运输保障</w:t>
      </w:r>
      <w:r>
        <w:tab/>
      </w:r>
      <w:r>
        <w:fldChar w:fldCharType="begin"/>
      </w:r>
      <w:r>
        <w:instrText xml:space="preserve"> PAGEREF _Toc81237746 \h </w:instrText>
      </w:r>
      <w:r>
        <w:fldChar w:fldCharType="separate"/>
      </w:r>
      <w:r>
        <w:t>- 12 -</w:t>
      </w:r>
      <w:r>
        <w:fldChar w:fldCharType="end"/>
      </w:r>
      <w:r>
        <w:fldChar w:fldCharType="end"/>
      </w:r>
    </w:p>
    <w:p>
      <w:pPr>
        <w:pStyle w:val="15"/>
        <w:ind w:firstLine="560"/>
        <w:rPr>
          <w:rFonts w:ascii="等线" w:hAnsi="等线" w:eastAsia="等线"/>
          <w:sz w:val="21"/>
        </w:rPr>
      </w:pPr>
      <w:r>
        <w:fldChar w:fldCharType="begin"/>
      </w:r>
      <w:r>
        <w:instrText xml:space="preserve"> HYPERLINK \l "_Toc81237747" </w:instrText>
      </w:r>
      <w:r>
        <w:fldChar w:fldCharType="separate"/>
      </w:r>
      <w:r>
        <w:rPr>
          <w:rStyle w:val="23"/>
        </w:rPr>
        <w:t>7.5 治安维护</w:t>
      </w:r>
      <w:r>
        <w:tab/>
      </w:r>
      <w:r>
        <w:fldChar w:fldCharType="begin"/>
      </w:r>
      <w:r>
        <w:instrText xml:space="preserve"> PAGEREF _Toc81237747 \h </w:instrText>
      </w:r>
      <w:r>
        <w:fldChar w:fldCharType="separate"/>
      </w:r>
      <w:r>
        <w:t>- 12 -</w:t>
      </w:r>
      <w:r>
        <w:fldChar w:fldCharType="end"/>
      </w:r>
      <w:r>
        <w:fldChar w:fldCharType="end"/>
      </w:r>
    </w:p>
    <w:p>
      <w:pPr>
        <w:pStyle w:val="15"/>
        <w:ind w:firstLine="560"/>
        <w:rPr>
          <w:rFonts w:ascii="等线" w:hAnsi="等线" w:eastAsia="等线"/>
          <w:sz w:val="21"/>
        </w:rPr>
      </w:pPr>
      <w:r>
        <w:fldChar w:fldCharType="begin"/>
      </w:r>
      <w:r>
        <w:instrText xml:space="preserve"> HYPERLINK \l "_Toc81237748" </w:instrText>
      </w:r>
      <w:r>
        <w:fldChar w:fldCharType="separate"/>
      </w:r>
      <w:r>
        <w:rPr>
          <w:rStyle w:val="23"/>
        </w:rPr>
        <w:t>7.6 通信保障</w:t>
      </w:r>
      <w:r>
        <w:tab/>
      </w:r>
      <w:r>
        <w:fldChar w:fldCharType="begin"/>
      </w:r>
      <w:r>
        <w:instrText xml:space="preserve"> PAGEREF _Toc81237748 \h </w:instrText>
      </w:r>
      <w:r>
        <w:fldChar w:fldCharType="separate"/>
      </w:r>
      <w:r>
        <w:t>- 12 -</w:t>
      </w:r>
      <w:r>
        <w:fldChar w:fldCharType="end"/>
      </w:r>
      <w:r>
        <w:fldChar w:fldCharType="end"/>
      </w:r>
    </w:p>
    <w:p>
      <w:pPr>
        <w:pStyle w:val="15"/>
        <w:ind w:firstLine="560"/>
        <w:rPr>
          <w:rFonts w:ascii="等线" w:hAnsi="等线" w:eastAsia="等线"/>
          <w:sz w:val="21"/>
        </w:rPr>
      </w:pPr>
      <w:r>
        <w:fldChar w:fldCharType="begin"/>
      </w:r>
      <w:r>
        <w:instrText xml:space="preserve"> HYPERLINK \l "_Toc81237749" </w:instrText>
      </w:r>
      <w:r>
        <w:fldChar w:fldCharType="separate"/>
      </w:r>
      <w:r>
        <w:rPr>
          <w:rStyle w:val="23"/>
        </w:rPr>
        <w:t>7.7 人员防护保障</w:t>
      </w:r>
      <w:r>
        <w:tab/>
      </w:r>
      <w:r>
        <w:fldChar w:fldCharType="begin"/>
      </w:r>
      <w:r>
        <w:instrText xml:space="preserve"> PAGEREF _Toc81237749 \h </w:instrText>
      </w:r>
      <w:r>
        <w:fldChar w:fldCharType="separate"/>
      </w:r>
      <w:r>
        <w:t>- 12 -</w:t>
      </w:r>
      <w:r>
        <w:fldChar w:fldCharType="end"/>
      </w:r>
      <w:r>
        <w:fldChar w:fldCharType="end"/>
      </w:r>
    </w:p>
    <w:p>
      <w:pPr>
        <w:pStyle w:val="15"/>
        <w:ind w:firstLine="560"/>
        <w:rPr>
          <w:rFonts w:ascii="等线" w:hAnsi="等线" w:eastAsia="等线"/>
          <w:sz w:val="21"/>
        </w:rPr>
      </w:pPr>
      <w:r>
        <w:fldChar w:fldCharType="begin"/>
      </w:r>
      <w:r>
        <w:instrText xml:space="preserve"> HYPERLINK \l "_Toc81237750" </w:instrText>
      </w:r>
      <w:r>
        <w:fldChar w:fldCharType="separate"/>
      </w:r>
      <w:r>
        <w:rPr>
          <w:rStyle w:val="23"/>
        </w:rPr>
        <w:t>7.8 应急避难场所保障</w:t>
      </w:r>
      <w:r>
        <w:tab/>
      </w:r>
      <w:r>
        <w:fldChar w:fldCharType="begin"/>
      </w:r>
      <w:r>
        <w:instrText xml:space="preserve"> PAGEREF _Toc81237750 \h </w:instrText>
      </w:r>
      <w:r>
        <w:fldChar w:fldCharType="separate"/>
      </w:r>
      <w:r>
        <w:t>- 12 -</w:t>
      </w:r>
      <w:r>
        <w:fldChar w:fldCharType="end"/>
      </w:r>
      <w:r>
        <w:fldChar w:fldCharType="end"/>
      </w:r>
    </w:p>
    <w:p>
      <w:pPr>
        <w:pStyle w:val="15"/>
        <w:ind w:firstLine="560"/>
        <w:rPr>
          <w:rFonts w:ascii="等线" w:hAnsi="等线" w:eastAsia="等线"/>
          <w:sz w:val="21"/>
        </w:rPr>
      </w:pPr>
      <w:r>
        <w:fldChar w:fldCharType="begin"/>
      </w:r>
      <w:r>
        <w:instrText xml:space="preserve"> HYPERLINK \l "_Toc81237751" </w:instrText>
      </w:r>
      <w:r>
        <w:fldChar w:fldCharType="separate"/>
      </w:r>
      <w:r>
        <w:rPr>
          <w:rStyle w:val="23"/>
        </w:rPr>
        <w:t>7.9 社会动员保障</w:t>
      </w:r>
      <w:r>
        <w:tab/>
      </w:r>
      <w:r>
        <w:fldChar w:fldCharType="begin"/>
      </w:r>
      <w:r>
        <w:instrText xml:space="preserve"> PAGEREF _Toc81237751 \h </w:instrText>
      </w:r>
      <w:r>
        <w:fldChar w:fldCharType="separate"/>
      </w:r>
      <w:r>
        <w:t>- 12 -</w:t>
      </w:r>
      <w:r>
        <w:fldChar w:fldCharType="end"/>
      </w:r>
      <w:r>
        <w:fldChar w:fldCharType="end"/>
      </w:r>
    </w:p>
    <w:p>
      <w:pPr>
        <w:pStyle w:val="15"/>
        <w:ind w:firstLine="560"/>
        <w:rPr>
          <w:rFonts w:ascii="等线" w:hAnsi="等线" w:eastAsia="等线"/>
          <w:sz w:val="21"/>
        </w:rPr>
      </w:pPr>
      <w:r>
        <w:fldChar w:fldCharType="begin"/>
      </w:r>
      <w:r>
        <w:instrText xml:space="preserve"> HYPERLINK \l "_Toc81237752" </w:instrText>
      </w:r>
      <w:r>
        <w:fldChar w:fldCharType="separate"/>
      </w:r>
      <w:r>
        <w:rPr>
          <w:rStyle w:val="23"/>
        </w:rPr>
        <w:t>7.10 生活保障</w:t>
      </w:r>
      <w:r>
        <w:tab/>
      </w:r>
      <w:r>
        <w:fldChar w:fldCharType="begin"/>
      </w:r>
      <w:r>
        <w:instrText xml:space="preserve"> PAGEREF _Toc81237752 \h </w:instrText>
      </w:r>
      <w:r>
        <w:fldChar w:fldCharType="separate"/>
      </w:r>
      <w:r>
        <w:t>- 12 -</w:t>
      </w:r>
      <w:r>
        <w:fldChar w:fldCharType="end"/>
      </w:r>
      <w:r>
        <w:fldChar w:fldCharType="end"/>
      </w:r>
    </w:p>
    <w:p>
      <w:pPr>
        <w:pStyle w:val="15"/>
        <w:ind w:firstLine="560"/>
        <w:rPr>
          <w:rFonts w:ascii="等线" w:hAnsi="等线" w:eastAsia="等线"/>
          <w:sz w:val="21"/>
        </w:rPr>
      </w:pPr>
      <w:r>
        <w:fldChar w:fldCharType="begin"/>
      </w:r>
      <w:r>
        <w:instrText xml:space="preserve"> HYPERLINK \l "_Toc81237753" </w:instrText>
      </w:r>
      <w:r>
        <w:fldChar w:fldCharType="separate"/>
      </w:r>
      <w:r>
        <w:rPr>
          <w:rStyle w:val="23"/>
        </w:rPr>
        <w:t>7.11 科技支撑</w:t>
      </w:r>
      <w:r>
        <w:tab/>
      </w:r>
      <w:r>
        <w:fldChar w:fldCharType="begin"/>
      </w:r>
      <w:r>
        <w:instrText xml:space="preserve"> PAGEREF _Toc81237753 \h </w:instrText>
      </w:r>
      <w:r>
        <w:fldChar w:fldCharType="separate"/>
      </w:r>
      <w:r>
        <w:t>- 13 -</w:t>
      </w:r>
      <w:r>
        <w:fldChar w:fldCharType="end"/>
      </w:r>
      <w:r>
        <w:fldChar w:fldCharType="end"/>
      </w:r>
    </w:p>
    <w:p>
      <w:pPr>
        <w:pStyle w:val="15"/>
        <w:ind w:firstLine="560"/>
        <w:rPr>
          <w:rFonts w:ascii="等线" w:hAnsi="等线" w:eastAsia="等线"/>
          <w:sz w:val="21"/>
        </w:rPr>
      </w:pPr>
      <w:r>
        <w:fldChar w:fldCharType="begin"/>
      </w:r>
      <w:r>
        <w:instrText xml:space="preserve"> HYPERLINK \l "_Toc81237754" </w:instrText>
      </w:r>
      <w:r>
        <w:fldChar w:fldCharType="separate"/>
      </w:r>
      <w:r>
        <w:rPr>
          <w:rStyle w:val="23"/>
        </w:rPr>
        <w:t>7.12 气象服务保障</w:t>
      </w:r>
      <w:r>
        <w:tab/>
      </w:r>
      <w:r>
        <w:fldChar w:fldCharType="begin"/>
      </w:r>
      <w:r>
        <w:instrText xml:space="preserve"> PAGEREF _Toc81237754 \h </w:instrText>
      </w:r>
      <w:r>
        <w:fldChar w:fldCharType="separate"/>
      </w:r>
      <w:r>
        <w:t>- 13 -</w:t>
      </w:r>
      <w:r>
        <w:fldChar w:fldCharType="end"/>
      </w:r>
      <w:r>
        <w:fldChar w:fldCharType="end"/>
      </w:r>
    </w:p>
    <w:p>
      <w:pPr>
        <w:pStyle w:val="14"/>
        <w:rPr>
          <w:rFonts w:ascii="等线" w:hAnsi="等线" w:eastAsia="等线"/>
          <w:b w:val="0"/>
          <w:sz w:val="21"/>
          <w:szCs w:val="22"/>
        </w:rPr>
      </w:pPr>
      <w:r>
        <w:fldChar w:fldCharType="begin"/>
      </w:r>
      <w:r>
        <w:instrText xml:space="preserve"> HYPERLINK \l "_Toc81237755" </w:instrText>
      </w:r>
      <w:r>
        <w:fldChar w:fldCharType="separate"/>
      </w:r>
      <w:r>
        <w:rPr>
          <w:rStyle w:val="23"/>
        </w:rPr>
        <w:t>8 宣传培训和演练</w:t>
      </w:r>
      <w:r>
        <w:tab/>
      </w:r>
      <w:r>
        <w:fldChar w:fldCharType="begin"/>
      </w:r>
      <w:r>
        <w:instrText xml:space="preserve"> PAGEREF _Toc81237755 \h </w:instrText>
      </w:r>
      <w:r>
        <w:fldChar w:fldCharType="separate"/>
      </w:r>
      <w:r>
        <w:t>- 13 -</w:t>
      </w:r>
      <w:r>
        <w:fldChar w:fldCharType="end"/>
      </w:r>
      <w:r>
        <w:fldChar w:fldCharType="end"/>
      </w:r>
    </w:p>
    <w:p>
      <w:pPr>
        <w:pStyle w:val="15"/>
        <w:ind w:firstLine="560"/>
        <w:rPr>
          <w:rFonts w:ascii="等线" w:hAnsi="等线" w:eastAsia="等线"/>
          <w:sz w:val="21"/>
        </w:rPr>
      </w:pPr>
      <w:r>
        <w:fldChar w:fldCharType="begin"/>
      </w:r>
      <w:r>
        <w:instrText xml:space="preserve"> HYPERLINK \l "_Toc81237756" </w:instrText>
      </w:r>
      <w:r>
        <w:fldChar w:fldCharType="separate"/>
      </w:r>
      <w:r>
        <w:rPr>
          <w:rStyle w:val="23"/>
        </w:rPr>
        <w:t>8.1 应急宣传</w:t>
      </w:r>
      <w:r>
        <w:tab/>
      </w:r>
      <w:r>
        <w:fldChar w:fldCharType="begin"/>
      </w:r>
      <w:r>
        <w:instrText xml:space="preserve"> PAGEREF _Toc81237756 \h </w:instrText>
      </w:r>
      <w:r>
        <w:fldChar w:fldCharType="separate"/>
      </w:r>
      <w:r>
        <w:t>- 13 -</w:t>
      </w:r>
      <w:r>
        <w:fldChar w:fldCharType="end"/>
      </w:r>
      <w:r>
        <w:fldChar w:fldCharType="end"/>
      </w:r>
    </w:p>
    <w:p>
      <w:pPr>
        <w:pStyle w:val="15"/>
        <w:ind w:firstLine="560"/>
        <w:rPr>
          <w:rFonts w:ascii="等线" w:hAnsi="等线" w:eastAsia="等线"/>
          <w:sz w:val="21"/>
        </w:rPr>
      </w:pPr>
      <w:r>
        <w:fldChar w:fldCharType="begin"/>
      </w:r>
      <w:r>
        <w:instrText xml:space="preserve"> HYPERLINK \l "_Toc81237757" </w:instrText>
      </w:r>
      <w:r>
        <w:fldChar w:fldCharType="separate"/>
      </w:r>
      <w:r>
        <w:rPr>
          <w:rStyle w:val="23"/>
        </w:rPr>
        <w:t>8.2 应急教育</w:t>
      </w:r>
      <w:r>
        <w:tab/>
      </w:r>
      <w:r>
        <w:fldChar w:fldCharType="begin"/>
      </w:r>
      <w:r>
        <w:instrText xml:space="preserve"> PAGEREF _Toc81237757 \h </w:instrText>
      </w:r>
      <w:r>
        <w:fldChar w:fldCharType="separate"/>
      </w:r>
      <w:r>
        <w:t>- 13 -</w:t>
      </w:r>
      <w:r>
        <w:fldChar w:fldCharType="end"/>
      </w:r>
      <w:r>
        <w:fldChar w:fldCharType="end"/>
      </w:r>
    </w:p>
    <w:p>
      <w:pPr>
        <w:pStyle w:val="15"/>
        <w:ind w:firstLine="560"/>
        <w:rPr>
          <w:rFonts w:ascii="等线" w:hAnsi="等线" w:eastAsia="等线"/>
          <w:sz w:val="21"/>
        </w:rPr>
      </w:pPr>
      <w:r>
        <w:fldChar w:fldCharType="begin"/>
      </w:r>
      <w:r>
        <w:instrText xml:space="preserve"> HYPERLINK \l "_Toc81237758" </w:instrText>
      </w:r>
      <w:r>
        <w:fldChar w:fldCharType="separate"/>
      </w:r>
      <w:r>
        <w:rPr>
          <w:rStyle w:val="23"/>
        </w:rPr>
        <w:t>8.3 培训</w:t>
      </w:r>
      <w:r>
        <w:tab/>
      </w:r>
      <w:r>
        <w:fldChar w:fldCharType="begin"/>
      </w:r>
      <w:r>
        <w:instrText xml:space="preserve"> PAGEREF _Toc81237758 \h </w:instrText>
      </w:r>
      <w:r>
        <w:fldChar w:fldCharType="separate"/>
      </w:r>
      <w:r>
        <w:t>- 13 -</w:t>
      </w:r>
      <w:r>
        <w:fldChar w:fldCharType="end"/>
      </w:r>
      <w:r>
        <w:fldChar w:fldCharType="end"/>
      </w:r>
    </w:p>
    <w:p>
      <w:pPr>
        <w:pStyle w:val="15"/>
        <w:ind w:firstLine="560"/>
        <w:rPr>
          <w:rFonts w:ascii="等线" w:hAnsi="等线" w:eastAsia="等线"/>
          <w:sz w:val="21"/>
        </w:rPr>
      </w:pPr>
      <w:r>
        <w:fldChar w:fldCharType="begin"/>
      </w:r>
      <w:r>
        <w:instrText xml:space="preserve"> HYPERLINK \l "_Toc81237759" </w:instrText>
      </w:r>
      <w:r>
        <w:fldChar w:fldCharType="separate"/>
      </w:r>
      <w:r>
        <w:rPr>
          <w:rStyle w:val="23"/>
        </w:rPr>
        <w:t>8.4 应急演练</w:t>
      </w:r>
      <w:r>
        <w:tab/>
      </w:r>
      <w:r>
        <w:fldChar w:fldCharType="begin"/>
      </w:r>
      <w:r>
        <w:instrText xml:space="preserve"> PAGEREF _Toc81237759 \h </w:instrText>
      </w:r>
      <w:r>
        <w:fldChar w:fldCharType="separate"/>
      </w:r>
      <w:r>
        <w:t>- 13 -</w:t>
      </w:r>
      <w:r>
        <w:fldChar w:fldCharType="end"/>
      </w:r>
      <w:r>
        <w:fldChar w:fldCharType="end"/>
      </w:r>
    </w:p>
    <w:p>
      <w:pPr>
        <w:pStyle w:val="14"/>
        <w:rPr>
          <w:rFonts w:ascii="等线" w:hAnsi="等线" w:eastAsia="等线"/>
          <w:b w:val="0"/>
          <w:sz w:val="21"/>
          <w:szCs w:val="22"/>
        </w:rPr>
      </w:pPr>
      <w:r>
        <w:fldChar w:fldCharType="begin"/>
      </w:r>
      <w:r>
        <w:instrText xml:space="preserve"> HYPERLINK \l "_Toc81237760" </w:instrText>
      </w:r>
      <w:r>
        <w:fldChar w:fldCharType="separate"/>
      </w:r>
      <w:r>
        <w:rPr>
          <w:rStyle w:val="23"/>
        </w:rPr>
        <w:t>9 监督管理</w:t>
      </w:r>
      <w:r>
        <w:tab/>
      </w:r>
      <w:r>
        <w:fldChar w:fldCharType="begin"/>
      </w:r>
      <w:r>
        <w:instrText xml:space="preserve"> PAGEREF _Toc81237760 \h </w:instrText>
      </w:r>
      <w:r>
        <w:fldChar w:fldCharType="separate"/>
      </w:r>
      <w:r>
        <w:t>- 14 -</w:t>
      </w:r>
      <w:r>
        <w:fldChar w:fldCharType="end"/>
      </w:r>
      <w:r>
        <w:fldChar w:fldCharType="end"/>
      </w:r>
    </w:p>
    <w:p>
      <w:pPr>
        <w:pStyle w:val="15"/>
        <w:ind w:firstLine="560"/>
        <w:rPr>
          <w:rFonts w:ascii="等线" w:hAnsi="等线" w:eastAsia="等线"/>
          <w:sz w:val="21"/>
        </w:rPr>
      </w:pPr>
      <w:r>
        <w:fldChar w:fldCharType="begin"/>
      </w:r>
      <w:r>
        <w:instrText xml:space="preserve"> HYPERLINK \l "_Toc81237761" </w:instrText>
      </w:r>
      <w:r>
        <w:fldChar w:fldCharType="separate"/>
      </w:r>
      <w:r>
        <w:rPr>
          <w:rStyle w:val="23"/>
        </w:rPr>
        <w:t>9.1 监督检查</w:t>
      </w:r>
      <w:r>
        <w:tab/>
      </w:r>
      <w:r>
        <w:fldChar w:fldCharType="begin"/>
      </w:r>
      <w:r>
        <w:instrText xml:space="preserve"> PAGEREF _Toc81237761 \h </w:instrText>
      </w:r>
      <w:r>
        <w:fldChar w:fldCharType="separate"/>
      </w:r>
      <w:r>
        <w:t>- 14 -</w:t>
      </w:r>
      <w:r>
        <w:fldChar w:fldCharType="end"/>
      </w:r>
      <w:r>
        <w:fldChar w:fldCharType="end"/>
      </w:r>
    </w:p>
    <w:p>
      <w:pPr>
        <w:pStyle w:val="15"/>
        <w:ind w:firstLine="560"/>
        <w:rPr>
          <w:rFonts w:ascii="等线" w:hAnsi="等线" w:eastAsia="等线"/>
          <w:sz w:val="21"/>
        </w:rPr>
      </w:pPr>
      <w:r>
        <w:fldChar w:fldCharType="begin"/>
      </w:r>
      <w:r>
        <w:instrText xml:space="preserve"> HYPERLINK \l "_Toc81237762" </w:instrText>
      </w:r>
      <w:r>
        <w:fldChar w:fldCharType="separate"/>
      </w:r>
      <w:r>
        <w:rPr>
          <w:rStyle w:val="23"/>
        </w:rPr>
        <w:t>9.2 责任与奖惩</w:t>
      </w:r>
      <w:r>
        <w:tab/>
      </w:r>
      <w:r>
        <w:fldChar w:fldCharType="begin"/>
      </w:r>
      <w:r>
        <w:instrText xml:space="preserve"> PAGEREF _Toc81237762 \h </w:instrText>
      </w:r>
      <w:r>
        <w:fldChar w:fldCharType="separate"/>
      </w:r>
      <w:r>
        <w:t>- 14 -</w:t>
      </w:r>
      <w:r>
        <w:fldChar w:fldCharType="end"/>
      </w:r>
      <w:r>
        <w:fldChar w:fldCharType="end"/>
      </w:r>
    </w:p>
    <w:p>
      <w:pPr>
        <w:pStyle w:val="14"/>
        <w:rPr>
          <w:rFonts w:ascii="等线" w:hAnsi="等线" w:eastAsia="等线"/>
          <w:b w:val="0"/>
          <w:sz w:val="21"/>
          <w:szCs w:val="22"/>
        </w:rPr>
      </w:pPr>
      <w:r>
        <w:fldChar w:fldCharType="begin"/>
      </w:r>
      <w:r>
        <w:instrText xml:space="preserve"> HYPERLINK \l "_Toc81237763" </w:instrText>
      </w:r>
      <w:r>
        <w:fldChar w:fldCharType="separate"/>
      </w:r>
      <w:r>
        <w:rPr>
          <w:rStyle w:val="23"/>
        </w:rPr>
        <w:t>10 附则</w:t>
      </w:r>
      <w:r>
        <w:tab/>
      </w:r>
      <w:r>
        <w:fldChar w:fldCharType="begin"/>
      </w:r>
      <w:r>
        <w:instrText xml:space="preserve"> PAGEREF _Toc81237763 \h </w:instrText>
      </w:r>
      <w:r>
        <w:fldChar w:fldCharType="separate"/>
      </w:r>
      <w:r>
        <w:t>- 14 -</w:t>
      </w:r>
      <w:r>
        <w:fldChar w:fldCharType="end"/>
      </w:r>
      <w:r>
        <w:fldChar w:fldCharType="end"/>
      </w:r>
    </w:p>
    <w:p>
      <w:pPr>
        <w:pStyle w:val="15"/>
        <w:ind w:firstLine="560"/>
        <w:rPr>
          <w:rFonts w:ascii="等线" w:hAnsi="等线" w:eastAsia="等线"/>
          <w:sz w:val="21"/>
        </w:rPr>
      </w:pPr>
      <w:r>
        <w:fldChar w:fldCharType="begin"/>
      </w:r>
      <w:r>
        <w:instrText xml:space="preserve"> HYPERLINK \l "_Toc81237764" </w:instrText>
      </w:r>
      <w:r>
        <w:fldChar w:fldCharType="separate"/>
      </w:r>
      <w:r>
        <w:rPr>
          <w:rStyle w:val="23"/>
        </w:rPr>
        <w:t>10.1 名词术语</w:t>
      </w:r>
      <w:r>
        <w:tab/>
      </w:r>
      <w:r>
        <w:fldChar w:fldCharType="begin"/>
      </w:r>
      <w:r>
        <w:instrText xml:space="preserve"> PAGEREF _Toc81237764 \h </w:instrText>
      </w:r>
      <w:r>
        <w:fldChar w:fldCharType="separate"/>
      </w:r>
      <w:r>
        <w:t>- 14 -</w:t>
      </w:r>
      <w:r>
        <w:fldChar w:fldCharType="end"/>
      </w:r>
      <w:r>
        <w:fldChar w:fldCharType="end"/>
      </w:r>
    </w:p>
    <w:p>
      <w:pPr>
        <w:pStyle w:val="15"/>
        <w:ind w:firstLine="560"/>
        <w:rPr>
          <w:rFonts w:ascii="等线" w:hAnsi="等线" w:eastAsia="等线"/>
          <w:sz w:val="21"/>
        </w:rPr>
      </w:pPr>
      <w:r>
        <w:fldChar w:fldCharType="begin"/>
      </w:r>
      <w:r>
        <w:instrText xml:space="preserve"> HYPERLINK \l "_Toc81237765" </w:instrText>
      </w:r>
      <w:r>
        <w:fldChar w:fldCharType="separate"/>
      </w:r>
      <w:r>
        <w:rPr>
          <w:rStyle w:val="23"/>
        </w:rPr>
        <w:t>10.2 预案管理与修订</w:t>
      </w:r>
      <w:r>
        <w:tab/>
      </w:r>
      <w:r>
        <w:fldChar w:fldCharType="begin"/>
      </w:r>
      <w:r>
        <w:instrText xml:space="preserve"> PAGEREF _Toc81237765 \h </w:instrText>
      </w:r>
      <w:r>
        <w:fldChar w:fldCharType="separate"/>
      </w:r>
      <w:r>
        <w:t>- 15 -</w:t>
      </w:r>
      <w:r>
        <w:fldChar w:fldCharType="end"/>
      </w:r>
      <w:r>
        <w:fldChar w:fldCharType="end"/>
      </w:r>
    </w:p>
    <w:p>
      <w:pPr>
        <w:pStyle w:val="15"/>
        <w:ind w:firstLine="560"/>
        <w:rPr>
          <w:rFonts w:ascii="等线" w:hAnsi="等线" w:eastAsia="等线"/>
          <w:sz w:val="21"/>
        </w:rPr>
      </w:pPr>
      <w:r>
        <w:fldChar w:fldCharType="begin"/>
      </w:r>
      <w:r>
        <w:instrText xml:space="preserve"> HYPERLINK \l "_Toc81237766" </w:instrText>
      </w:r>
      <w:r>
        <w:fldChar w:fldCharType="separate"/>
      </w:r>
      <w:r>
        <w:rPr>
          <w:rStyle w:val="23"/>
        </w:rPr>
        <w:t>10.3 制定与解释</w:t>
      </w:r>
      <w:r>
        <w:tab/>
      </w:r>
      <w:r>
        <w:fldChar w:fldCharType="begin"/>
      </w:r>
      <w:r>
        <w:instrText xml:space="preserve"> PAGEREF _Toc81237766 \h </w:instrText>
      </w:r>
      <w:r>
        <w:fldChar w:fldCharType="separate"/>
      </w:r>
      <w:r>
        <w:t>- 15 -</w:t>
      </w:r>
      <w:r>
        <w:fldChar w:fldCharType="end"/>
      </w:r>
      <w:r>
        <w:fldChar w:fldCharType="end"/>
      </w:r>
    </w:p>
    <w:p>
      <w:pPr>
        <w:pStyle w:val="15"/>
        <w:ind w:firstLine="560"/>
        <w:rPr>
          <w:rFonts w:ascii="等线" w:hAnsi="等线" w:eastAsia="等线"/>
          <w:sz w:val="21"/>
        </w:rPr>
      </w:pPr>
      <w:r>
        <w:fldChar w:fldCharType="begin"/>
      </w:r>
      <w:r>
        <w:instrText xml:space="preserve"> HYPERLINK \l "_Toc81237767" </w:instrText>
      </w:r>
      <w:r>
        <w:fldChar w:fldCharType="separate"/>
      </w:r>
      <w:r>
        <w:rPr>
          <w:rStyle w:val="23"/>
        </w:rPr>
        <w:t>10.4 预案实施</w:t>
      </w:r>
      <w:r>
        <w:tab/>
      </w:r>
      <w:r>
        <w:fldChar w:fldCharType="begin"/>
      </w:r>
      <w:r>
        <w:instrText xml:space="preserve"> PAGEREF _Toc81237767 \h </w:instrText>
      </w:r>
      <w:r>
        <w:fldChar w:fldCharType="separate"/>
      </w:r>
      <w:r>
        <w:t>- 15 -</w:t>
      </w:r>
      <w:r>
        <w:fldChar w:fldCharType="end"/>
      </w:r>
      <w:r>
        <w:fldChar w:fldCharType="end"/>
      </w:r>
    </w:p>
    <w:p>
      <w:pPr>
        <w:pStyle w:val="14"/>
        <w:rPr>
          <w:rFonts w:ascii="等线" w:hAnsi="等线" w:eastAsia="等线"/>
          <w:b w:val="0"/>
          <w:sz w:val="21"/>
          <w:szCs w:val="22"/>
        </w:rPr>
      </w:pPr>
      <w:r>
        <w:fldChar w:fldCharType="begin"/>
      </w:r>
      <w:r>
        <w:instrText xml:space="preserve"> HYPERLINK \l "_Toc81237768" </w:instrText>
      </w:r>
      <w:r>
        <w:fldChar w:fldCharType="separate"/>
      </w:r>
      <w:r>
        <w:rPr>
          <w:rStyle w:val="23"/>
        </w:rPr>
        <w:t>11 附件</w:t>
      </w:r>
      <w:r>
        <w:tab/>
      </w:r>
      <w:r>
        <w:fldChar w:fldCharType="begin"/>
      </w:r>
      <w:r>
        <w:instrText xml:space="preserve"> PAGEREF _Toc81237768 \h </w:instrText>
      </w:r>
      <w:r>
        <w:fldChar w:fldCharType="separate"/>
      </w:r>
      <w:r>
        <w:t>- 16 -</w:t>
      </w:r>
      <w:r>
        <w:fldChar w:fldCharType="end"/>
      </w:r>
      <w:r>
        <w:fldChar w:fldCharType="end"/>
      </w:r>
    </w:p>
    <w:p>
      <w:pPr>
        <w:ind w:firstLine="560"/>
      </w:pPr>
      <w:r>
        <w:fldChar w:fldCharType="end"/>
      </w:r>
      <w:r>
        <w:rPr>
          <w:rFonts w:hint="eastAsia"/>
        </w:rPr>
        <w:t>附件</w:t>
      </w:r>
      <w:r>
        <w:t>1  武进区城镇燃气突发事件应急指挥部组织架构图</w:t>
      </w:r>
    </w:p>
    <w:p>
      <w:pPr>
        <w:ind w:firstLine="560"/>
      </w:pPr>
      <w:r>
        <w:rPr>
          <w:rFonts w:hint="eastAsia"/>
        </w:rPr>
        <w:t>附件</w:t>
      </w:r>
      <w:r>
        <w:t>2  武进区城镇燃气突发事件分级响应流程图</w:t>
      </w:r>
    </w:p>
    <w:p>
      <w:pPr>
        <w:ind w:firstLine="560"/>
      </w:pPr>
      <w:r>
        <w:rPr>
          <w:rFonts w:hint="eastAsia"/>
        </w:rPr>
        <w:t>附件3  武进区应急物资装备储备</w:t>
      </w:r>
    </w:p>
    <w:p>
      <w:pPr>
        <w:ind w:firstLine="560"/>
      </w:pPr>
      <w:r>
        <w:rPr>
          <w:rFonts w:hint="eastAsia"/>
        </w:rPr>
        <w:t>附件</w:t>
      </w:r>
      <w:r>
        <w:t>4  武进区应急资源一览表</w:t>
      </w:r>
    </w:p>
    <w:p>
      <w:pPr>
        <w:ind w:firstLine="560"/>
        <w:rPr>
          <w:rFonts w:hint="eastAsia"/>
        </w:rPr>
      </w:pPr>
      <w:r>
        <w:rPr>
          <w:rFonts w:hint="eastAsia"/>
        </w:rPr>
        <w:t>附件</w:t>
      </w:r>
      <w:r>
        <w:t>5  相关机构、单位通讯联系方式</w:t>
      </w:r>
    </w:p>
    <w:p>
      <w:pPr>
        <w:ind w:firstLine="560"/>
        <w:rPr>
          <w:rFonts w:hint="eastAsia"/>
        </w:rPr>
      </w:pPr>
    </w:p>
    <w:p>
      <w:pPr>
        <w:ind w:firstLine="560"/>
        <w:sectPr>
          <w:pgSz w:w="11906" w:h="16838"/>
          <w:pgMar w:top="2098" w:right="1800" w:bottom="1440" w:left="1800" w:header="851" w:footer="992" w:gutter="0"/>
          <w:pgNumType w:fmt="upperRoman" w:start="1"/>
          <w:cols w:space="720" w:num="1" w:sep="1"/>
          <w:docGrid w:type="linesAndChars" w:linePitch="381" w:charSpace="0"/>
        </w:sectPr>
      </w:pPr>
    </w:p>
    <w:p>
      <w:pPr>
        <w:pStyle w:val="2"/>
      </w:pPr>
      <w:bookmarkStart w:id="0" w:name="_Toc81237716"/>
      <w:r>
        <w:t>总则</w:t>
      </w:r>
      <w:bookmarkEnd w:id="0"/>
    </w:p>
    <w:p>
      <w:pPr>
        <w:pStyle w:val="3"/>
        <w:ind w:firstLine="562"/>
      </w:pPr>
      <w:bookmarkStart w:id="1" w:name="_Toc81237717"/>
      <w:r>
        <w:t>编制目的</w:t>
      </w:r>
      <w:bookmarkEnd w:id="1"/>
    </w:p>
    <w:p>
      <w:pPr>
        <w:ind w:firstLine="420" w:firstLineChars="200"/>
      </w:pPr>
      <w:r>
        <w:rPr>
          <w:rFonts w:hint="eastAsia"/>
        </w:rPr>
        <w:t>为有效预防和应对武进区城镇燃气突发公共事件，最大限度地降低突发事件危害程度，尽快恢复燃气供应，保障人民生命、财产安全，制定本预案。</w:t>
      </w:r>
    </w:p>
    <w:p>
      <w:pPr>
        <w:pStyle w:val="3"/>
        <w:ind w:firstLine="562"/>
      </w:pPr>
      <w:bookmarkStart w:id="2" w:name="_Toc81237718"/>
      <w:r>
        <w:t>编制依据</w:t>
      </w:r>
      <w:bookmarkEnd w:id="2"/>
    </w:p>
    <w:p>
      <w:pPr>
        <w:pStyle w:val="4"/>
        <w:ind w:firstLine="560"/>
      </w:pPr>
      <w:r>
        <w:rPr>
          <w:rFonts w:hint="eastAsia"/>
        </w:rPr>
        <w:t>法律法规规章及</w:t>
      </w:r>
      <w:r>
        <w:t>相关</w:t>
      </w:r>
      <w:r>
        <w:rPr>
          <w:rFonts w:hint="eastAsia"/>
        </w:rPr>
        <w:t>规定</w:t>
      </w:r>
    </w:p>
    <w:p>
      <w:pPr>
        <w:numPr>
          <w:ilvl w:val="0"/>
          <w:numId w:val="2"/>
        </w:numPr>
        <w:spacing w:line="360" w:lineRule="auto"/>
        <w:ind w:left="0" w:firstLine="420" w:firstLineChars="200"/>
      </w:pPr>
      <w:r>
        <w:rPr>
          <w:rFonts w:hint="eastAsia"/>
        </w:rPr>
        <w:t>《中华人民共和国突发事件应对法》（主席令第6</w:t>
      </w:r>
      <w:r>
        <w:t>9</w:t>
      </w:r>
      <w:r>
        <w:rPr>
          <w:rFonts w:hint="eastAsia"/>
        </w:rPr>
        <w:t>号）；</w:t>
      </w:r>
    </w:p>
    <w:p>
      <w:pPr>
        <w:numPr>
          <w:ilvl w:val="0"/>
          <w:numId w:val="2"/>
        </w:numPr>
        <w:spacing w:line="360" w:lineRule="auto"/>
        <w:ind w:left="0" w:firstLine="420" w:firstLineChars="200"/>
      </w:pPr>
      <w:r>
        <w:rPr>
          <w:rFonts w:hint="eastAsia"/>
        </w:rPr>
        <w:t>《中华人民共和国安全生产法》（主席令第</w:t>
      </w:r>
      <w:r>
        <w:t>88</w:t>
      </w:r>
      <w:r>
        <w:rPr>
          <w:rFonts w:hint="eastAsia"/>
        </w:rPr>
        <w:t>号）；</w:t>
      </w:r>
    </w:p>
    <w:p>
      <w:pPr>
        <w:numPr>
          <w:ilvl w:val="0"/>
          <w:numId w:val="2"/>
        </w:numPr>
        <w:spacing w:line="360" w:lineRule="auto"/>
        <w:ind w:left="0" w:firstLine="420" w:firstLineChars="200"/>
      </w:pPr>
      <w:r>
        <w:t>《中华人民共和国石油天然气管道保护法》</w:t>
      </w:r>
      <w:r>
        <w:rPr>
          <w:rFonts w:hint="eastAsia"/>
        </w:rPr>
        <w:t>（主席令</w:t>
      </w:r>
      <w:r>
        <w:t>第30号</w:t>
      </w:r>
      <w:r>
        <w:rPr>
          <w:rFonts w:hint="eastAsia"/>
        </w:rPr>
        <w:t>）；</w:t>
      </w:r>
    </w:p>
    <w:p>
      <w:pPr>
        <w:numPr>
          <w:ilvl w:val="0"/>
          <w:numId w:val="2"/>
        </w:numPr>
        <w:spacing w:line="360" w:lineRule="auto"/>
        <w:ind w:left="0" w:firstLine="420" w:firstLineChars="200"/>
        <w:rPr>
          <w:rFonts w:hint="eastAsia"/>
        </w:rPr>
      </w:pPr>
      <w:r>
        <w:t>《中华人民共和国特种设备安全法》</w:t>
      </w:r>
      <w:r>
        <w:rPr>
          <w:rFonts w:hint="eastAsia"/>
        </w:rPr>
        <w:t>（主席令第四号）</w:t>
      </w:r>
    </w:p>
    <w:p>
      <w:pPr>
        <w:numPr>
          <w:ilvl w:val="0"/>
          <w:numId w:val="2"/>
        </w:numPr>
        <w:spacing w:line="360" w:lineRule="auto"/>
        <w:ind w:left="0" w:firstLine="420" w:firstLineChars="200"/>
      </w:pPr>
      <w:r>
        <w:rPr>
          <w:rFonts w:hint="eastAsia"/>
        </w:rPr>
        <w:t>《生产安全事故报告和调查处理条例》（国务院第</w:t>
      </w:r>
      <w:r>
        <w:t>493号令</w:t>
      </w:r>
      <w:r>
        <w:rPr>
          <w:rFonts w:hint="eastAsia"/>
        </w:rPr>
        <w:t>）；</w:t>
      </w:r>
    </w:p>
    <w:p>
      <w:pPr>
        <w:numPr>
          <w:ilvl w:val="0"/>
          <w:numId w:val="2"/>
        </w:numPr>
        <w:spacing w:line="360" w:lineRule="auto"/>
        <w:ind w:left="0" w:firstLine="420" w:firstLineChars="200"/>
      </w:pPr>
      <w:r>
        <w:rPr>
          <w:rFonts w:hint="eastAsia"/>
        </w:rPr>
        <w:t>《城镇燃气管理条例》（国务院令</w:t>
      </w:r>
      <w:r>
        <w:t>第583号</w:t>
      </w:r>
      <w:r>
        <w:rPr>
          <w:rFonts w:hint="eastAsia"/>
        </w:rPr>
        <w:t>）；</w:t>
      </w:r>
    </w:p>
    <w:p>
      <w:pPr>
        <w:numPr>
          <w:ilvl w:val="0"/>
          <w:numId w:val="2"/>
        </w:numPr>
        <w:spacing w:line="360" w:lineRule="auto"/>
        <w:ind w:left="0" w:firstLine="420" w:firstLineChars="200"/>
        <w:rPr>
          <w:rFonts w:hint="eastAsia"/>
        </w:rPr>
      </w:pPr>
      <w:r>
        <w:rPr>
          <w:rFonts w:hint="eastAsia"/>
        </w:rPr>
        <w:t>《生产安全事故应急预案管理办法》（</w:t>
      </w:r>
      <w:r>
        <w:t>2019年应急管理部令第2号）</w:t>
      </w:r>
    </w:p>
    <w:p>
      <w:pPr>
        <w:numPr>
          <w:ilvl w:val="0"/>
          <w:numId w:val="2"/>
        </w:numPr>
        <w:spacing w:line="360" w:lineRule="auto"/>
        <w:ind w:left="0" w:firstLine="420" w:firstLineChars="200"/>
      </w:pPr>
      <w:r>
        <w:rPr>
          <w:rFonts w:hint="eastAsia"/>
        </w:rPr>
        <w:t>《江苏省燃气管理条例》（2020年</w:t>
      </w:r>
      <w:r>
        <w:t>版</w:t>
      </w:r>
      <w:r>
        <w:rPr>
          <w:rFonts w:hint="eastAsia"/>
        </w:rPr>
        <w:t>）；</w:t>
      </w:r>
    </w:p>
    <w:p>
      <w:pPr>
        <w:numPr>
          <w:ilvl w:val="0"/>
          <w:numId w:val="2"/>
        </w:numPr>
        <w:spacing w:line="360" w:lineRule="auto"/>
        <w:ind w:left="0" w:firstLine="420" w:firstLineChars="200"/>
      </w:pPr>
      <w:r>
        <w:rPr>
          <w:rFonts w:hint="eastAsia"/>
        </w:rPr>
        <w:t>《江苏省突发事件应急预案管理办法》（苏政办发〔</w:t>
      </w:r>
      <w:r>
        <w:t>2012〕153号）</w:t>
      </w:r>
      <w:r>
        <w:rPr>
          <w:rFonts w:hint="eastAsia"/>
        </w:rPr>
        <w:t>；</w:t>
      </w:r>
    </w:p>
    <w:p>
      <w:pPr>
        <w:numPr>
          <w:ilvl w:val="0"/>
          <w:numId w:val="2"/>
        </w:numPr>
        <w:spacing w:line="360" w:lineRule="auto"/>
        <w:ind w:left="0" w:firstLine="420" w:firstLineChars="200"/>
      </w:pPr>
      <w:r>
        <w:rPr>
          <w:rFonts w:hint="eastAsia"/>
        </w:rPr>
        <w:t>《江苏省生产安全事故应急预案管理办法实施细则》（苏应急〔</w:t>
      </w:r>
      <w:r>
        <w:t>2020〕24号）</w:t>
      </w:r>
      <w:r>
        <w:rPr>
          <w:rFonts w:hint="eastAsia"/>
        </w:rPr>
        <w:t>；</w:t>
      </w:r>
    </w:p>
    <w:p>
      <w:pPr>
        <w:numPr>
          <w:ilvl w:val="0"/>
          <w:numId w:val="2"/>
        </w:numPr>
        <w:spacing w:line="360" w:lineRule="auto"/>
        <w:ind w:left="0" w:firstLine="420" w:firstLineChars="200"/>
        <w:rPr>
          <w:rFonts w:hint="eastAsia"/>
        </w:rPr>
      </w:pPr>
      <w:r>
        <w:rPr>
          <w:rFonts w:hint="eastAsia"/>
        </w:rPr>
        <w:t>《常州市突发事件应急预案管理办法》 常政办</w:t>
      </w:r>
      <w:r>
        <w:t>发</w:t>
      </w:r>
      <w:r>
        <w:rPr>
          <w:rFonts w:hint="eastAsia"/>
        </w:rPr>
        <w:t>〔</w:t>
      </w:r>
      <w:r>
        <w:t>2013〕20号</w:t>
      </w:r>
    </w:p>
    <w:p>
      <w:pPr>
        <w:numPr>
          <w:ilvl w:val="0"/>
          <w:numId w:val="2"/>
        </w:numPr>
        <w:spacing w:line="360" w:lineRule="auto"/>
        <w:ind w:left="0" w:firstLine="420" w:firstLineChars="200"/>
      </w:pPr>
      <w:r>
        <w:rPr>
          <w:rFonts w:hint="eastAsia"/>
        </w:rPr>
        <w:t>《突发事件应急预案编制指南》（D</w:t>
      </w:r>
      <w:r>
        <w:t>B3204/T 1007-2020</w:t>
      </w:r>
      <w:r>
        <w:rPr>
          <w:rFonts w:hint="eastAsia"/>
        </w:rPr>
        <w:t>）.</w:t>
      </w:r>
    </w:p>
    <w:p>
      <w:pPr>
        <w:pStyle w:val="4"/>
        <w:ind w:firstLine="560"/>
      </w:pPr>
      <w:r>
        <w:rPr>
          <w:rFonts w:hint="eastAsia"/>
        </w:rPr>
        <w:t>相关预案</w:t>
      </w:r>
    </w:p>
    <w:p>
      <w:pPr>
        <w:ind w:firstLine="420" w:firstLineChars="200"/>
      </w:pPr>
      <w:r>
        <w:rPr>
          <w:rFonts w:hint="eastAsia"/>
        </w:rPr>
        <w:t>（</w:t>
      </w:r>
      <w:r>
        <w:t>1）《国家突发公共事件总体应急预案》（国发〔2005〕11号）</w:t>
      </w:r>
      <w:r>
        <w:rPr>
          <w:rFonts w:hint="eastAsia"/>
        </w:rPr>
        <w:t>；</w:t>
      </w:r>
    </w:p>
    <w:p>
      <w:pPr>
        <w:ind w:firstLine="420" w:firstLineChars="200"/>
      </w:pPr>
      <w:r>
        <w:rPr>
          <w:rFonts w:hint="eastAsia"/>
        </w:rPr>
        <w:t>（</w:t>
      </w:r>
      <w:r>
        <w:t>2）《江苏省突发公共事件总体应急预案》（苏政发〔2020〕6号）</w:t>
      </w:r>
      <w:r>
        <w:rPr>
          <w:rFonts w:hint="eastAsia"/>
        </w:rPr>
        <w:t>；</w:t>
      </w:r>
    </w:p>
    <w:p>
      <w:pPr>
        <w:ind w:firstLine="420" w:firstLineChars="200"/>
      </w:pPr>
      <w:r>
        <w:rPr>
          <w:rFonts w:hint="eastAsia"/>
        </w:rPr>
        <w:t>（</w:t>
      </w:r>
      <w:r>
        <w:t>3）《江苏省重特大生产安全事故灾难应急预案》（苏政办函〔2020〕12号）</w:t>
      </w:r>
      <w:r>
        <w:rPr>
          <w:rFonts w:hint="eastAsia"/>
        </w:rPr>
        <w:t>；</w:t>
      </w:r>
    </w:p>
    <w:p>
      <w:pPr>
        <w:ind w:firstLine="420" w:firstLineChars="200"/>
        <w:rPr>
          <w:rFonts w:hint="eastAsia"/>
        </w:rPr>
      </w:pPr>
      <w:r>
        <w:rPr>
          <w:rFonts w:hint="eastAsia"/>
        </w:rPr>
        <w:t>（</w:t>
      </w:r>
      <w:r>
        <w:t>4）《江苏省住房和城乡建设厅城市燃气重大事故应急预案》（苏建办〔2014〕733号）</w:t>
      </w:r>
      <w:r>
        <w:rPr>
          <w:rFonts w:hint="eastAsia"/>
        </w:rPr>
        <w:t>；</w:t>
      </w:r>
    </w:p>
    <w:p>
      <w:pPr>
        <w:ind w:firstLine="420" w:firstLineChars="200"/>
      </w:pPr>
      <w:r>
        <w:rPr>
          <w:rFonts w:hint="eastAsia"/>
        </w:rPr>
        <w:t>（5）《常州市突发事件总体应急预案》（2020年6月）。</w:t>
      </w:r>
    </w:p>
    <w:p>
      <w:pPr>
        <w:pStyle w:val="3"/>
        <w:ind w:firstLine="562"/>
      </w:pPr>
      <w:bookmarkStart w:id="3" w:name="_Toc81237719"/>
      <w:r>
        <w:t>工作原则</w:t>
      </w:r>
      <w:bookmarkEnd w:id="3"/>
    </w:p>
    <w:p>
      <w:pPr>
        <w:ind w:firstLine="420" w:firstLineChars="200"/>
      </w:pPr>
      <w:r>
        <w:rPr>
          <w:rFonts w:hint="eastAsia"/>
        </w:rPr>
        <w:t>以人为本、减少危害；统一领导、分级负责；预防为主、防救结合；快速反应、专业处置；公开透明、正确引导。</w:t>
      </w:r>
    </w:p>
    <w:p>
      <w:pPr>
        <w:pStyle w:val="3"/>
        <w:ind w:firstLine="562"/>
      </w:pPr>
      <w:bookmarkStart w:id="4" w:name="_Toc81237720"/>
      <w:r>
        <w:t>适用范围</w:t>
      </w:r>
      <w:bookmarkEnd w:id="4"/>
    </w:p>
    <w:p>
      <w:pPr>
        <w:ind w:firstLine="420" w:firstLineChars="200"/>
      </w:pPr>
      <w:r>
        <w:rPr>
          <w:rFonts w:hint="eastAsia"/>
        </w:rPr>
        <w:t>本预案适用于在武进区行政辖区内城镇燃气突发事件的预防报警、应急处置、恢复与重建、应急保障、培训与演练及监督管理等活动。</w:t>
      </w:r>
    </w:p>
    <w:p>
      <w:pPr>
        <w:ind w:firstLine="420" w:firstLineChars="200"/>
      </w:pPr>
      <w:r>
        <w:rPr>
          <w:rFonts w:hint="eastAsia"/>
        </w:rPr>
        <w:t>其中燃气突发事故主要包括：</w:t>
      </w:r>
    </w:p>
    <w:p>
      <w:pPr>
        <w:spacing w:line="360" w:lineRule="auto"/>
        <w:ind w:firstLine="420" w:firstLineChars="200"/>
      </w:pPr>
      <w:r>
        <w:t>（</w:t>
      </w:r>
      <w:r>
        <w:rPr>
          <w:rFonts w:hint="eastAsia"/>
        </w:rPr>
        <w:t>1）</w:t>
      </w:r>
      <w:r>
        <w:t>地震、洪灾、滑坡、泥石流、雷击等自然灾害导致生产、气源输送受阻、天然气上游、中游、下游各管输气场站、LNG气源站、LPG灌装站毁损影响大面积区域供气；</w:t>
      </w:r>
    </w:p>
    <w:p>
      <w:pPr>
        <w:spacing w:line="360" w:lineRule="auto"/>
        <w:ind w:firstLine="420" w:firstLineChars="200"/>
      </w:pPr>
      <w:r>
        <w:rPr>
          <w:rFonts w:hint="eastAsia"/>
        </w:rPr>
        <w:t>（2）</w:t>
      </w:r>
      <w:r>
        <w:t>气源、供气设施设备以及辅助设施等倒塌、严重泄漏、人员中毒、火灾、爆炸；</w:t>
      </w:r>
    </w:p>
    <w:p>
      <w:pPr>
        <w:spacing w:line="360" w:lineRule="auto"/>
        <w:ind w:firstLine="420" w:firstLineChars="200"/>
      </w:pPr>
      <w:r>
        <w:rPr>
          <w:rFonts w:hint="eastAsia"/>
        </w:rPr>
        <w:t>（3）</w:t>
      </w:r>
      <w:r>
        <w:t>主要供气和输配气系统管网发生干管断裂或导致发生严重泄漏、人员中毒、火灾、爆炸；</w:t>
      </w:r>
    </w:p>
    <w:p>
      <w:pPr>
        <w:spacing w:line="360" w:lineRule="auto"/>
        <w:ind w:firstLine="420" w:firstLineChars="200"/>
      </w:pPr>
      <w:r>
        <w:rPr>
          <w:rFonts w:hint="eastAsia"/>
        </w:rPr>
        <w:t>（4）</w:t>
      </w:r>
      <w:r>
        <w:t>调度、自控、营业等计算机系统遭受入侵、失控、毁坏；</w:t>
      </w:r>
    </w:p>
    <w:p>
      <w:pPr>
        <w:spacing w:line="360" w:lineRule="auto"/>
        <w:ind w:firstLine="420" w:firstLineChars="200"/>
      </w:pPr>
      <w:r>
        <w:rPr>
          <w:rFonts w:hint="eastAsia"/>
        </w:rPr>
        <w:t>（5）</w:t>
      </w:r>
      <w:r>
        <w:t>战争、破坏、恐怖活动等突发事件导致燃气停止供应或发生上列事件情况。</w:t>
      </w:r>
    </w:p>
    <w:p>
      <w:pPr>
        <w:pStyle w:val="2"/>
      </w:pPr>
      <w:bookmarkStart w:id="5" w:name="_Toc81237721"/>
      <w:r>
        <w:t>事故分级及标准</w:t>
      </w:r>
      <w:bookmarkEnd w:id="5"/>
    </w:p>
    <w:p>
      <w:pPr>
        <w:ind w:firstLine="420" w:firstLineChars="200"/>
      </w:pPr>
      <w:r>
        <w:rPr>
          <w:rFonts w:hint="eastAsia"/>
        </w:rPr>
        <w:t>在城镇燃气生产、储存、输配、使用等过程中，发生城镇燃气泄漏、火灾、爆炸、大面积停气等城镇燃气突发事件，按照其性质、严重程度、可控性和影响范围等因素从低到高分为四级：Ⅰ级（特别重大）、Ⅱ级（重大）、Ⅲ级（较大）、Ⅳ级（一般）。</w:t>
      </w:r>
    </w:p>
    <w:p>
      <w:pPr>
        <w:ind w:firstLine="420" w:firstLineChars="200"/>
      </w:pPr>
      <w:r>
        <w:rPr>
          <w:rFonts w:hint="eastAsia"/>
        </w:rPr>
        <w:t>（</w:t>
      </w:r>
      <w:r>
        <w:t>1）特别重大事故（</w:t>
      </w:r>
      <w:r>
        <w:rPr>
          <w:rFonts w:hint="eastAsia" w:ascii="宋体" w:hAnsi="宋体" w:cs="宋体"/>
        </w:rPr>
        <w:t>Ⅰ</w:t>
      </w:r>
      <w:r>
        <w:t>级）：燃气新建、改建、扩建和运行过程中，发生造成30人以上死亡，或者100人以上重伤（包括急性工业中毒，下同），或者1亿元以上直接经济损失的事故，及发生5万户以上（含5万户）居民连续停止供气24小时以上的事故。</w:t>
      </w:r>
    </w:p>
    <w:p>
      <w:pPr>
        <w:ind w:firstLine="420" w:firstLineChars="200"/>
      </w:pPr>
      <w:r>
        <w:rPr>
          <w:rFonts w:hint="eastAsia"/>
        </w:rPr>
        <w:t>（</w:t>
      </w:r>
      <w:r>
        <w:t>2）重大事故（</w:t>
      </w:r>
      <w:r>
        <w:rPr>
          <w:rFonts w:hint="eastAsia" w:ascii="宋体" w:hAnsi="宋体" w:cs="宋体"/>
        </w:rPr>
        <w:t>Ⅱ</w:t>
      </w:r>
      <w:r>
        <w:t>级）：燃气新建、改建、扩建和运行过程中，发生10人以上30人以下死亡，或者50人（含）以上100人以下重伤，或者5000万元以上1亿元以下直接经济损失的事故，及发生3万户以上（含3万户）5万户以下（不含5万户）居民连续停止供气24小时以上的事故。</w:t>
      </w:r>
    </w:p>
    <w:p>
      <w:pPr>
        <w:ind w:firstLine="420" w:firstLineChars="200"/>
      </w:pPr>
      <w:r>
        <w:rPr>
          <w:rFonts w:hint="eastAsia"/>
        </w:rPr>
        <w:t>（</w:t>
      </w:r>
      <w:r>
        <w:t>3）较大事故（</w:t>
      </w:r>
      <w:r>
        <w:rPr>
          <w:rFonts w:hint="eastAsia" w:ascii="宋体" w:hAnsi="宋体" w:cs="宋体"/>
        </w:rPr>
        <w:t>Ⅲ</w:t>
      </w:r>
      <w:r>
        <w:t>级）：燃气新建、改建、扩建和运行过程中，发生3人以上10人（含）以下死亡，或者10人以上50人以下重伤，或者1000万元以上5000万元以下直接经济损失的事故，及发生1万户以上（含1万户）3万户以下（不含3万户）居民连续停止供气24小时以上的事故。</w:t>
      </w:r>
    </w:p>
    <w:p>
      <w:pPr>
        <w:ind w:firstLine="420" w:firstLineChars="200"/>
      </w:pPr>
      <w:r>
        <w:rPr>
          <w:rFonts w:hint="eastAsia"/>
        </w:rPr>
        <w:t>（</w:t>
      </w:r>
      <w:r>
        <w:t>4）一般事故（</w:t>
      </w:r>
      <w:r>
        <w:rPr>
          <w:rFonts w:hint="eastAsia" w:ascii="宋体" w:hAnsi="宋体" w:cs="宋体"/>
        </w:rPr>
        <w:t>Ⅳ</w:t>
      </w:r>
      <w:r>
        <w:t>级）：燃气新建、改建、扩建和运行过程中，发生3人（含）以下死亡，或者10人以下重伤，或者1000万元以下直接经济损失的事故，及发生5千户以上（含5千户）1万户以下（不含1万户）居民连续停止供气24小时以上的事故。</w:t>
      </w:r>
    </w:p>
    <w:p>
      <w:pPr>
        <w:pStyle w:val="2"/>
      </w:pPr>
      <w:bookmarkStart w:id="6" w:name="_Toc81237722"/>
      <w:r>
        <w:t>组织指挥体系及职责</w:t>
      </w:r>
      <w:bookmarkEnd w:id="6"/>
    </w:p>
    <w:p>
      <w:pPr>
        <w:ind w:firstLine="420" w:firstLineChars="200"/>
      </w:pPr>
      <w:r>
        <w:rPr>
          <w:rFonts w:hint="eastAsia"/>
        </w:rPr>
        <w:t>全区城镇燃气突发公共事件应急组织机构由武进区城镇燃气突发事件应急指挥部、应急指挥部办公室、现场指挥部组成。</w:t>
      </w:r>
    </w:p>
    <w:p>
      <w:pPr>
        <w:pStyle w:val="3"/>
        <w:ind w:firstLine="562"/>
      </w:pPr>
      <w:bookmarkStart w:id="7" w:name="_Toc81237723"/>
      <w:r>
        <w:t>区城镇燃气突发事件应急指挥部</w:t>
      </w:r>
      <w:bookmarkEnd w:id="7"/>
    </w:p>
    <w:p>
      <w:pPr>
        <w:pStyle w:val="4"/>
        <w:ind w:firstLine="560"/>
      </w:pPr>
      <w:r>
        <w:t>武进区城镇燃气突发事件应急指挥部组成（以下简称“区城镇燃气应急指挥部”）</w:t>
      </w:r>
    </w:p>
    <w:p>
      <w:pPr>
        <w:ind w:firstLine="420" w:firstLineChars="200"/>
      </w:pPr>
      <w:r>
        <w:rPr>
          <w:rFonts w:hint="eastAsia"/>
        </w:rPr>
        <w:t>总指挥：武进区人民政府分管副区长</w:t>
      </w:r>
    </w:p>
    <w:p>
      <w:pPr>
        <w:ind w:firstLine="420" w:firstLineChars="200"/>
      </w:pPr>
      <w:r>
        <w:rPr>
          <w:rFonts w:hint="eastAsia"/>
        </w:rPr>
        <w:t>副总指挥：武进区政府办公室分管副主任、区住建局局长</w:t>
      </w:r>
    </w:p>
    <w:p>
      <w:pPr>
        <w:ind w:firstLine="420" w:firstLineChars="200"/>
      </w:pPr>
      <w:r>
        <w:rPr>
          <w:rFonts w:hint="eastAsia"/>
        </w:rPr>
        <w:t>成员：区住建局、区应急管理局、区发改局、区交通局、区委宣传部、区生态环境局、区城市管理局、区卫健局、区公安局、区财政局、区水利局、区消防大队、区市场监督局、区民政局、区供电公司、区电信公司等有关部门及各镇（街道）政府分管领导。</w:t>
      </w:r>
    </w:p>
    <w:p>
      <w:pPr>
        <w:pStyle w:val="4"/>
        <w:ind w:firstLine="560"/>
      </w:pPr>
      <w:r>
        <w:t>区城镇燃气突发事件应急指挥部主要职责</w:t>
      </w:r>
    </w:p>
    <w:p>
      <w:pPr>
        <w:ind w:firstLine="420" w:firstLineChars="200"/>
      </w:pPr>
      <w:r>
        <w:t>1、贯彻落实突发燃气事件应对法律法规，分析、研究燃气突发事件防范与处置工作，重大问题及重要决策事项；</w:t>
      </w:r>
    </w:p>
    <w:p>
      <w:pPr>
        <w:ind w:firstLine="420" w:firstLineChars="200"/>
      </w:pPr>
      <w:r>
        <w:t>2、组织指挥全区较大突发燃气事件应急处置，负责重大、特别重大突发事件的先期处置，必要时请求市住房和城乡建设局等部门给予支持；</w:t>
      </w:r>
    </w:p>
    <w:p>
      <w:pPr>
        <w:ind w:firstLine="420" w:firstLineChars="200"/>
      </w:pPr>
      <w:r>
        <w:t>3、负责区城镇燃气应急指挥部所属应急救援队伍、应急物资的建设管理及应急管理宣教培训工作；</w:t>
      </w:r>
    </w:p>
    <w:p>
      <w:pPr>
        <w:ind w:firstLine="420" w:firstLineChars="200"/>
      </w:pPr>
      <w:r>
        <w:t>4、负责重大燃气事故应急处置的新闻发布；</w:t>
      </w:r>
    </w:p>
    <w:p>
      <w:pPr>
        <w:ind w:firstLine="420" w:firstLineChars="200"/>
      </w:pPr>
      <w:r>
        <w:t>5、指导区政府、有关部门（单位）做好城镇燃气一般突发事件的应对处置工作；</w:t>
      </w:r>
    </w:p>
    <w:p>
      <w:pPr>
        <w:ind w:firstLine="420" w:firstLineChars="200"/>
      </w:pPr>
      <w:r>
        <w:t>6、承担市（区）人民政府办的其他应急处置事项。</w:t>
      </w:r>
    </w:p>
    <w:p>
      <w:pPr>
        <w:pStyle w:val="3"/>
        <w:ind w:firstLine="562"/>
      </w:pPr>
      <w:bookmarkStart w:id="8" w:name="_Toc81237724"/>
      <w:r>
        <w:t>指挥部办公室</w:t>
      </w:r>
      <w:bookmarkEnd w:id="8"/>
    </w:p>
    <w:p>
      <w:pPr>
        <w:pStyle w:val="4"/>
        <w:ind w:firstLine="560"/>
      </w:pPr>
      <w:r>
        <w:t>区城镇燃气突发事件应急指挥部办公室组成（以下简称“区城镇燃气应急指挥办公室”）</w:t>
      </w:r>
    </w:p>
    <w:p>
      <w:pPr>
        <w:ind w:firstLine="420" w:firstLineChars="200"/>
      </w:pPr>
      <w:r>
        <w:rPr>
          <w:rFonts w:hint="eastAsia"/>
        </w:rPr>
        <w:t>区城镇燃气突发事件应急指挥部下设办公室在区住建局，办公室主任由区住建局局长兼任，副主任由区住建局分管城镇燃气的副局长担任，成员由区城镇燃气突发事件应急指挥部成员单位相关业务机构负责人组成。</w:t>
      </w:r>
    </w:p>
    <w:p>
      <w:pPr>
        <w:pStyle w:val="4"/>
        <w:ind w:firstLine="560"/>
      </w:pPr>
      <w:r>
        <w:t>区城镇燃气突发事件应急指挥办公室的主要职责：</w:t>
      </w:r>
    </w:p>
    <w:p>
      <w:pPr>
        <w:ind w:firstLine="420" w:firstLineChars="200"/>
      </w:pPr>
      <w:r>
        <w:t>1、负责组织落实区城镇燃气突发事件应急指挥部决定；</w:t>
      </w:r>
    </w:p>
    <w:p>
      <w:pPr>
        <w:ind w:firstLine="420" w:firstLineChars="200"/>
      </w:pPr>
      <w:r>
        <w:t>2、组织、协调有关单位按照预案和职责开展突发事件应急处置工作；</w:t>
      </w:r>
    </w:p>
    <w:p>
      <w:pPr>
        <w:ind w:firstLine="420" w:firstLineChars="200"/>
      </w:pPr>
      <w:r>
        <w:t>3、负责区级燃气应急预案的编制、修订、演练与实施；</w:t>
      </w:r>
    </w:p>
    <w:p>
      <w:pPr>
        <w:ind w:firstLine="420" w:firstLineChars="200"/>
      </w:pPr>
      <w:r>
        <w:t>4、建立燃气突发事件监测预警、信息收集制度，统一接收、处理、统计和分析燃气突发事件信息，及时核实与研判信息，按规定报告信息；</w:t>
      </w:r>
    </w:p>
    <w:p>
      <w:pPr>
        <w:ind w:firstLine="420" w:firstLineChars="200"/>
      </w:pPr>
      <w:r>
        <w:t>5、负责组织燃气突发事件的信息发布和舆情引导工作；</w:t>
      </w:r>
    </w:p>
    <w:p>
      <w:pPr>
        <w:ind w:firstLine="420" w:firstLineChars="200"/>
      </w:pPr>
      <w:r>
        <w:t>6、负责燃气应急专家组的日常管理和联系工作；</w:t>
      </w:r>
    </w:p>
    <w:p>
      <w:pPr>
        <w:ind w:firstLine="420" w:firstLineChars="200"/>
      </w:pPr>
      <w:r>
        <w:t>7、配合区政府及其部门做好一般燃气突发事件的应对处置工作。</w:t>
      </w:r>
    </w:p>
    <w:p>
      <w:pPr>
        <w:pStyle w:val="4"/>
        <w:ind w:firstLine="560"/>
      </w:pPr>
      <w:r>
        <w:t>成员单位职责</w:t>
      </w:r>
    </w:p>
    <w:p>
      <w:pPr>
        <w:ind w:firstLine="420" w:firstLineChars="200"/>
      </w:pPr>
      <w:r>
        <w:rPr>
          <w:rFonts w:hint="eastAsia"/>
        </w:rPr>
        <w:t>区住房城乡建设局：统筹城镇燃气企业专业应急物资、装备的储备和调用；负责建立健全城镇燃气突发事件应急抢险专家库和专业抢险队伍联络网络；在突发城镇燃气事件时，负责协调城镇燃气专业抢险救援队伍做好城镇燃气突发事件的应急抢险救援工作；</w:t>
      </w:r>
    </w:p>
    <w:p>
      <w:pPr>
        <w:ind w:firstLine="420" w:firstLineChars="200"/>
      </w:pPr>
      <w:r>
        <w:rPr>
          <w:rFonts w:hint="eastAsia"/>
        </w:rPr>
        <w:t>区应急管理局：协助总指挥做好城镇燃气突发事件的应急处置与救援的综合协调和指挥；协助实施燃气突发事件衍生、次生的火灾、爆炸等灾害的险情控制、消防救援工作；协调区政府做好受灾群众安置、视情组织救灾捐赠、管理分配救灾款物及其监督使用；组织或参与燃气生产安全事故的调查处理工作；</w:t>
      </w:r>
    </w:p>
    <w:p>
      <w:pPr>
        <w:ind w:firstLine="420" w:firstLineChars="200"/>
      </w:pPr>
      <w:r>
        <w:rPr>
          <w:rFonts w:hint="eastAsia"/>
        </w:rPr>
        <w:t>区发改局</w:t>
      </w:r>
      <w:r>
        <w:t>：</w:t>
      </w:r>
      <w:r>
        <w:rPr>
          <w:rFonts w:hint="eastAsia"/>
        </w:rPr>
        <w:t>负责对全区燃气市场价格进行监测，维护市场价格稳定工作，负责组织协调上游气源供应保障工作；</w:t>
      </w:r>
    </w:p>
    <w:p>
      <w:pPr>
        <w:ind w:firstLine="420" w:firstLineChars="200"/>
      </w:pPr>
      <w:r>
        <w:rPr>
          <w:rFonts w:hint="eastAsia"/>
        </w:rPr>
        <w:t>区交通局：负责协调公交企业，调整燃气突发事件影响区域的公交、地铁线路，保障人员疏散所需车辆，对受损公路抢修恢复；</w:t>
      </w:r>
    </w:p>
    <w:p>
      <w:pPr>
        <w:ind w:firstLine="420" w:firstLineChars="200"/>
      </w:pPr>
      <w:r>
        <w:rPr>
          <w:rFonts w:hint="eastAsia"/>
        </w:rPr>
        <w:t>区委宣传部：负责指导、协调燃气突发事件有关新闻报道和现场新闻发布会；引导社会舆论，确保信息发布的一致性和准确性；</w:t>
      </w:r>
    </w:p>
    <w:p>
      <w:pPr>
        <w:ind w:firstLine="420" w:firstLineChars="200"/>
      </w:pPr>
      <w:r>
        <w:rPr>
          <w:rFonts w:hint="eastAsia"/>
        </w:rPr>
        <w:t>区生态环境局：负责事故现场环境监测、环境保护和环境损害评估工作；</w:t>
      </w:r>
    </w:p>
    <w:p>
      <w:pPr>
        <w:ind w:firstLine="420" w:firstLineChars="200"/>
      </w:pPr>
      <w:r>
        <w:rPr>
          <w:rFonts w:hint="eastAsia"/>
        </w:rPr>
        <w:t>区城市管理局：负责</w:t>
      </w:r>
      <w:r>
        <w:t>配合</w:t>
      </w:r>
      <w:r>
        <w:rPr>
          <w:rFonts w:hint="eastAsia"/>
        </w:rPr>
        <w:t>做好</w:t>
      </w:r>
      <w:r>
        <w:t>处置燃气突发</w:t>
      </w:r>
      <w:r>
        <w:rPr>
          <w:rFonts w:hint="eastAsia"/>
        </w:rPr>
        <w:t>公共事件</w:t>
      </w:r>
      <w:r>
        <w:t>过程中</w:t>
      </w:r>
      <w:r>
        <w:rPr>
          <w:rFonts w:hint="eastAsia"/>
        </w:rPr>
        <w:t>相关</w:t>
      </w:r>
      <w:r>
        <w:t>的城市管理工作</w:t>
      </w:r>
      <w:r>
        <w:rPr>
          <w:rFonts w:hint="eastAsia"/>
        </w:rPr>
        <w:t>；</w:t>
      </w:r>
    </w:p>
    <w:p>
      <w:pPr>
        <w:ind w:firstLine="420" w:firstLineChars="200"/>
      </w:pPr>
      <w:r>
        <w:rPr>
          <w:rFonts w:hint="eastAsia"/>
        </w:rPr>
        <w:t>区卫健局：负责及时组织医疗救治及相关疾病预防控制工作，负责统计救治伤员的伤亡情况；负责组织现场人员的健康风险评估工作；协助做好救治伤员的信息报告工作；</w:t>
      </w:r>
    </w:p>
    <w:p>
      <w:pPr>
        <w:ind w:firstLine="420" w:firstLineChars="200"/>
      </w:pPr>
      <w:r>
        <w:rPr>
          <w:rFonts w:hint="eastAsia"/>
        </w:rPr>
        <w:t>区公安局：负责维护燃气突发事件现场及周边区域的社会治安秩序及道路交通管理秩序，必要时可以依法实施交通管制；对已死亡人员进行身份核查、验证等工作；</w:t>
      </w:r>
    </w:p>
    <w:p>
      <w:pPr>
        <w:ind w:firstLine="420" w:firstLineChars="200"/>
      </w:pPr>
      <w:r>
        <w:rPr>
          <w:rFonts w:hint="eastAsia"/>
        </w:rPr>
        <w:t>区财政局：负责燃气突发事件应急保障资金的落实及使用监管和评估；</w:t>
      </w:r>
    </w:p>
    <w:p>
      <w:pPr>
        <w:ind w:firstLine="420" w:firstLineChars="200"/>
      </w:pPr>
      <w:r>
        <w:rPr>
          <w:rFonts w:hint="eastAsia"/>
        </w:rPr>
        <w:t>区水利局：负责组织抢修与恢复在城镇燃气突发事件中有关水利设施的抢险工作；</w:t>
      </w:r>
    </w:p>
    <w:p>
      <w:pPr>
        <w:ind w:firstLine="420" w:firstLineChars="200"/>
      </w:pPr>
      <w:r>
        <w:rPr>
          <w:rFonts w:hint="eastAsia"/>
        </w:rPr>
        <w:t>区消防大队：负责现场灭火抢险工作，</w:t>
      </w:r>
      <w:r>
        <w:t>配合城镇燃气专业抢险队伍进行现场应急抢险工作</w:t>
      </w:r>
      <w:r>
        <w:rPr>
          <w:rFonts w:hint="eastAsia"/>
        </w:rPr>
        <w:t>；</w:t>
      </w:r>
    </w:p>
    <w:p>
      <w:pPr>
        <w:ind w:firstLine="420" w:firstLineChars="200"/>
      </w:pPr>
      <w:r>
        <w:rPr>
          <w:rFonts w:hint="eastAsia"/>
        </w:rPr>
        <w:t>区市场监督局：负责燃气设施中特种设备充装的监督检查，指导、协调燃气突发事件中特种设备的抢险与处置；</w:t>
      </w:r>
    </w:p>
    <w:p>
      <w:pPr>
        <w:ind w:firstLine="420" w:firstLineChars="200"/>
      </w:pPr>
      <w:r>
        <w:rPr>
          <w:rFonts w:hint="eastAsia"/>
        </w:rPr>
        <w:t>区民政局：负责受灾群众转移安置救助工作，保障受灾群众基本生活；</w:t>
      </w:r>
    </w:p>
    <w:p>
      <w:pPr>
        <w:ind w:firstLine="420" w:firstLineChars="200"/>
      </w:pPr>
      <w:r>
        <w:rPr>
          <w:rFonts w:hint="eastAsia"/>
        </w:rPr>
        <w:t>区供电公司：负责燃气突发事件影响区域电力设施应急处置；负责燃气突发事件应急处置相关的供电保障工作；</w:t>
      </w:r>
    </w:p>
    <w:p>
      <w:pPr>
        <w:ind w:firstLine="420" w:firstLineChars="200"/>
      </w:pPr>
      <w:r>
        <w:rPr>
          <w:rFonts w:hint="eastAsia"/>
        </w:rPr>
        <w:t>区电信公司：负责组织协调通信运营企业做好应急通信保障等工作；</w:t>
      </w:r>
    </w:p>
    <w:p>
      <w:pPr>
        <w:ind w:firstLine="420" w:firstLineChars="200"/>
      </w:pPr>
      <w:r>
        <w:rPr>
          <w:rFonts w:hint="eastAsia"/>
        </w:rPr>
        <w:t>各镇（街道）政府：负责受影响区域人员通知、疏散转移、安抚劝导，救助安置等工作，做好房屋修缮、受损财产调查登记等燃气突发事件善后工作；负责现场应急处置后勤保障工作；协助燃气经营企业恢复供气工作；会同燃气企业做好较大及以上燃气突发事件的先期处置。</w:t>
      </w:r>
    </w:p>
    <w:p>
      <w:pPr>
        <w:pStyle w:val="3"/>
        <w:ind w:firstLine="562"/>
      </w:pPr>
      <w:bookmarkStart w:id="9" w:name="_Toc81237725"/>
      <w:r>
        <w:t>现场指挥部</w:t>
      </w:r>
      <w:bookmarkEnd w:id="9"/>
    </w:p>
    <w:p>
      <w:pPr>
        <w:pStyle w:val="4"/>
        <w:ind w:firstLine="560"/>
      </w:pPr>
      <w:r>
        <w:t>现场指挥部组成</w:t>
      </w:r>
    </w:p>
    <w:p>
      <w:pPr>
        <w:ind w:firstLine="420" w:firstLineChars="200"/>
      </w:pPr>
      <w:r>
        <w:rPr>
          <w:rFonts w:hint="eastAsia"/>
        </w:rPr>
        <w:t>城镇燃气突发事件发生后，区城镇燃气应急指挥部根据现场具体情况，决定是否成立由相关部门（单位）组成的应急处置现场指挥部（以下简称“现场指挥部”）。现场指挥部设置</w:t>
      </w:r>
      <w:r>
        <w:t>1名现场指挥，实行现场指挥负责制。现场指挥有权决定现场处置方案，指挥调度现场应急救援队伍和应急资源。</w:t>
      </w:r>
    </w:p>
    <w:p>
      <w:pPr>
        <w:ind w:firstLine="420" w:firstLineChars="200"/>
      </w:pPr>
      <w:r>
        <w:rPr>
          <w:rFonts w:hint="eastAsia"/>
        </w:rPr>
        <w:t>现场指挥由区城镇燃气突发事件应急指挥部总指挥或者其指定的人员兼任，负责召集各参与处置、救援单位的现场负责人，明确各单位的职责分工，负责指挥、协调现场应急处置工作。</w:t>
      </w:r>
    </w:p>
    <w:p>
      <w:pPr>
        <w:ind w:firstLine="420" w:firstLineChars="200"/>
      </w:pPr>
      <w:r>
        <w:rPr>
          <w:rFonts w:hint="eastAsia"/>
        </w:rPr>
        <w:t>现场指挥部根据现场应急处置需要可以设立综合协调组、抢险救援组、交通治安组、后勤保障组、宣传报道组、医疗救护组、事件调查组、专家组等应急工作组。</w:t>
      </w:r>
    </w:p>
    <w:p>
      <w:pPr>
        <w:pStyle w:val="4"/>
        <w:ind w:firstLine="560"/>
      </w:pPr>
      <w:r>
        <w:t>现场指挥部职责</w:t>
      </w:r>
    </w:p>
    <w:p>
      <w:pPr>
        <w:ind w:firstLine="420" w:firstLineChars="200"/>
      </w:pPr>
      <w:r>
        <w:t>1、执行上级下达的城镇燃气突发事件应急处置任务，指挥、协调现场的应急处置和救援工作，防止事态蔓延和扩大；</w:t>
      </w:r>
    </w:p>
    <w:p>
      <w:pPr>
        <w:ind w:firstLine="420" w:firstLineChars="200"/>
      </w:pPr>
      <w:r>
        <w:t>2、协调相关成员（处置）单位，确定应急处置具体措施，制定处置、救援工作方案；</w:t>
      </w:r>
    </w:p>
    <w:p>
      <w:pPr>
        <w:ind w:firstLine="420" w:firstLineChars="200"/>
      </w:pPr>
      <w:r>
        <w:t>3、负责协调有关单位组织调配处置、救援力量，解决处置、救援当中遇到的实际问题；</w:t>
      </w:r>
    </w:p>
    <w:p>
      <w:pPr>
        <w:ind w:firstLine="420" w:firstLineChars="200"/>
      </w:pPr>
      <w:r>
        <w:t>4、组织划定救援现场的警戒范围，维护现场治安和交通秩序，疏散转移可能受影响人员，开展现场医疗救护和疫情防控，并组织应急处置信息发布及现场维护社会稳定等工作；</w:t>
      </w:r>
    </w:p>
    <w:p>
      <w:pPr>
        <w:ind w:firstLine="420" w:firstLineChars="200"/>
      </w:pPr>
      <w:r>
        <w:t>5、负责及时向区城镇燃气突发事件应急指挥部报告突发事件现场应急处置、救援情况；</w:t>
      </w:r>
    </w:p>
    <w:p>
      <w:pPr>
        <w:ind w:firstLine="420" w:firstLineChars="200"/>
      </w:pPr>
      <w:r>
        <w:t>6、区城镇燃气突发事件应急指挥部交办的其他应急处置工作。</w:t>
      </w:r>
    </w:p>
    <w:p>
      <w:pPr>
        <w:pStyle w:val="4"/>
        <w:ind w:firstLine="560"/>
      </w:pPr>
      <w:r>
        <w:t>应急工作组职责</w:t>
      </w:r>
    </w:p>
    <w:p>
      <w:pPr>
        <w:ind w:firstLine="420" w:firstLineChars="200"/>
      </w:pPr>
      <w:r>
        <w:rPr>
          <w:rFonts w:hint="eastAsia"/>
        </w:rPr>
        <w:t>（</w:t>
      </w:r>
      <w:r>
        <w:t>1）综合协调组：由</w:t>
      </w:r>
      <w:r>
        <w:rPr>
          <w:rFonts w:hint="eastAsia"/>
        </w:rPr>
        <w:t>区政府办、区住</w:t>
      </w:r>
      <w:r>
        <w:t>房和城乡建设局</w:t>
      </w:r>
      <w:r>
        <w:rPr>
          <w:rFonts w:hint="eastAsia"/>
        </w:rPr>
        <w:t>牵头，</w:t>
      </w:r>
      <w:r>
        <w:t>现场指挥部抽调有关部门工作人员组成。负责综合协调、公文运转、会议组织、会议纪要、信息简报、综合文字，资料收集归档，处置信息调度、汇总、上报，与上级工作组及其他专业组的协调联络等工作。</w:t>
      </w:r>
    </w:p>
    <w:p>
      <w:pPr>
        <w:ind w:firstLine="420" w:firstLineChars="200"/>
      </w:pPr>
      <w:r>
        <w:rPr>
          <w:rFonts w:hint="eastAsia"/>
        </w:rPr>
        <w:t>（</w:t>
      </w:r>
      <w:r>
        <w:t>2）抢险救援组：由区住房和城乡建设局牵头，根据实际情况组织区公安局、区应急管理局、区卫健局局、区生态环境局、区消防救援大队、区供电公司、事件发生地政府及其他相关部门、单位参加。根据燃气突发事件现场情况和现场指挥部的指示，制定应急处置具体措施，按照预案和事件处置规程要求迅速组织力量、设备和物资开展应急处置和救援等工作。</w:t>
      </w:r>
    </w:p>
    <w:p>
      <w:pPr>
        <w:ind w:firstLine="420" w:firstLineChars="200"/>
      </w:pPr>
      <w:r>
        <w:rPr>
          <w:rFonts w:hint="eastAsia"/>
        </w:rPr>
        <w:t>（</w:t>
      </w:r>
      <w:r>
        <w:t>3）交通治安组：由区公安局牵头，事件发生地政府以及相关部门、单位参加。负责事件现场警戒、交通管控，社会面管控及秩序维持，对死亡人员进行身份检查、验证等工作。</w:t>
      </w:r>
    </w:p>
    <w:p>
      <w:pPr>
        <w:ind w:firstLine="420" w:firstLineChars="200"/>
      </w:pPr>
      <w:r>
        <w:rPr>
          <w:rFonts w:hint="eastAsia"/>
        </w:rPr>
        <w:t>（</w:t>
      </w:r>
      <w:r>
        <w:t>4）后勤保障组：事发地政府牵头，区应急管理局、区财政局、区住房和城乡建设局、区交通运输局、区发改局、区民政局、区供电公司、区电信公司及其他相关部门、单位参加。负责应急处置经费拨付，应急物资、设备等的筹集、调拨，确保应急处置物资供应；负责现场指挥部场所设置及现场处置人员食宿保障；提供应急所需交通工具、通信、电力保障及其他应急处置的后勤保障。</w:t>
      </w:r>
    </w:p>
    <w:p>
      <w:pPr>
        <w:ind w:firstLine="420" w:firstLineChars="200"/>
      </w:pPr>
      <w:r>
        <w:rPr>
          <w:rFonts w:hint="eastAsia"/>
        </w:rPr>
        <w:t>（</w:t>
      </w:r>
      <w:r>
        <w:t>5）宣传报道组：由区委宣传部牵头，区委网信办、事发地政府、区住房和城乡建设局及其他相关部门、单位参加。负责研究制定新闻报道计划，协调、安排新闻报道、新闻发布、现场媒体记者管理等工作；负责网络舆情的监控、收集、研判、引导，宣传公众自救防护知识等工作。</w:t>
      </w:r>
    </w:p>
    <w:p>
      <w:pPr>
        <w:ind w:firstLine="420" w:firstLineChars="200"/>
      </w:pPr>
      <w:r>
        <w:rPr>
          <w:rFonts w:hint="eastAsia"/>
        </w:rPr>
        <w:t>（</w:t>
      </w:r>
      <w:r>
        <w:t>6）医疗救护组：由区卫健局牵头，事件发生地政府等相关部门、单位组成。负责组织有关医疗单位根据现场情况制定受伤人员救治方案，迅速展开对受伤人员的现场急救，并护送受伤人员至医院进一步治疗。</w:t>
      </w:r>
    </w:p>
    <w:p>
      <w:pPr>
        <w:ind w:firstLine="420" w:firstLineChars="200"/>
      </w:pPr>
      <w:r>
        <w:rPr>
          <w:rFonts w:hint="eastAsia"/>
        </w:rPr>
        <w:t>（</w:t>
      </w:r>
      <w:r>
        <w:t>7）事</w:t>
      </w:r>
      <w:r>
        <w:rPr>
          <w:rFonts w:hint="eastAsia"/>
        </w:rPr>
        <w:t>件</w:t>
      </w:r>
      <w:r>
        <w:t>调查组：燃气事故由区政府直接组织事</w:t>
      </w:r>
      <w:r>
        <w:rPr>
          <w:rFonts w:hint="eastAsia"/>
        </w:rPr>
        <w:t>件</w:t>
      </w:r>
      <w:r>
        <w:t>调查组进行调查，也可以授权、委托有关部门牵头组织事</w:t>
      </w:r>
      <w:r>
        <w:rPr>
          <w:rFonts w:hint="eastAsia"/>
        </w:rPr>
        <w:t>件</w:t>
      </w:r>
      <w:r>
        <w:t>调查组进行调查燃气事故。未造成人中伤亡的一般事故，也可以委托事故单位组织事</w:t>
      </w:r>
      <w:r>
        <w:rPr>
          <w:rFonts w:hint="eastAsia"/>
        </w:rPr>
        <w:t>件</w:t>
      </w:r>
      <w:r>
        <w:t>调查组进行调查</w:t>
      </w:r>
      <w:r>
        <w:rPr>
          <w:rFonts w:hint="eastAsia"/>
        </w:rPr>
        <w:t>。</w:t>
      </w:r>
    </w:p>
    <w:p>
      <w:pPr>
        <w:ind w:firstLine="420" w:firstLineChars="200"/>
        <w:rPr>
          <w:rFonts w:hint="eastAsia"/>
        </w:rPr>
      </w:pPr>
      <w:r>
        <w:rPr>
          <w:rFonts w:hint="eastAsia"/>
        </w:rPr>
        <w:t>（</w:t>
      </w:r>
      <w:r>
        <w:t>8）专家组：由区城镇燃气应急指挥部办公室召集相关领域专家、部门(单位)处置经验丰富的工作人员组成。根据各单位上报和现场收集掌握的信息，对整个事件进行评估研判，向区应急指挥部提出应急处置决策建议，视情向社会公众解答有关专业技术问题等工作。</w:t>
      </w:r>
    </w:p>
    <w:p>
      <w:pPr>
        <w:ind w:firstLine="420" w:firstLineChars="200"/>
        <w:rPr>
          <w:rFonts w:hint="eastAsia"/>
        </w:rPr>
      </w:pPr>
      <w:r>
        <w:rPr>
          <w:rFonts w:hint="eastAsia"/>
        </w:rPr>
        <w:t>（</w:t>
      </w:r>
      <w:r>
        <w:t>9）环境监测组：由区</w:t>
      </w:r>
      <w:r>
        <w:rPr>
          <w:rFonts w:hint="eastAsia"/>
        </w:rPr>
        <w:t>生态环境</w:t>
      </w:r>
      <w:r>
        <w:t>局牵头，负责对大气、水体进行环境监测。</w:t>
      </w:r>
    </w:p>
    <w:p>
      <w:pPr>
        <w:pStyle w:val="4"/>
        <w:ind w:firstLine="560"/>
      </w:pPr>
      <w:r>
        <w:t>应急联动机制</w:t>
      </w:r>
    </w:p>
    <w:p>
      <w:pPr>
        <w:ind w:firstLine="420" w:firstLineChars="200"/>
      </w:pPr>
      <w:r>
        <w:rPr>
          <w:rFonts w:hint="eastAsia"/>
        </w:rPr>
        <w:t>区城镇燃气</w:t>
      </w:r>
      <w:r>
        <w:rPr>
          <w:rFonts w:hint="eastAsia"/>
          <w:lang w:val="en-US" w:eastAsia="zh-CN"/>
        </w:rPr>
        <w:t>应急</w:t>
      </w:r>
      <w:bookmarkStart w:id="53" w:name="_GoBack"/>
      <w:bookmarkEnd w:id="53"/>
      <w:r>
        <w:rPr>
          <w:rFonts w:hint="eastAsia"/>
        </w:rPr>
        <w:t>指挥部与各镇（街道）政府、相关部门单位建立应急联动机制，执行资源整合、基层先行、分级负责的原则建立应急联动机制。明确信息共享、队伍及资源调动程序等工作；明确值守应急通信联络方式、信息报送要求、队伍物资调动程序等，确保突发事件发生后能够快速、有序、协同应对。</w:t>
      </w:r>
    </w:p>
    <w:p>
      <w:pPr>
        <w:pStyle w:val="2"/>
      </w:pPr>
      <w:bookmarkStart w:id="10" w:name="_Toc81237726"/>
      <w:r>
        <w:t>预警和预防机制</w:t>
      </w:r>
      <w:bookmarkEnd w:id="10"/>
    </w:p>
    <w:p>
      <w:pPr>
        <w:pStyle w:val="3"/>
        <w:ind w:firstLine="562"/>
      </w:pPr>
      <w:bookmarkStart w:id="11" w:name="_Toc81237727"/>
      <w:r>
        <w:t>预防、监测与预测</w:t>
      </w:r>
      <w:bookmarkEnd w:id="11"/>
    </w:p>
    <w:p>
      <w:pPr>
        <w:pStyle w:val="4"/>
        <w:ind w:firstLine="560"/>
      </w:pPr>
      <w:r>
        <w:t>预防</w:t>
      </w:r>
    </w:p>
    <w:p>
      <w:pPr>
        <w:ind w:firstLine="420" w:firstLineChars="200"/>
      </w:pPr>
      <w:r>
        <w:rPr>
          <w:rFonts w:hint="eastAsia"/>
        </w:rPr>
        <w:t>各镇（街道）政府有关部门要加强对本地区、本行业（领域）、本单位的风险评估，并按照职责分工加强燃气安全生产检查、风险隐患排查及隐患整改，有针对性地制定应对措施或应急预案，做好突发事件预防及应急处置准备工作。</w:t>
      </w:r>
    </w:p>
    <w:p>
      <w:pPr>
        <w:pStyle w:val="4"/>
        <w:ind w:firstLine="560"/>
      </w:pPr>
      <w:r>
        <w:t>监测</w:t>
      </w:r>
    </w:p>
    <w:p>
      <w:pPr>
        <w:ind w:firstLine="420" w:firstLineChars="200"/>
      </w:pPr>
      <w:r>
        <w:rPr>
          <w:rFonts w:hint="eastAsia"/>
        </w:rPr>
        <w:t>各镇（街道）燃气管理部门和燃气经营企业负责建立本区域、本单位重大事故隐患和重大危险源信息监控系统，对重大事故隐患和重大危险源实施监控。区城市管理和综合执法局负责收集、汇总燃气行业的安全生产信息，组织开展风险分析，建立城市燃气安全监管体系，对城市燃气设施运行状况进行评估，做到早发现、早报告、早处置。</w:t>
      </w:r>
    </w:p>
    <w:p>
      <w:pPr>
        <w:pStyle w:val="4"/>
        <w:ind w:firstLine="560"/>
      </w:pPr>
      <w:r>
        <w:t>预测</w:t>
      </w:r>
    </w:p>
    <w:p>
      <w:pPr>
        <w:ind w:firstLine="420" w:firstLineChars="200"/>
      </w:pPr>
      <w:r>
        <w:rPr>
          <w:rFonts w:hint="eastAsia"/>
        </w:rPr>
        <w:t>各镇（街道）政府有关部门要根据历年燃突发事件发生案例情况，及时对隐患信息进行预测判断；对于外地已发生的突发事件也应按照“高度敏感、注重关联”的原则做好防范、预测，及时完善防控应对措施。</w:t>
      </w:r>
    </w:p>
    <w:p>
      <w:pPr>
        <w:pStyle w:val="3"/>
        <w:ind w:firstLine="562"/>
      </w:pPr>
      <w:bookmarkStart w:id="12" w:name="_Toc81237728"/>
      <w:r>
        <w:t>预警分级指标及标准</w:t>
      </w:r>
      <w:bookmarkEnd w:id="12"/>
    </w:p>
    <w:p>
      <w:pPr>
        <w:ind w:firstLine="420" w:firstLineChars="200"/>
      </w:pPr>
      <w:r>
        <w:rPr>
          <w:rFonts w:hint="eastAsia"/>
        </w:rPr>
        <w:t>根据城镇燃气突发事件可能造成的危害程度、紧急程度和发展态势，建立城镇燃气突发事件四级预警指标体系，由低到高划分为Ⅳ级（一般）、Ⅲ级（较大）、Ⅱ级（重大）、Ⅰ级（特别重大）四个级别，依次用蓝色、黄色、橙色、红色四种颜色表示。</w:t>
      </w:r>
    </w:p>
    <w:p>
      <w:pPr>
        <w:ind w:firstLine="560"/>
      </w:pPr>
      <w:r>
        <w:rPr>
          <w:rFonts w:hint="eastAsia"/>
        </w:rPr>
        <w:t>各级城镇燃气突发事件应急指挥部办公室在收到相关信息、证实城镇燃气突发事件可能即将发生或者已经发生时，经初步研判其级别与类别后，形成预警建议并立即报告给当地人民政府，并按照下列规定发布预警公告。</w:t>
      </w:r>
    </w:p>
    <w:p>
      <w:pPr>
        <w:ind w:firstLine="420" w:firstLineChars="200"/>
      </w:pPr>
      <w:r>
        <w:rPr>
          <w:rFonts w:hint="eastAsia"/>
        </w:rPr>
        <w:t>（一）Ⅳ级（蓝色）预警，由武进区人民政府发布；</w:t>
      </w:r>
    </w:p>
    <w:p>
      <w:pPr>
        <w:ind w:firstLine="420" w:firstLineChars="200"/>
      </w:pPr>
      <w:r>
        <w:rPr>
          <w:rFonts w:hint="eastAsia"/>
        </w:rPr>
        <w:t>（二）Ⅲ级（黄色）预警，由常州市人民政府发布；</w:t>
      </w:r>
    </w:p>
    <w:p>
      <w:pPr>
        <w:ind w:firstLine="420" w:firstLineChars="200"/>
      </w:pPr>
      <w:r>
        <w:rPr>
          <w:rFonts w:hint="eastAsia"/>
        </w:rPr>
        <w:t>（三）Ⅰ级（红色）预警和Ⅱ级（橙色）预警，按照《江苏省突发事件总体应急预案》的规定发布。</w:t>
      </w:r>
    </w:p>
    <w:p>
      <w:pPr>
        <w:pStyle w:val="3"/>
        <w:ind w:firstLine="562"/>
      </w:pPr>
      <w:bookmarkStart w:id="13" w:name="_Toc81237729"/>
      <w:r>
        <w:t>预警发布或解除</w:t>
      </w:r>
      <w:bookmarkEnd w:id="13"/>
    </w:p>
    <w:p>
      <w:pPr>
        <w:pStyle w:val="4"/>
        <w:ind w:firstLine="560"/>
      </w:pPr>
      <w:r>
        <w:t>预警发布</w:t>
      </w:r>
    </w:p>
    <w:p>
      <w:pPr>
        <w:ind w:firstLine="420" w:firstLineChars="200"/>
      </w:pPr>
      <w:r>
        <w:rPr>
          <w:rFonts w:hint="eastAsia"/>
        </w:rPr>
        <w:t>蓝色、黄色预警由区城镇燃气应急指挥部办公室发布，橙色、红色预警由市城镇燃气应急指挥部发布。</w:t>
      </w:r>
    </w:p>
    <w:p>
      <w:pPr>
        <w:ind w:firstLine="420" w:firstLineChars="200"/>
      </w:pPr>
      <w:r>
        <w:rPr>
          <w:rFonts w:hint="eastAsia"/>
        </w:rPr>
        <w:t>预警发布内容包括事件类别、预级别、预警期起始时间、可能影响范围、可能后果、警示事项、发布机关、发布时间等。</w:t>
      </w:r>
    </w:p>
    <w:p>
      <w:pPr>
        <w:ind w:firstLine="420" w:firstLineChars="200"/>
      </w:pPr>
      <w:r>
        <w:rPr>
          <w:rFonts w:hint="eastAsia"/>
        </w:rPr>
        <w:t>预警可通过报纸、广播、电视、短信、网站、微博、内部专用网络等向社会发布或通报有关部门（单位）。</w:t>
      </w:r>
    </w:p>
    <w:p>
      <w:pPr>
        <w:pStyle w:val="4"/>
        <w:ind w:firstLine="560"/>
      </w:pPr>
      <w:r>
        <w:t>预警解除</w:t>
      </w:r>
    </w:p>
    <w:p>
      <w:pPr>
        <w:ind w:firstLine="420" w:firstLineChars="200"/>
      </w:pPr>
      <w:r>
        <w:rPr>
          <w:rFonts w:hint="eastAsia"/>
        </w:rPr>
        <w:t>区城镇燃气应急指挥部应密切关注事件进展情况，根据事态的发展，按照有关规定适时调整预警级别并重新发布。</w:t>
      </w:r>
    </w:p>
    <w:p>
      <w:pPr>
        <w:ind w:firstLine="420" w:firstLineChars="200"/>
      </w:pPr>
      <w:r>
        <w:rPr>
          <w:rFonts w:hint="eastAsia"/>
        </w:rPr>
        <w:t>有事实证明不可能发生燃气突发事件或者危险已经解除的，发布预警的部门应宣布解除警报，或终止预警期，并解除已经采取的有关措施。</w:t>
      </w:r>
    </w:p>
    <w:p>
      <w:pPr>
        <w:pStyle w:val="3"/>
        <w:ind w:firstLine="562"/>
      </w:pPr>
      <w:bookmarkStart w:id="14" w:name="_Toc81237730"/>
      <w:r>
        <w:t>预警响应措施</w:t>
      </w:r>
      <w:bookmarkEnd w:id="14"/>
    </w:p>
    <w:p>
      <w:pPr>
        <w:pStyle w:val="4"/>
        <w:ind w:firstLine="560"/>
      </w:pPr>
      <w:r>
        <w:t>蓝色预警响应</w:t>
      </w:r>
    </w:p>
    <w:p>
      <w:pPr>
        <w:ind w:firstLine="560"/>
      </w:pPr>
      <w:r>
        <w:rPr>
          <w:rFonts w:hint="eastAsia"/>
        </w:rPr>
        <w:t>根据信息分析和事态发展，采取下列一项或多项措施：</w:t>
      </w:r>
    </w:p>
    <w:p>
      <w:pPr>
        <w:ind w:firstLine="560"/>
      </w:pPr>
      <w:r>
        <w:rPr>
          <w:rFonts w:hint="eastAsia"/>
        </w:rPr>
        <w:t>（</w:t>
      </w:r>
      <w:r>
        <w:t>1） 落实24小时带值班制度，加强信息监控、收集；</w:t>
      </w:r>
    </w:p>
    <w:p>
      <w:pPr>
        <w:ind w:firstLine="560"/>
      </w:pPr>
      <w:r>
        <w:rPr>
          <w:rFonts w:hint="eastAsia"/>
        </w:rPr>
        <w:t>（</w:t>
      </w:r>
      <w:r>
        <w:t>2） 向受影响的用户发布有关信息；</w:t>
      </w:r>
    </w:p>
    <w:p>
      <w:pPr>
        <w:ind w:firstLine="560"/>
      </w:pPr>
      <w:r>
        <w:rPr>
          <w:rFonts w:hint="eastAsia"/>
        </w:rPr>
        <w:t>（</w:t>
      </w:r>
      <w:r>
        <w:t>3） 转移、撤离或者疏散容易受到突发事件危害的人员和重要财产，并妥善安置；</w:t>
      </w:r>
    </w:p>
    <w:p>
      <w:pPr>
        <w:ind w:firstLine="560"/>
      </w:pPr>
      <w:r>
        <w:rPr>
          <w:rFonts w:hint="eastAsia"/>
        </w:rPr>
        <w:t>（</w:t>
      </w:r>
      <w:r>
        <w:t>4） 通知相关应急救援队伍和人员进入待命状态；</w:t>
      </w:r>
    </w:p>
    <w:p>
      <w:pPr>
        <w:ind w:firstLine="560"/>
      </w:pPr>
      <w:r>
        <w:rPr>
          <w:rFonts w:hint="eastAsia"/>
        </w:rPr>
        <w:t>（</w:t>
      </w:r>
      <w:r>
        <w:t>5） 检查、调集所需应急救援物资和设备；</w:t>
      </w:r>
    </w:p>
    <w:p>
      <w:pPr>
        <w:ind w:firstLine="560"/>
      </w:pPr>
      <w:r>
        <w:rPr>
          <w:rFonts w:hint="eastAsia"/>
        </w:rPr>
        <w:t>（</w:t>
      </w:r>
      <w:r>
        <w:t>6） 法律、法规、规章规定的其他必要的防范性、保护性措施。</w:t>
      </w:r>
    </w:p>
    <w:p>
      <w:pPr>
        <w:pStyle w:val="4"/>
        <w:ind w:firstLine="560"/>
      </w:pPr>
      <w:r>
        <w:t>黄色预警响应</w:t>
      </w:r>
    </w:p>
    <w:p>
      <w:pPr>
        <w:ind w:firstLine="420" w:firstLineChars="200"/>
      </w:pPr>
      <w:r>
        <w:rPr>
          <w:rFonts w:hint="eastAsia"/>
        </w:rPr>
        <w:t>根据信息分析和事态发展，在采取蓝色预临响应措施的基础上，采取下列一项或多项措施：</w:t>
      </w:r>
    </w:p>
    <w:p>
      <w:pPr>
        <w:ind w:firstLine="420" w:firstLineChars="200"/>
      </w:pPr>
      <w:r>
        <w:rPr>
          <w:rFonts w:hint="eastAsia"/>
        </w:rPr>
        <w:t>（</w:t>
      </w:r>
      <w:r>
        <w:t>1） 加强对燃气突发事件发生、发展情况的监测预警，组织专家对事件的影响范围和强度、事件级别进行研判，并提出相关建议；</w:t>
      </w:r>
    </w:p>
    <w:p>
      <w:pPr>
        <w:ind w:firstLine="420" w:firstLineChars="200"/>
      </w:pPr>
      <w:r>
        <w:rPr>
          <w:rFonts w:hint="eastAsia"/>
        </w:rPr>
        <w:t>（</w:t>
      </w:r>
      <w:r>
        <w:t>2） 按规定发布可能受到燃突发事件危害的警告、有关采取特定措施避免或者减轻危害的建议、劝告；</w:t>
      </w:r>
    </w:p>
    <w:p>
      <w:pPr>
        <w:ind w:firstLine="420" w:firstLineChars="200"/>
      </w:pPr>
      <w:r>
        <w:rPr>
          <w:rFonts w:hint="eastAsia"/>
        </w:rPr>
        <w:t>（</w:t>
      </w:r>
      <w:r>
        <w:t>3） 采取各种方式，提示受影响或可能受影响区域的单位和居民，做好燃(供应中断的应对工作；</w:t>
      </w:r>
    </w:p>
    <w:p>
      <w:pPr>
        <w:ind w:firstLine="420" w:firstLineChars="200"/>
      </w:pPr>
      <w:r>
        <w:rPr>
          <w:rFonts w:hint="eastAsia"/>
        </w:rPr>
        <w:t>（</w:t>
      </w:r>
      <w:r>
        <w:t>4） 关闭或限制使用易受燃突发事件危害的场所；</w:t>
      </w:r>
    </w:p>
    <w:p>
      <w:pPr>
        <w:ind w:firstLine="420" w:firstLineChars="200"/>
      </w:pPr>
      <w:r>
        <w:rPr>
          <w:rFonts w:hint="eastAsia"/>
        </w:rPr>
        <w:t>（</w:t>
      </w:r>
      <w:r>
        <w:t>5） 指令市级应急救援队伍、相关人员进入待命状态，并动员后备人员做好参加应急救援和处置工作的准备；</w:t>
      </w:r>
    </w:p>
    <w:p>
      <w:pPr>
        <w:ind w:firstLine="420" w:firstLineChars="200"/>
      </w:pPr>
      <w:r>
        <w:rPr>
          <w:rFonts w:hint="eastAsia"/>
        </w:rPr>
        <w:t>（</w:t>
      </w:r>
      <w:r>
        <w:t>6） 调集应急救援所需物资、设备、工具，准备应急设施，并确保其处于良好状态、随时可投入正常使用。</w:t>
      </w:r>
    </w:p>
    <w:p>
      <w:pPr>
        <w:pStyle w:val="4"/>
        <w:ind w:firstLine="560"/>
      </w:pPr>
      <w:r>
        <w:t>橙色预警响应</w:t>
      </w:r>
    </w:p>
    <w:p>
      <w:pPr>
        <w:ind w:firstLine="420" w:firstLineChars="200"/>
      </w:pPr>
      <w:r>
        <w:rPr>
          <w:rFonts w:hint="eastAsia"/>
        </w:rPr>
        <w:t>根据信息分析和事态发展，在采取黄色预警响应措施的基础上，采取下列一项或者多项措施：</w:t>
      </w:r>
    </w:p>
    <w:p>
      <w:pPr>
        <w:ind w:firstLine="420" w:firstLineChars="200"/>
      </w:pPr>
      <w:r>
        <w:rPr>
          <w:rFonts w:hint="eastAsia"/>
        </w:rPr>
        <w:t>（</w:t>
      </w:r>
      <w:r>
        <w:t>1） 相关部门(单位)做好受影响范围居民应急供的准备工作；</w:t>
      </w:r>
    </w:p>
    <w:p>
      <w:pPr>
        <w:ind w:firstLine="420" w:firstLineChars="200"/>
      </w:pPr>
      <w:r>
        <w:rPr>
          <w:rFonts w:hint="eastAsia"/>
        </w:rPr>
        <w:t>（</w:t>
      </w:r>
      <w:r>
        <w:t>2） 做好限制公共建筑和工业生产用气的准备工作；</w:t>
      </w:r>
    </w:p>
    <w:p>
      <w:pPr>
        <w:ind w:firstLine="420" w:firstLineChars="200"/>
      </w:pPr>
      <w:r>
        <w:rPr>
          <w:rFonts w:hint="eastAsia"/>
        </w:rPr>
        <w:t>（</w:t>
      </w:r>
      <w:r>
        <w:t>3） 组织市级应急救援队伍进行协同处置；</w:t>
      </w:r>
    </w:p>
    <w:p>
      <w:pPr>
        <w:ind w:firstLine="420" w:firstLineChars="200"/>
      </w:pPr>
      <w:r>
        <w:rPr>
          <w:rFonts w:hint="eastAsia"/>
        </w:rPr>
        <w:t>（</w:t>
      </w:r>
      <w:r>
        <w:t>4） 做好省</w:t>
      </w:r>
      <w:r>
        <w:rPr>
          <w:rFonts w:hint="eastAsia"/>
        </w:rPr>
        <w:t>级</w:t>
      </w:r>
      <w:r>
        <w:t>领导或工作组来</w:t>
      </w:r>
      <w:r>
        <w:rPr>
          <w:rFonts w:hint="eastAsia"/>
        </w:rPr>
        <w:t>武</w:t>
      </w:r>
      <w:r>
        <w:t>指挥的相关准备工作。</w:t>
      </w:r>
    </w:p>
    <w:p>
      <w:pPr>
        <w:pStyle w:val="4"/>
        <w:ind w:firstLine="560"/>
      </w:pPr>
      <w:r>
        <w:t>红色预警响应</w:t>
      </w:r>
    </w:p>
    <w:p>
      <w:pPr>
        <w:ind w:firstLine="420" w:firstLineChars="200"/>
      </w:pPr>
      <w:r>
        <w:rPr>
          <w:rFonts w:hint="eastAsia"/>
        </w:rPr>
        <w:t>根据信息分析和事态发展，在采取橙色预警响应措施的基础上，采取下列一项或者多项措施：</w:t>
      </w:r>
    </w:p>
    <w:p>
      <w:pPr>
        <w:ind w:firstLine="420" w:firstLineChars="200"/>
      </w:pPr>
      <w:r>
        <w:rPr>
          <w:rFonts w:hint="eastAsia"/>
        </w:rPr>
        <w:t>（</w:t>
      </w:r>
      <w:r>
        <w:t>1） 做好停止公共建筑和工业生产用气的准备工作；</w:t>
      </w:r>
    </w:p>
    <w:p>
      <w:pPr>
        <w:ind w:firstLine="420" w:firstLineChars="200"/>
      </w:pPr>
      <w:r>
        <w:rPr>
          <w:rFonts w:hint="eastAsia"/>
        </w:rPr>
        <w:t>（</w:t>
      </w:r>
      <w:r>
        <w:t>2） 做好启动储备气源等其他应急供措施的准备工作</w:t>
      </w:r>
      <w:r>
        <w:rPr>
          <w:rFonts w:hint="eastAsia"/>
        </w:rPr>
        <w:t>；</w:t>
      </w:r>
    </w:p>
    <w:p>
      <w:pPr>
        <w:ind w:firstLine="420" w:firstLineChars="200"/>
      </w:pPr>
      <w:r>
        <w:rPr>
          <w:rFonts w:hint="eastAsia"/>
        </w:rPr>
        <w:t>（3） 做好</w:t>
      </w:r>
      <w:r>
        <w:t>国务院</w:t>
      </w:r>
      <w:r>
        <w:rPr>
          <w:rFonts w:hint="eastAsia"/>
        </w:rPr>
        <w:t>或</w:t>
      </w:r>
      <w:r>
        <w:t>工作组来</w:t>
      </w:r>
      <w:r>
        <w:rPr>
          <w:rFonts w:hint="eastAsia"/>
        </w:rPr>
        <w:t>武</w:t>
      </w:r>
      <w:r>
        <w:t>指挥的相关工作。</w:t>
      </w:r>
    </w:p>
    <w:p>
      <w:pPr>
        <w:pStyle w:val="2"/>
      </w:pPr>
      <w:bookmarkStart w:id="15" w:name="_Toc81237731"/>
      <w:r>
        <w:t>应急处置</w:t>
      </w:r>
      <w:bookmarkEnd w:id="15"/>
    </w:p>
    <w:p>
      <w:pPr>
        <w:pStyle w:val="3"/>
        <w:ind w:firstLine="562"/>
      </w:pPr>
      <w:bookmarkStart w:id="16" w:name="_Toc81237732"/>
      <w:r>
        <w:t>应急预案启动</w:t>
      </w:r>
      <w:bookmarkEnd w:id="16"/>
    </w:p>
    <w:p>
      <w:pPr>
        <w:ind w:firstLine="420" w:firstLineChars="200"/>
      </w:pPr>
      <w:r>
        <w:rPr>
          <w:rFonts w:hint="eastAsia"/>
        </w:rPr>
        <w:t>发生Ⅰ级、Ⅱ级、Ⅲ级燃气突发事件时，本预案、有关镇（街道）级预案及相关企业必须立即启动；发生一般Ⅳ级事件时，一般应启动镇（街道）级及相关企业应急预案，本预案视情况启动。</w:t>
      </w:r>
    </w:p>
    <w:p>
      <w:pPr>
        <w:ind w:firstLine="420" w:firstLineChars="200"/>
      </w:pPr>
      <w:r>
        <w:rPr>
          <w:rFonts w:hint="eastAsia"/>
        </w:rPr>
        <w:t>对于先期未能有效控制事态的，或者需要市政府协调处置的特别重大、重大、较大、一般事件，根据事态发展，市政府分管领导批准启动市相关预案，并向市政府主要领导报告，必要时直接提请市政府主要领导批准决定有关事项。</w:t>
      </w:r>
    </w:p>
    <w:p>
      <w:pPr>
        <w:pStyle w:val="3"/>
        <w:ind w:firstLine="562"/>
      </w:pPr>
      <w:bookmarkStart w:id="17" w:name="_Toc81237733"/>
      <w:r>
        <w:t>信息报告</w:t>
      </w:r>
      <w:bookmarkEnd w:id="17"/>
    </w:p>
    <w:p>
      <w:pPr>
        <w:ind w:firstLine="420" w:firstLineChars="200"/>
      </w:pPr>
      <w:r>
        <w:rPr>
          <w:rFonts w:hint="eastAsia"/>
        </w:rPr>
        <w:t>报告责任主体：事发单位、各级政府及其有关主管部门（单位）是受理报告和向上级政府及其有关部门报告燃气突发事件信息的责任主体。燃气突发事件发生后，事发单位、接报的各级政府及其部门要立即将有关情况向武进区政府及其有关主管部门报告。特殊情况下，基层单位可以越一级上报，并同时报告常州市政府。</w:t>
      </w:r>
    </w:p>
    <w:p>
      <w:pPr>
        <w:ind w:firstLine="420" w:firstLineChars="200"/>
      </w:pPr>
      <w:r>
        <w:rPr>
          <w:rFonts w:hint="eastAsia"/>
        </w:rPr>
        <w:t>报告时限和程序：突发事件发生后，事发地区镇（街道）有关部门应立即核实并应于</w:t>
      </w:r>
      <w:r>
        <w:t>20分钟内以电话形式、50分钟内以书面形式向区城镇燃气应急指挥部办公室、区应急指挥中心、区政府报告有关初步情况。对于核报的信息，也应于20分钟内以电话形式、50分钟内以书面形式报告，严禁出现迟报、漏报、瞒报等问题。紧急信息要边处置、边核实、边报告，最新处置进展情况要及时续报，事件处置结束后要尽快提供书面终报。报送、报告事件信息，应当做到及时、客观、真实，不得迟报、谎报、瞒报和漏报。</w:t>
      </w:r>
    </w:p>
    <w:p>
      <w:pPr>
        <w:ind w:firstLine="420" w:firstLineChars="200"/>
      </w:pPr>
      <w:r>
        <w:rPr>
          <w:rFonts w:hint="eastAsia"/>
        </w:rPr>
        <w:t>经研判确定为敏感突发事件的，不受突发事件分级标准限制，也应于</w:t>
      </w:r>
      <w:r>
        <w:t>1小时内向区城镇燃气应急指挥部办公室、区应急指挥中心、区政府相关领导报告。</w:t>
      </w:r>
    </w:p>
    <w:p>
      <w:pPr>
        <w:ind w:firstLine="420" w:firstLineChars="200"/>
      </w:pPr>
      <w:r>
        <w:rPr>
          <w:rFonts w:hint="eastAsia"/>
        </w:rPr>
        <w:t>报告内容：城镇燃气突发事件发生的时间、地点、信息来源、事件类别、基本过程、财产损失、人员伤亡情况，对事件的初判级别，已经采取的措施，有无次生或衍生危害、周边有无危险源、警报发布情况、是否需要疏散群众，需要支援事项和亟需帮助解决的问题，现场负责人和报告人的姓名、单位和联系电话等。</w:t>
      </w:r>
    </w:p>
    <w:p>
      <w:pPr>
        <w:ind w:firstLine="420" w:firstLineChars="200"/>
      </w:pPr>
      <w:r>
        <w:rPr>
          <w:rFonts w:hint="eastAsia"/>
        </w:rPr>
        <w:t>接到国家、省、市领导批示的，落实情况也应及时向区城镇燃气应急指挥部办公室报告，由应急指挥部办公室汇总后分别报区城镇燃气应急指挥部和市政府。</w:t>
      </w:r>
    </w:p>
    <w:p>
      <w:pPr>
        <w:pStyle w:val="3"/>
        <w:ind w:firstLine="562"/>
      </w:pPr>
      <w:bookmarkStart w:id="18" w:name="_Toc81237734"/>
      <w:r>
        <w:t>先期处置</w:t>
      </w:r>
      <w:bookmarkEnd w:id="18"/>
    </w:p>
    <w:p>
      <w:pPr>
        <w:ind w:firstLine="420" w:firstLineChars="200"/>
      </w:pPr>
      <w:r>
        <w:rPr>
          <w:rFonts w:hint="eastAsia"/>
        </w:rPr>
        <w:t>燃气突发事件发生后，事发单位要立即启动相关预案的应急响应，调动相关专业救援队伍进行先期处置，疏散现场周边无关人员，采取有效措施控制事态发展，组织开展应急处置工作。</w:t>
      </w:r>
    </w:p>
    <w:p>
      <w:pPr>
        <w:ind w:firstLine="420" w:firstLineChars="200"/>
      </w:pPr>
      <w:r>
        <w:rPr>
          <w:rFonts w:hint="eastAsia"/>
        </w:rPr>
        <w:t>接报的区（镇）政府及其有关部门负责同志要按照预案和有关规定，迅速赶赴现场，视情成立现场应急指挥部，组织、协调、动员有关专业应急力量和人民群众进行先期处置，组织专家进行会商，及时对事件的性质、类别、危害程度、影响范围、防护措施、发展趋势等进行评估上报，采取有效措施控制事态发展，严防次生、衍生灾害。</w:t>
      </w:r>
    </w:p>
    <w:p>
      <w:pPr>
        <w:pStyle w:val="3"/>
        <w:ind w:firstLine="562"/>
      </w:pPr>
      <w:bookmarkStart w:id="19" w:name="_Toc81237735"/>
      <w:r>
        <w:t>分级响应</w:t>
      </w:r>
      <w:bookmarkEnd w:id="19"/>
    </w:p>
    <w:p>
      <w:pPr>
        <w:pStyle w:val="4"/>
        <w:ind w:firstLine="560"/>
      </w:pPr>
      <w:r>
        <w:t>一般（</w:t>
      </w:r>
      <w:r>
        <w:rPr>
          <w:rFonts w:hint="eastAsia"/>
        </w:rPr>
        <w:t>Ⅳ</w:t>
      </w:r>
      <w:r>
        <w:t>级）燃气突发事件</w:t>
      </w:r>
    </w:p>
    <w:p>
      <w:pPr>
        <w:ind w:firstLine="420" w:firstLineChars="200"/>
      </w:pPr>
      <w:r>
        <w:rPr>
          <w:rFonts w:hint="eastAsia"/>
        </w:rPr>
        <w:t>（</w:t>
      </w:r>
      <w:r>
        <w:t>1）由事发地区区（镇）政府启动应急响应，组织调动事发单位、区政府相关应急救援队伍和资源进行协同处置。根据区政府的请求和实际需要，市有关部门（单位）启动部门应急响应配合处置。</w:t>
      </w:r>
    </w:p>
    <w:p>
      <w:pPr>
        <w:ind w:firstLine="420" w:firstLineChars="200"/>
      </w:pPr>
      <w:r>
        <w:rPr>
          <w:rFonts w:hint="eastAsia"/>
        </w:rPr>
        <w:t>（</w:t>
      </w:r>
      <w:r>
        <w:t>2）区城镇燃气突发事件应急指挥部办公室全部上岗密切跟踪事态变化，城镇燃气企业抢维修队伍、专业应急救援队伍随时待命，接到支援命令后立即出发。</w:t>
      </w:r>
    </w:p>
    <w:p>
      <w:pPr>
        <w:ind w:firstLine="420" w:firstLineChars="200"/>
      </w:pPr>
      <w:r>
        <w:rPr>
          <w:rFonts w:hint="eastAsia"/>
        </w:rPr>
        <w:t>（</w:t>
      </w:r>
      <w:r>
        <w:t>3）区城镇燃气突发事件应急指挥部专家组进入待命状态，并适时提供决策建议。</w:t>
      </w:r>
    </w:p>
    <w:p>
      <w:pPr>
        <w:pStyle w:val="4"/>
        <w:ind w:firstLine="560"/>
      </w:pPr>
      <w:r>
        <w:t>较大（</w:t>
      </w:r>
      <w:r>
        <w:rPr>
          <w:rFonts w:hint="eastAsia"/>
        </w:rPr>
        <w:t>Ⅲ</w:t>
      </w:r>
      <w:r>
        <w:t>级）燃气突发事件</w:t>
      </w:r>
    </w:p>
    <w:p>
      <w:pPr>
        <w:ind w:firstLine="420" w:firstLineChars="200"/>
      </w:pPr>
      <w:r>
        <w:rPr>
          <w:rFonts w:hint="eastAsia"/>
        </w:rPr>
        <w:t>（</w:t>
      </w:r>
      <w:r>
        <w:t>1）报区城镇燃气应急指挥部副总指挥批准启动应急响应</w:t>
      </w:r>
      <w:r>
        <w:rPr>
          <w:rFonts w:hint="eastAsia"/>
        </w:rPr>
        <w:t>，</w:t>
      </w:r>
      <w:r>
        <w:t>指挥部根据现场情况迅速成立现场指挥部，组织调动事发单位、区（镇）政府、专家组以及燃气相关专业应急救援队伍和资源进行协同处置。</w:t>
      </w:r>
    </w:p>
    <w:p>
      <w:pPr>
        <w:ind w:firstLine="420" w:firstLineChars="200"/>
      </w:pPr>
      <w:r>
        <w:rPr>
          <w:rFonts w:hint="eastAsia"/>
        </w:rPr>
        <w:t>（</w:t>
      </w:r>
      <w:r>
        <w:t>2）专业应急救援队伍及相关城镇燃气企业的应急人员全部上岗，并按现场指挥部部署对危险区域进行相应应急处置。</w:t>
      </w:r>
    </w:p>
    <w:p>
      <w:pPr>
        <w:ind w:firstLine="420" w:firstLineChars="200"/>
      </w:pPr>
      <w:r>
        <w:rPr>
          <w:rFonts w:hint="eastAsia"/>
        </w:rPr>
        <w:t>（</w:t>
      </w:r>
      <w:r>
        <w:t>3）现场指挥部各应急工作组根据区城镇燃气突发事件应急指挥部或者现场指挥统一部署由牵头单位组织按照职责分工有序开展应急处置工作。</w:t>
      </w:r>
    </w:p>
    <w:p>
      <w:pPr>
        <w:ind w:firstLine="420" w:firstLineChars="200"/>
      </w:pPr>
      <w:r>
        <w:rPr>
          <w:rFonts w:hint="eastAsia"/>
        </w:rPr>
        <w:t>（</w:t>
      </w:r>
      <w:r>
        <w:t>4）组织相关应急物资、装备器材等进入现场，供应急处置使用。应急物资发生短缺时，及时采购、协调，同时调用补充气源，做好备用气源的准备，保障供气安全。</w:t>
      </w:r>
    </w:p>
    <w:p>
      <w:pPr>
        <w:ind w:firstLine="420" w:firstLineChars="200"/>
      </w:pPr>
      <w:r>
        <w:rPr>
          <w:rFonts w:hint="eastAsia"/>
        </w:rPr>
        <w:t>（</w:t>
      </w:r>
      <w:r>
        <w:t>5）</w:t>
      </w:r>
      <w:r>
        <w:rPr>
          <w:rFonts w:hint="eastAsia"/>
        </w:rPr>
        <w:t>必要时请求上级应急救援机构协调其他区市专业救援力量和装备进行支援，待上级应急救援指挥部成立后，自动并入上级救援序列，受上级指挥。</w:t>
      </w:r>
    </w:p>
    <w:p>
      <w:pPr>
        <w:pStyle w:val="4"/>
        <w:ind w:firstLine="560"/>
      </w:pPr>
      <w:r>
        <w:t>重大（</w:t>
      </w:r>
      <w:r>
        <w:rPr>
          <w:rFonts w:hint="eastAsia"/>
        </w:rPr>
        <w:t>Ⅱ</w:t>
      </w:r>
      <w:r>
        <w:t>级）、特别重大（</w:t>
      </w:r>
      <w:r>
        <w:rPr>
          <w:rFonts w:hint="eastAsia"/>
        </w:rPr>
        <w:t>Ⅰ</w:t>
      </w:r>
      <w:r>
        <w:t>级）燃气突发事件</w:t>
      </w:r>
    </w:p>
    <w:p>
      <w:pPr>
        <w:ind w:firstLine="420" w:firstLineChars="200"/>
      </w:pPr>
      <w:r>
        <w:rPr>
          <w:rFonts w:hint="eastAsia"/>
        </w:rPr>
        <w:t>发生重大和特别重大城镇燃气突发事件时，组织调度全区应急救援队伍和资源进行先期处置，由省人民政府部署相关应急响应工作或者请求国家相关应急机构牵头部署相关应急响应工作，区城镇燃气突发事件应急指挥部在省人民政府和国家相关应急机构的领导和指挥下开展应急处置工作。</w:t>
      </w:r>
    </w:p>
    <w:p>
      <w:pPr>
        <w:pStyle w:val="4"/>
        <w:ind w:firstLine="560"/>
      </w:pPr>
      <w:r>
        <w:rPr>
          <w:rFonts w:hint="eastAsia"/>
        </w:rPr>
        <w:t>分级响应程序</w:t>
      </w:r>
    </w:p>
    <w:p>
      <w:pPr>
        <w:pStyle w:val="69"/>
        <w:jc w:val="center"/>
        <w:rPr>
          <w:rFonts w:hint="eastAsia"/>
        </w:rPr>
      </w:pPr>
      <w:r>
        <w:object>
          <v:shape id="_x0000_i1025" o:spt="75" type="#_x0000_t75" style="height:238.75pt;width:372.15pt;" o:ole="t" filled="f" o:preferrelative="t" stroked="f" coordsize="21600,21600">
            <v:path/>
            <v:fill on="f" focussize="0,0"/>
            <v:stroke on="f" joinstyle="miter"/>
            <v:imagedata r:id="rId9" o:title=""/>
            <o:lock v:ext="edit" aspectratio="t"/>
            <w10:wrap type="none"/>
            <w10:anchorlock/>
          </v:shape>
          <o:OLEObject Type="Embed" ProgID="Visio.Drawing.11" ShapeID="_x0000_i1025" DrawAspect="Content" ObjectID="_1468075725" r:id="rId8">
            <o:LockedField>false</o:LockedField>
          </o:OLEObject>
        </w:object>
      </w:r>
    </w:p>
    <w:p>
      <w:pPr>
        <w:pStyle w:val="3"/>
        <w:ind w:firstLine="562"/>
      </w:pPr>
      <w:bookmarkStart w:id="20" w:name="_Toc81237736"/>
      <w:r>
        <w:t>指挥与协调</w:t>
      </w:r>
      <w:bookmarkEnd w:id="20"/>
    </w:p>
    <w:p>
      <w:pPr>
        <w:ind w:firstLine="420" w:firstLineChars="200"/>
      </w:pPr>
      <w:r>
        <w:rPr>
          <w:rFonts w:hint="eastAsia"/>
        </w:rPr>
        <w:t>（</w:t>
      </w:r>
      <w:r>
        <w:t>1）一般燃气突发事件：区（镇）政府分管领导或区（镇）政府部门主要领导赶赴现场指挥协调处置。</w:t>
      </w:r>
    </w:p>
    <w:p>
      <w:pPr>
        <w:ind w:firstLine="420" w:firstLineChars="200"/>
      </w:pPr>
      <w:r>
        <w:rPr>
          <w:rFonts w:hint="eastAsia"/>
        </w:rPr>
        <w:t>对于一般突发事件中的敏感事件、具有次生或衍生危害性的事件，区（镇）政府主要领导或分管领导应赶赴现场指挥协调处置。区城镇燃气应急指挥部副总指挥、有关成员单位主要或分管领导应根据需要赶赴现场或到区城镇燃气应急指挥部进行协调处置。</w:t>
      </w:r>
    </w:p>
    <w:p>
      <w:pPr>
        <w:ind w:firstLine="420" w:firstLineChars="200"/>
      </w:pPr>
      <w:r>
        <w:rPr>
          <w:rFonts w:hint="eastAsia"/>
        </w:rPr>
        <w:t>（</w:t>
      </w:r>
      <w:r>
        <w:t>2）较大燃气突发事件：区（镇）政府主要领导或分管领导，区城镇燃气应急指挥部副总指挥、有关成员单位主要领导或分管领导应赶赴现场指挥协调处置。</w:t>
      </w:r>
    </w:p>
    <w:p>
      <w:pPr>
        <w:ind w:firstLine="420" w:firstLineChars="200"/>
      </w:pPr>
      <w:r>
        <w:rPr>
          <w:rFonts w:hint="eastAsia"/>
        </w:rPr>
        <w:t>对于较大突发事件中的敏感事件、具有次生或衍生危害性的事件、人员伤亡和财产损失较多的事件等，区（镇）政府主要领导，区城镇燃气应急指挥部总指挥、有关成员单位主要领导应赶赴现场或到区城镇燃气应急指挥部进行协调处置。</w:t>
      </w:r>
    </w:p>
    <w:p>
      <w:pPr>
        <w:ind w:firstLine="420" w:firstLineChars="200"/>
      </w:pPr>
      <w:r>
        <w:rPr>
          <w:rFonts w:hint="eastAsia"/>
        </w:rPr>
        <w:t>（</w:t>
      </w:r>
      <w:r>
        <w:t>3）重大燃气突发事件：区（镇）政府主要领导，区城镇燃气应急指挥部总指挥，有关成员单位主要领导赶赴现场指挥协调处置。区政府主要领导赶赴现场或到区城镇燃气应急指挥部指挥协调处置。</w:t>
      </w:r>
    </w:p>
    <w:p>
      <w:pPr>
        <w:ind w:firstLine="420" w:firstLineChars="200"/>
      </w:pPr>
      <w:r>
        <w:rPr>
          <w:rFonts w:hint="eastAsia"/>
        </w:rPr>
        <w:t>（</w:t>
      </w:r>
      <w:r>
        <w:t>4）特别重大燃气突发事件：区委、区政府主要领导赶赴现场指挥协调处置。</w:t>
      </w:r>
    </w:p>
    <w:p>
      <w:pPr>
        <w:ind w:firstLine="420" w:firstLineChars="200"/>
      </w:pPr>
      <w:r>
        <w:rPr>
          <w:rFonts w:hint="eastAsia"/>
        </w:rPr>
        <w:t>涉及我区两个以上镇、街道行政区域燃气突发事件处置的，由市专项应急指挥部指挥协调处置。重大及以上突发事件，省、国家成立应急指挥部或派出工作组后，在其指挥下开展处置工作。</w:t>
      </w:r>
    </w:p>
    <w:p>
      <w:pPr>
        <w:pStyle w:val="2"/>
      </w:pPr>
      <w:bookmarkStart w:id="21" w:name="_Toc81237737"/>
      <w:r>
        <w:t>恢复与重建</w:t>
      </w:r>
      <w:bookmarkEnd w:id="21"/>
    </w:p>
    <w:p>
      <w:pPr>
        <w:pStyle w:val="3"/>
        <w:ind w:firstLine="562"/>
      </w:pPr>
      <w:bookmarkStart w:id="22" w:name="_Toc81237738"/>
      <w:r>
        <w:t>善后处置</w:t>
      </w:r>
      <w:bookmarkEnd w:id="22"/>
    </w:p>
    <w:p>
      <w:pPr>
        <w:ind w:firstLine="420" w:firstLineChars="200"/>
      </w:pPr>
      <w:r>
        <w:t>应急结束后，区燃气应急指挥部应：</w:t>
      </w:r>
    </w:p>
    <w:p>
      <w:pPr>
        <w:numPr>
          <w:ilvl w:val="0"/>
          <w:numId w:val="3"/>
        </w:numPr>
        <w:spacing w:line="360" w:lineRule="auto"/>
        <w:ind w:left="0" w:firstLine="420" w:firstLineChars="200"/>
      </w:pPr>
      <w:r>
        <w:t>整理和审查所有的应急记录和文件等资料；</w:t>
      </w:r>
    </w:p>
    <w:p>
      <w:pPr>
        <w:numPr>
          <w:ilvl w:val="0"/>
          <w:numId w:val="3"/>
        </w:numPr>
        <w:spacing w:line="360" w:lineRule="auto"/>
        <w:ind w:left="0" w:firstLine="420" w:firstLineChars="200"/>
      </w:pPr>
      <w:r>
        <w:t>总结和评价导致应急状态的事故情况和在应急期间采取的主要行动。</w:t>
      </w:r>
    </w:p>
    <w:p>
      <w:pPr>
        <w:numPr>
          <w:ilvl w:val="0"/>
          <w:numId w:val="3"/>
        </w:numPr>
        <w:spacing w:line="360" w:lineRule="auto"/>
        <w:ind w:left="0" w:firstLine="420" w:firstLineChars="200"/>
      </w:pPr>
      <w:r>
        <w:t>统计上报在应急救援行动中物资与人员劳务的征用补偿；统计上报应急救援行动中应急资金的使用情况及应急物资的损耗情况，从区财政应急经费中予以补充</w:t>
      </w:r>
      <w:r>
        <w:rPr>
          <w:rFonts w:hint="eastAsia"/>
        </w:rPr>
        <w:t>。</w:t>
      </w:r>
    </w:p>
    <w:p>
      <w:pPr>
        <w:pStyle w:val="3"/>
        <w:ind w:firstLine="562"/>
      </w:pPr>
      <w:bookmarkStart w:id="23" w:name="_Toc81237739"/>
      <w:r>
        <w:t>社会救助</w:t>
      </w:r>
      <w:bookmarkEnd w:id="23"/>
    </w:p>
    <w:p>
      <w:pPr>
        <w:ind w:firstLine="420" w:firstLineChars="200"/>
      </w:pPr>
      <w:r>
        <w:rPr>
          <w:rFonts w:hint="eastAsia"/>
        </w:rPr>
        <w:t>按照有关规定由民政部门归口管理。</w:t>
      </w:r>
    </w:p>
    <w:p>
      <w:pPr>
        <w:pStyle w:val="3"/>
        <w:ind w:firstLine="562"/>
      </w:pPr>
      <w:bookmarkStart w:id="24" w:name="_Toc81237740"/>
      <w:r>
        <w:t>调查与评估</w:t>
      </w:r>
      <w:bookmarkEnd w:id="24"/>
    </w:p>
    <w:p>
      <w:pPr>
        <w:ind w:firstLine="420" w:firstLineChars="200"/>
      </w:pPr>
      <w:r>
        <w:rPr>
          <w:rFonts w:hint="eastAsia"/>
        </w:rPr>
        <w:t>区城镇燃气应急指挥部组织专家工作组和有关部门负责燃气重大事故的调查工作，并写出事件调查报告和经验教训总结及改进建议。区城镇燃气应急指挥部负责将已发生事故的调查报告和经验教训总结及改进建议适时予以通报，并报送上级政府。</w:t>
      </w:r>
    </w:p>
    <w:p>
      <w:pPr>
        <w:ind w:firstLine="420" w:firstLineChars="200"/>
      </w:pPr>
      <w:r>
        <w:rPr>
          <w:rFonts w:hint="eastAsia"/>
        </w:rPr>
        <w:t>燃气重大事件调查报告应包括下列基本内容</w:t>
      </w:r>
    </w:p>
    <w:p>
      <w:pPr>
        <w:ind w:firstLine="420" w:firstLineChars="200"/>
      </w:pPr>
      <w:r>
        <w:t>1、查明的事实；</w:t>
      </w:r>
    </w:p>
    <w:p>
      <w:pPr>
        <w:ind w:firstLine="420" w:firstLineChars="200"/>
      </w:pPr>
      <w:r>
        <w:t>2、事故原因分析及主要依据；</w:t>
      </w:r>
    </w:p>
    <w:p>
      <w:pPr>
        <w:ind w:firstLine="420" w:firstLineChars="200"/>
      </w:pPr>
      <w:r>
        <w:t>3、得出事故结论；</w:t>
      </w:r>
    </w:p>
    <w:p>
      <w:pPr>
        <w:ind w:firstLine="420" w:firstLineChars="200"/>
      </w:pPr>
      <w:r>
        <w:t>4、提供各种必要的附件；</w:t>
      </w:r>
    </w:p>
    <w:p>
      <w:pPr>
        <w:ind w:firstLine="420" w:firstLineChars="200"/>
      </w:pPr>
      <w:r>
        <w:t>5、调查中尚未解决的问题；</w:t>
      </w:r>
    </w:p>
    <w:p>
      <w:pPr>
        <w:ind w:firstLine="420" w:firstLineChars="200"/>
      </w:pPr>
      <w:r>
        <w:t>6、经验教训和安全建议。</w:t>
      </w:r>
    </w:p>
    <w:p>
      <w:pPr>
        <w:pStyle w:val="3"/>
        <w:ind w:firstLine="562"/>
      </w:pPr>
      <w:bookmarkStart w:id="25" w:name="_Toc81237741"/>
      <w:r>
        <w:t>恢复重建</w:t>
      </w:r>
      <w:bookmarkEnd w:id="25"/>
    </w:p>
    <w:p>
      <w:pPr>
        <w:ind w:firstLine="420" w:firstLineChars="200"/>
      </w:pPr>
      <w:r>
        <w:rPr>
          <w:rFonts w:hint="eastAsia"/>
        </w:rPr>
        <w:t>事件处置结束，事发地区镇政府和区政府有关部门要对受灾情况、重建能力及可利用资源进行全面评估，有针对性地制定灾后重建和恢复生产、生活计划，并组织实施。</w:t>
      </w:r>
    </w:p>
    <w:p>
      <w:pPr>
        <w:pStyle w:val="2"/>
      </w:pPr>
      <w:bookmarkStart w:id="26" w:name="_Toc81237742"/>
      <w:r>
        <w:t>应急保障</w:t>
      </w:r>
      <w:bookmarkEnd w:id="26"/>
    </w:p>
    <w:p>
      <w:pPr>
        <w:pStyle w:val="3"/>
        <w:ind w:firstLine="562"/>
      </w:pPr>
      <w:bookmarkStart w:id="27" w:name="_Toc81237743"/>
      <w:r>
        <w:t>应急救援队伍及物资设备保障</w:t>
      </w:r>
      <w:bookmarkEnd w:id="27"/>
    </w:p>
    <w:p>
      <w:pPr>
        <w:ind w:firstLine="420" w:firstLineChars="200"/>
      </w:pPr>
      <w:r>
        <w:rPr>
          <w:rFonts w:hint="eastAsia"/>
        </w:rPr>
        <w:t>燃气重大事故发生后可能要使用的现场救援与工程抢险应急常用设备，由燃气企业和主管部门负责落实，并造表列出明确其类型、数量、性能和存放位置。</w:t>
      </w:r>
    </w:p>
    <w:p>
      <w:pPr>
        <w:ind w:firstLine="420" w:firstLineChars="200"/>
        <w:rPr>
          <w:rFonts w:hint="eastAsia"/>
        </w:rPr>
      </w:pPr>
      <w:r>
        <w:rPr>
          <w:rFonts w:hint="eastAsia"/>
        </w:rPr>
        <w:t>按属地管理的原则。事故发生后，由所在镇、开发区、街道及民政等部门负责调运粮食、食品和救援物质，保障救援和受害区人民的生活必需品供应；组织恢复水、电、气的供应。</w:t>
      </w:r>
    </w:p>
    <w:p>
      <w:pPr>
        <w:pStyle w:val="3"/>
        <w:ind w:firstLine="562"/>
      </w:pPr>
      <w:bookmarkStart w:id="28" w:name="_Toc81237744"/>
      <w:r>
        <w:t>财力保障</w:t>
      </w:r>
      <w:bookmarkEnd w:id="28"/>
    </w:p>
    <w:p>
      <w:pPr>
        <w:ind w:firstLine="420" w:firstLineChars="200"/>
      </w:pPr>
      <w:r>
        <w:rPr>
          <w:rFonts w:hint="eastAsia"/>
        </w:rPr>
        <w:t>由区财政设立专门经费，用于专项应急保障。</w:t>
      </w:r>
    </w:p>
    <w:p>
      <w:pPr>
        <w:pStyle w:val="3"/>
        <w:ind w:firstLine="562"/>
      </w:pPr>
      <w:bookmarkStart w:id="29" w:name="_Toc81237745"/>
      <w:r>
        <w:t>医疗卫生保障</w:t>
      </w:r>
      <w:bookmarkEnd w:id="29"/>
    </w:p>
    <w:p>
      <w:pPr>
        <w:ind w:firstLine="420" w:firstLineChars="200"/>
      </w:pPr>
      <w:r>
        <w:rPr>
          <w:rFonts w:hint="eastAsia"/>
        </w:rPr>
        <w:t>医疗卫生保障由卫健局归口管理。</w:t>
      </w:r>
    </w:p>
    <w:p>
      <w:pPr>
        <w:pStyle w:val="3"/>
        <w:ind w:firstLine="562"/>
      </w:pPr>
      <w:bookmarkStart w:id="30" w:name="_Toc81237746"/>
      <w:r>
        <w:t>交通运输保障</w:t>
      </w:r>
      <w:bookmarkEnd w:id="30"/>
    </w:p>
    <w:p>
      <w:pPr>
        <w:ind w:firstLine="420" w:firstLineChars="200"/>
      </w:pPr>
      <w:r>
        <w:rPr>
          <w:rFonts w:hint="eastAsia"/>
        </w:rPr>
        <w:t>交通运输保障由区交通局归口管理。</w:t>
      </w:r>
    </w:p>
    <w:p>
      <w:pPr>
        <w:pStyle w:val="3"/>
        <w:ind w:firstLine="562"/>
      </w:pPr>
      <w:bookmarkStart w:id="31" w:name="_Toc81237747"/>
      <w:r>
        <w:t>治安维护</w:t>
      </w:r>
      <w:bookmarkEnd w:id="31"/>
    </w:p>
    <w:p>
      <w:pPr>
        <w:ind w:firstLine="420" w:firstLineChars="200"/>
      </w:pPr>
      <w:r>
        <w:rPr>
          <w:rFonts w:hint="eastAsia"/>
        </w:rPr>
        <w:t>治安维护由公安部门归口管理。</w:t>
      </w:r>
    </w:p>
    <w:p>
      <w:pPr>
        <w:pStyle w:val="3"/>
        <w:ind w:firstLine="562"/>
      </w:pPr>
      <w:bookmarkStart w:id="32" w:name="_Toc81237748"/>
      <w:r>
        <w:t>通信保障</w:t>
      </w:r>
      <w:bookmarkEnd w:id="32"/>
    </w:p>
    <w:p>
      <w:pPr>
        <w:ind w:firstLine="420" w:firstLineChars="200"/>
      </w:pPr>
      <w:r>
        <w:t>建立以区燃气重大事故应急响应为核心的通信系统，并建立相应的通讯能力保持制度，以保证应急响应期间通信联络的需要。</w:t>
      </w:r>
    </w:p>
    <w:p>
      <w:pPr>
        <w:ind w:firstLine="560"/>
      </w:pPr>
      <w:r>
        <w:t>应急响应通信能力不足时，由区电信部门和通信服务商负责采取措施保障通信畅通。</w:t>
      </w:r>
    </w:p>
    <w:p>
      <w:pPr>
        <w:pStyle w:val="3"/>
        <w:ind w:firstLine="562"/>
      </w:pPr>
      <w:bookmarkStart w:id="33" w:name="_Toc81237749"/>
      <w:r>
        <w:t>人员防护保障</w:t>
      </w:r>
      <w:bookmarkEnd w:id="33"/>
    </w:p>
    <w:p>
      <w:pPr>
        <w:ind w:firstLine="420" w:firstLineChars="200"/>
      </w:pPr>
      <w:r>
        <w:rPr>
          <w:rFonts w:hint="eastAsia"/>
        </w:rPr>
        <w:t>武进区、各镇人民政府应当完善紧急疏散管理办法和程序，明确各级责任人，确保在紧急情况下公众安全、有序地转移或者疏散到应急避难场所或者其他安全地带。</w:t>
      </w:r>
    </w:p>
    <w:p>
      <w:pPr>
        <w:ind w:firstLine="420" w:firstLineChars="200"/>
      </w:pPr>
      <w:r>
        <w:rPr>
          <w:rFonts w:hint="eastAsia"/>
        </w:rPr>
        <w:t>在处置城镇燃气突发事件过程中，相关部门（单位）应当充分考虑城镇燃气突发事件的类型和特点及对人员造成危害的可能性和所有危害种类，制定科学合理、切实可行的应急救援方案，配备先进适用、安全可靠的安全防护设备，采取必要的防范措施，确保人员安全。</w:t>
      </w:r>
    </w:p>
    <w:p>
      <w:pPr>
        <w:pStyle w:val="3"/>
        <w:ind w:firstLine="562"/>
      </w:pPr>
      <w:bookmarkStart w:id="34" w:name="_Toc81237750"/>
      <w:r>
        <w:t>应急避难场所保障</w:t>
      </w:r>
      <w:bookmarkEnd w:id="34"/>
    </w:p>
    <w:p>
      <w:pPr>
        <w:ind w:firstLine="420" w:firstLineChars="200"/>
      </w:pPr>
      <w:r>
        <w:rPr>
          <w:rFonts w:hint="eastAsia"/>
        </w:rPr>
        <w:t>由区政府统一规划安排，区燃气事故应急指挥部应负责具体实施，所在乡镇、开发区政府配合工作。</w:t>
      </w:r>
    </w:p>
    <w:p>
      <w:pPr>
        <w:pStyle w:val="3"/>
      </w:pPr>
      <w:bookmarkStart w:id="35" w:name="_Toc81237751"/>
      <w:r>
        <w:rPr>
          <w:rFonts w:hint="eastAsia"/>
        </w:rPr>
        <w:t>社会动员保障</w:t>
      </w:r>
      <w:bookmarkEnd w:id="35"/>
    </w:p>
    <w:p>
      <w:pPr>
        <w:ind w:firstLine="420" w:firstLineChars="200"/>
        <w:rPr>
          <w:rFonts w:hint="eastAsia"/>
        </w:rPr>
      </w:pPr>
      <w:r>
        <w:rPr>
          <w:rFonts w:hint="eastAsia"/>
        </w:rPr>
        <w:t>在必要情况下，报区政府进行社会动员工作。由区民政局和红十字会负责。</w:t>
      </w:r>
    </w:p>
    <w:p>
      <w:pPr>
        <w:pStyle w:val="3"/>
        <w:ind w:firstLine="562"/>
      </w:pPr>
      <w:bookmarkStart w:id="36" w:name="_Toc81237752"/>
      <w:r>
        <w:t>生活保障</w:t>
      </w:r>
      <w:bookmarkEnd w:id="36"/>
    </w:p>
    <w:p>
      <w:pPr>
        <w:ind w:firstLine="420" w:firstLineChars="200"/>
      </w:pPr>
      <w:r>
        <w:rPr>
          <w:rFonts w:hint="eastAsia"/>
        </w:rPr>
        <w:t>各有关部门（单位）要会同事发地区政府动员各方面力量做好受灾群众的基本生活保障工作。事发地区政府负责汇总统计参加抢险救援队伍、人数情况，组织镇（街道）等单位配合做好抢险救援人员的食宿生活保障工作。</w:t>
      </w:r>
    </w:p>
    <w:p>
      <w:pPr>
        <w:pStyle w:val="3"/>
        <w:ind w:firstLine="562"/>
      </w:pPr>
      <w:bookmarkStart w:id="37" w:name="_Toc81237753"/>
      <w:r>
        <w:t>科技支撑</w:t>
      </w:r>
      <w:bookmarkEnd w:id="37"/>
    </w:p>
    <w:p>
      <w:pPr>
        <w:ind w:firstLine="420" w:firstLineChars="200"/>
      </w:pPr>
      <w:r>
        <w:rPr>
          <w:rFonts w:hint="eastAsia"/>
        </w:rPr>
        <w:t>支持、鼓励城镇燃气经营企业配备用于城镇燃气突发事件预防、监测、预警、应急处置与救援的新技术、新设备和新工具。</w:t>
      </w:r>
    </w:p>
    <w:p>
      <w:pPr>
        <w:ind w:firstLine="560"/>
      </w:pPr>
      <w:r>
        <w:rPr>
          <w:rFonts w:hint="eastAsia"/>
        </w:rPr>
        <w:t>建立互联互通的市、区、企业级应急平台，并纳入武进区、常州市应急管理平台体系</w:t>
      </w:r>
    </w:p>
    <w:p>
      <w:pPr>
        <w:pStyle w:val="3"/>
        <w:ind w:firstLine="562"/>
      </w:pPr>
      <w:bookmarkStart w:id="38" w:name="_Toc81237754"/>
      <w:r>
        <w:t>气象服务保障</w:t>
      </w:r>
      <w:bookmarkEnd w:id="38"/>
    </w:p>
    <w:p>
      <w:pPr>
        <w:ind w:firstLine="420" w:firstLineChars="200"/>
      </w:pPr>
      <w:r>
        <w:rPr>
          <w:rFonts w:hint="eastAsia"/>
        </w:rPr>
        <w:t>武进区城镇燃气突发事件气象服务依托于常州市气象局，由市气象局负责气象服务保障工作，提供天气预报并加强对极端天气和相关自然灾害的监测和预警。根据预防和应对城镇燃气突发事件的需要，提供局部地区气象监测预警服务。</w:t>
      </w:r>
    </w:p>
    <w:p>
      <w:pPr>
        <w:pStyle w:val="2"/>
      </w:pPr>
      <w:bookmarkStart w:id="39" w:name="_Toc81237755"/>
      <w:r>
        <w:t>宣传培训和演练</w:t>
      </w:r>
      <w:bookmarkEnd w:id="39"/>
    </w:p>
    <w:p>
      <w:pPr>
        <w:pStyle w:val="3"/>
        <w:ind w:firstLine="562"/>
      </w:pPr>
      <w:bookmarkStart w:id="40" w:name="_Toc81237756"/>
      <w:r>
        <w:t>应急宣传</w:t>
      </w:r>
      <w:bookmarkEnd w:id="40"/>
    </w:p>
    <w:p>
      <w:pPr>
        <w:ind w:firstLine="420" w:firstLineChars="200"/>
      </w:pPr>
      <w:r>
        <w:rPr>
          <w:rFonts w:hint="eastAsia"/>
        </w:rPr>
        <w:t>（</w:t>
      </w:r>
      <w:r>
        <w:t>1）由区城镇燃气突发事件应急指挥部办公室负责，组织制定宣传计划，编制应急宣传资料；</w:t>
      </w:r>
    </w:p>
    <w:p>
      <w:pPr>
        <w:ind w:firstLine="420" w:firstLineChars="200"/>
      </w:pPr>
      <w:r>
        <w:rPr>
          <w:rFonts w:hint="eastAsia"/>
        </w:rPr>
        <w:t>（</w:t>
      </w:r>
      <w:r>
        <w:t>2）各成员单位应当会同有关部门通过广播、电视、互联网等方式，广泛宣传应急预防、避险、逃生、自救、互救等基本常识，增强公众的安全意识和社会责任意识。</w:t>
      </w:r>
    </w:p>
    <w:p>
      <w:pPr>
        <w:pStyle w:val="3"/>
        <w:ind w:firstLine="562"/>
      </w:pPr>
      <w:bookmarkStart w:id="41" w:name="_Toc81237757"/>
      <w:r>
        <w:t>应急教育</w:t>
      </w:r>
      <w:bookmarkEnd w:id="41"/>
    </w:p>
    <w:p>
      <w:pPr>
        <w:ind w:firstLine="420" w:firstLineChars="200"/>
      </w:pPr>
      <w:r>
        <w:rPr>
          <w:rFonts w:hint="eastAsia"/>
        </w:rPr>
        <w:t>（</w:t>
      </w:r>
      <w:r>
        <w:t>1）区城镇燃气突发事件应急指挥部办公室应当组织各成员单位向公众开展应急教育活动；</w:t>
      </w:r>
    </w:p>
    <w:p>
      <w:pPr>
        <w:ind w:firstLine="420" w:firstLineChars="200"/>
      </w:pPr>
      <w:r>
        <w:rPr>
          <w:rFonts w:hint="eastAsia"/>
        </w:rPr>
        <w:t>（</w:t>
      </w:r>
      <w:r>
        <w:t>2）各成员单位结合自身职责范围有组织、有计划向公众提供技能培训和知识讲座，在电视等媒介开辟应急教育公益栏目，让公众掌握避险、自救、逃生等基本知识和技能；</w:t>
      </w:r>
    </w:p>
    <w:p>
      <w:pPr>
        <w:ind w:firstLine="560"/>
      </w:pPr>
      <w:r>
        <w:rPr>
          <w:rFonts w:hint="eastAsia"/>
        </w:rPr>
        <w:t>（</w:t>
      </w:r>
      <w:r>
        <w:t>3）各城镇燃气企业应当以安全用气和保护城镇燃气设施为核心内容，以城镇燃气用户等社会公众为对象，通过城镇燃气销售、服务环节以及设立安全应急咨询等渠道切实加强宣传工作的针对性和实效性。</w:t>
      </w:r>
    </w:p>
    <w:p>
      <w:pPr>
        <w:pStyle w:val="3"/>
        <w:ind w:firstLine="562"/>
      </w:pPr>
      <w:bookmarkStart w:id="42" w:name="_Toc81237758"/>
      <w:r>
        <w:t>培训</w:t>
      </w:r>
      <w:bookmarkEnd w:id="42"/>
    </w:p>
    <w:p>
      <w:pPr>
        <w:ind w:firstLine="420" w:firstLineChars="200"/>
      </w:pPr>
      <w:r>
        <w:rPr>
          <w:rFonts w:hint="eastAsia"/>
        </w:rPr>
        <w:t>区城镇燃气突发事件应急指挥部各成员单位应当针对城镇燃气突发事件特点，定期或者不定期组织有关人员培训。城镇燃气经营企业应当将应急教育培训工作纳入日常管理，定期开展相关培训。</w:t>
      </w:r>
    </w:p>
    <w:p>
      <w:pPr>
        <w:ind w:firstLine="420" w:firstLineChars="200"/>
      </w:pPr>
      <w:r>
        <w:rPr>
          <w:rFonts w:hint="eastAsia"/>
        </w:rPr>
        <w:t>对所有参与燃气重大事故应急准备与响应的人员都应进行教育培训。</w:t>
      </w:r>
    </w:p>
    <w:p>
      <w:pPr>
        <w:ind w:firstLine="420" w:firstLineChars="200"/>
      </w:pPr>
      <w:r>
        <w:rPr>
          <w:rFonts w:hint="eastAsia"/>
        </w:rPr>
        <w:t>区住建局负责制定燃气事故应急队伍和人员的教育培训计划，并组织实施。</w:t>
      </w:r>
    </w:p>
    <w:p>
      <w:pPr>
        <w:pStyle w:val="3"/>
        <w:ind w:firstLine="562"/>
      </w:pPr>
      <w:bookmarkStart w:id="43" w:name="_Toc81237759"/>
      <w:r>
        <w:t>应急演练</w:t>
      </w:r>
      <w:bookmarkEnd w:id="43"/>
    </w:p>
    <w:p>
      <w:pPr>
        <w:ind w:firstLine="420" w:firstLineChars="200"/>
      </w:pPr>
      <w:r>
        <w:rPr>
          <w:rFonts w:hint="eastAsia"/>
        </w:rPr>
        <w:t>区住建局对区燃气重大事故应急预案应组织相关部门开展应急演练，根据演练的情况提出对预案的修订建议，报区燃气应急指挥部批准、完善预案</w:t>
      </w:r>
      <w:r>
        <w:t>。</w:t>
      </w:r>
    </w:p>
    <w:p>
      <w:pPr>
        <w:pStyle w:val="2"/>
      </w:pPr>
      <w:bookmarkStart w:id="44" w:name="_Toc81237760"/>
      <w:r>
        <w:t>监督管理</w:t>
      </w:r>
      <w:bookmarkEnd w:id="44"/>
    </w:p>
    <w:p>
      <w:pPr>
        <w:pStyle w:val="3"/>
        <w:ind w:firstLine="562"/>
      </w:pPr>
      <w:bookmarkStart w:id="45" w:name="_Toc81237761"/>
      <w:r>
        <w:t>监督检查</w:t>
      </w:r>
      <w:bookmarkEnd w:id="45"/>
    </w:p>
    <w:p>
      <w:pPr>
        <w:ind w:firstLine="420" w:firstLineChars="200"/>
      </w:pPr>
      <w:r>
        <w:rPr>
          <w:rFonts w:hint="eastAsia"/>
        </w:rPr>
        <w:t>武进区住房和城乡建设局和燃气企业应当将城镇燃气生产经营单位突发事件应急预案工作纳入年度监督检查计划，明确检查的重点内容和标准，并严格按照计划开展执法检查。</w:t>
      </w:r>
    </w:p>
    <w:p>
      <w:pPr>
        <w:ind w:firstLine="420" w:firstLineChars="200"/>
      </w:pPr>
      <w:r>
        <w:rPr>
          <w:rFonts w:hint="eastAsia"/>
        </w:rPr>
        <w:t>武进区住房和城乡建设局应当每年对应急预案的监督管理工作情况进行总结，并报上一级人民政府应急管理部门。应急预案编制单位应当建立应急预案定期评估制度，对预案内容的针对性和实用性进行分析，并对应急预案是否需要修订作出结论。</w:t>
      </w:r>
    </w:p>
    <w:p>
      <w:pPr>
        <w:pStyle w:val="3"/>
        <w:ind w:firstLine="562"/>
      </w:pPr>
      <w:bookmarkStart w:id="46" w:name="_Toc81237762"/>
      <w:r>
        <w:t>责任与奖惩</w:t>
      </w:r>
      <w:bookmarkEnd w:id="46"/>
    </w:p>
    <w:p>
      <w:pPr>
        <w:ind w:firstLine="420" w:firstLineChars="200"/>
      </w:pPr>
      <w:r>
        <w:rPr>
          <w:rFonts w:hint="eastAsia"/>
        </w:rPr>
        <w:t>在燃气事故险情应急救援工作中有下列行为之一的，按照法律、法规及有关规定，对有关责任人员视情节和危害后果，由其所在单位或者上级机关给予行政处分。属于违反治安管理行为的，由公安机关依照有关法律法规的规定予以处罚；构成犯罪的，由司法机关依法追究刑事责任：</w:t>
      </w:r>
    </w:p>
    <w:p>
      <w:pPr>
        <w:ind w:firstLine="420" w:firstLineChars="200"/>
      </w:pPr>
      <w:r>
        <w:t xml:space="preserve">1、不按照规定执行应急预案，拒绝履行应急义务的； </w:t>
      </w:r>
    </w:p>
    <w:p>
      <w:pPr>
        <w:ind w:firstLine="420" w:firstLineChars="200"/>
      </w:pPr>
      <w:r>
        <w:t xml:space="preserve">2、未依照本预案的规定履行事故报告职责，隐瞒、缓报、谎报或者授意他人隐瞒、缓报、谎报的； </w:t>
      </w:r>
    </w:p>
    <w:p>
      <w:pPr>
        <w:ind w:firstLine="420" w:firstLineChars="200"/>
      </w:pPr>
      <w:r>
        <w:t xml:space="preserve">3、未依照本预案的规定落实事故应急处理所需要的设施、设备、救援物品等物资储备的，或盗窃、挪用、贪污应急工作资金或者物资的； </w:t>
      </w:r>
    </w:p>
    <w:p>
      <w:pPr>
        <w:ind w:firstLine="420" w:firstLineChars="200"/>
      </w:pPr>
      <w:r>
        <w:t xml:space="preserve">4、应急抢险救援工作中玩忽职守或不听从指挥、临阵逃脱、擅离职守的； </w:t>
      </w:r>
    </w:p>
    <w:p>
      <w:pPr>
        <w:ind w:firstLine="420" w:firstLineChars="200"/>
      </w:pPr>
      <w:r>
        <w:t xml:space="preserve">5、阻碍应急工作人员依法执行任务或者进行破坏活动的； </w:t>
      </w:r>
    </w:p>
    <w:p>
      <w:pPr>
        <w:ind w:firstLine="420" w:firstLineChars="200"/>
      </w:pPr>
      <w:r>
        <w:t xml:space="preserve">6、对引发燃气安全事故有重要责任的； </w:t>
      </w:r>
    </w:p>
    <w:p>
      <w:pPr>
        <w:ind w:firstLine="420" w:firstLineChars="200"/>
      </w:pPr>
      <w:r>
        <w:t xml:space="preserve">7、散布谣言，扰乱社会秩序的； </w:t>
      </w:r>
    </w:p>
    <w:p>
      <w:pPr>
        <w:ind w:firstLine="420" w:firstLineChars="200"/>
      </w:pPr>
      <w:r>
        <w:t xml:space="preserve">8、应急救援工作中不听从指挥的； </w:t>
      </w:r>
    </w:p>
    <w:p>
      <w:pPr>
        <w:ind w:firstLine="420" w:firstLineChars="200"/>
      </w:pPr>
      <w:r>
        <w:t xml:space="preserve">9、妨碍抢险救援工作的； </w:t>
      </w:r>
    </w:p>
    <w:p>
      <w:pPr>
        <w:ind w:firstLine="420" w:firstLineChars="200"/>
      </w:pPr>
      <w:r>
        <w:t>10、有其他危害应急工作行为的</w:t>
      </w:r>
      <w:r>
        <w:rPr>
          <w:rFonts w:hint="eastAsia"/>
        </w:rPr>
        <w:t>。</w:t>
      </w:r>
    </w:p>
    <w:p>
      <w:pPr>
        <w:pStyle w:val="2"/>
      </w:pPr>
      <w:bookmarkStart w:id="47" w:name="_Toc81237763"/>
      <w:r>
        <w:t>附则</w:t>
      </w:r>
      <w:bookmarkEnd w:id="47"/>
    </w:p>
    <w:p>
      <w:pPr>
        <w:pStyle w:val="3"/>
        <w:ind w:firstLine="562"/>
      </w:pPr>
      <w:bookmarkStart w:id="48" w:name="_Toc81237764"/>
      <w:r>
        <w:t>名词术语</w:t>
      </w:r>
      <w:bookmarkEnd w:id="48"/>
    </w:p>
    <w:p>
      <w:pPr>
        <w:ind w:firstLine="420" w:firstLineChars="200"/>
      </w:pPr>
      <w:r>
        <w:rPr>
          <w:rFonts w:hint="eastAsia"/>
        </w:rPr>
        <w:t>城镇燃气：指通过输配系统供给居民生活、商业、工业企业生产、采暖通风和空调等各类用户公用性质的，且符合《城镇燃气设计规范》燃气质量要求的可燃气体。包括天然气（含煤层气）、液化石油气和人工煤气等。</w:t>
      </w:r>
    </w:p>
    <w:p>
      <w:pPr>
        <w:ind w:firstLine="420" w:firstLineChars="200"/>
      </w:pPr>
      <w:r>
        <w:rPr>
          <w:rFonts w:hint="eastAsia"/>
        </w:rPr>
        <w:t>燃气设施：包括燃气生产、储运、输配、供应的各种设备及其附属设施。即包括城镇燃气管道及其附件、门站、储配站、灌瓶站、气化站、混气站、调压站、调压箱、瓶装供应站、用户设施和用气设备。</w:t>
      </w:r>
    </w:p>
    <w:p>
      <w:pPr>
        <w:ind w:firstLine="420" w:firstLineChars="200"/>
      </w:pPr>
      <w:r>
        <w:rPr>
          <w:rFonts w:hint="eastAsia"/>
        </w:rPr>
        <w:t>燃气企业：是指从事燃气生产、储运、输配、供应的企业。</w:t>
      </w:r>
    </w:p>
    <w:p>
      <w:pPr>
        <w:ind w:firstLine="420" w:firstLineChars="200"/>
      </w:pPr>
      <w:r>
        <w:rPr>
          <w:rFonts w:hint="eastAsia"/>
        </w:rPr>
        <w:t>抢修：燃气设施发生危及安全的泄漏以及引起中毒、火灾、爆炸等事故时，采取紧急措施的作业过程。</w:t>
      </w:r>
    </w:p>
    <w:p>
      <w:pPr>
        <w:ind w:firstLine="420" w:firstLineChars="200"/>
      </w:pPr>
      <w:r>
        <w:rPr>
          <w:rFonts w:hint="eastAsia"/>
        </w:rPr>
        <w:t>运行：从事燃气供应的专业人员，按照工艺要求和操作规程对燃气设施进行巡视、操作、记录等常规工作。</w:t>
      </w:r>
    </w:p>
    <w:p>
      <w:pPr>
        <w:ind w:firstLine="420" w:firstLineChars="200"/>
      </w:pPr>
      <w:r>
        <w:rPr>
          <w:rFonts w:hint="eastAsia"/>
        </w:rPr>
        <w:t>应急：是指需要立即采取某些超出正常工作程序的行动，以避免事故发生或者减轻事故后果的状态，有时也称为紧急状态，同时，也泛指立即采取超出正常工作程序的行动。</w:t>
      </w:r>
    </w:p>
    <w:p>
      <w:pPr>
        <w:pStyle w:val="3"/>
        <w:ind w:firstLine="562"/>
      </w:pPr>
      <w:bookmarkStart w:id="49" w:name="_Toc81237765"/>
      <w:r>
        <w:t>预案管理与修订</w:t>
      </w:r>
      <w:bookmarkEnd w:id="49"/>
    </w:p>
    <w:p>
      <w:pPr>
        <w:ind w:firstLine="420" w:firstLineChars="200"/>
      </w:pPr>
      <w:r>
        <w:rPr>
          <w:rFonts w:hint="eastAsia"/>
        </w:rPr>
        <w:t>本预案由武进区住房和城乡建设局负责制定、管理、解释、实施，并按规定向区政府备案。各镇政府应参照本预案，结合实际情况，制定本辖区燃气突发事件应急预案，按规定进行备案。</w:t>
      </w:r>
    </w:p>
    <w:p>
      <w:pPr>
        <w:ind w:firstLine="420" w:firstLineChars="200"/>
      </w:pPr>
      <w:r>
        <w:rPr>
          <w:rFonts w:hint="eastAsia"/>
        </w:rPr>
        <w:t>区城镇燃区突发事件应急指挥部办公室按照有关规定，结合应急处置和演练总结评估情况，适时组织对本预案进行修订，实现预案可持续改进。</w:t>
      </w:r>
    </w:p>
    <w:p>
      <w:pPr>
        <w:pStyle w:val="3"/>
        <w:ind w:firstLine="562"/>
      </w:pPr>
      <w:bookmarkStart w:id="50" w:name="_Toc81237766"/>
      <w:r>
        <w:t>制定与解释</w:t>
      </w:r>
      <w:bookmarkEnd w:id="50"/>
    </w:p>
    <w:p>
      <w:pPr>
        <w:ind w:firstLine="420" w:firstLineChars="200"/>
      </w:pPr>
      <w:r>
        <w:rPr>
          <w:rFonts w:hint="eastAsia"/>
        </w:rPr>
        <w:t>本预案由武进区住房和城乡建设局制定和负责解释。</w:t>
      </w:r>
    </w:p>
    <w:p>
      <w:pPr>
        <w:pStyle w:val="3"/>
        <w:ind w:firstLine="562"/>
      </w:pPr>
      <w:bookmarkStart w:id="51" w:name="_Toc81237767"/>
      <w:r>
        <w:t>预案实施</w:t>
      </w:r>
      <w:bookmarkEnd w:id="51"/>
    </w:p>
    <w:p>
      <w:pPr>
        <w:ind w:firstLine="420" w:firstLineChars="200"/>
      </w:pPr>
      <w:r>
        <w:rPr>
          <w:rFonts w:hint="eastAsia"/>
        </w:rPr>
        <w:t>本预案自发布之日起实施。</w:t>
      </w:r>
    </w:p>
    <w:p>
      <w:pPr>
        <w:ind w:firstLine="560"/>
        <w:rPr>
          <w:rFonts w:hint="eastAsia"/>
        </w:rPr>
      </w:pPr>
    </w:p>
    <w:p>
      <w:pPr>
        <w:pStyle w:val="2"/>
      </w:pPr>
      <w:r>
        <w:br w:type="page"/>
      </w:r>
      <w:bookmarkStart w:id="52" w:name="_Toc81237768"/>
      <w:r>
        <w:t>附件</w:t>
      </w:r>
      <w:bookmarkEnd w:id="52"/>
    </w:p>
    <w:p>
      <w:r>
        <w:rPr>
          <w:rFonts w:hint="eastAsia"/>
        </w:rPr>
        <w:t>附件</w:t>
      </w:r>
      <w:r>
        <w:t>1：武进区城镇燃气突发事件应急指挥部组织架构图</w:t>
      </w:r>
    </w:p>
    <w:p>
      <w:r>
        <w:drawing>
          <wp:inline distT="0" distB="0" distL="0" distR="0">
            <wp:extent cx="5332095" cy="7016750"/>
            <wp:effectExtent l="19050" t="0" r="1905" b="0"/>
            <wp:docPr id="2" name="图片 2" descr="总指挥：武进区副区长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总指挥：武进区副区长2"/>
                    <pic:cNvPicPr>
                      <a:picLocks noChangeAspect="1" noChangeArrowheads="1"/>
                    </pic:cNvPicPr>
                  </pic:nvPicPr>
                  <pic:blipFill>
                    <a:blip r:embed="rId10" cstate="print"/>
                    <a:srcRect/>
                    <a:stretch>
                      <a:fillRect/>
                    </a:stretch>
                  </pic:blipFill>
                  <pic:spPr>
                    <a:xfrm>
                      <a:off x="0" y="0"/>
                      <a:ext cx="5332095" cy="7016750"/>
                    </a:xfrm>
                    <a:prstGeom prst="rect">
                      <a:avLst/>
                    </a:prstGeom>
                    <a:noFill/>
                    <a:ln w="9525">
                      <a:noFill/>
                      <a:miter lim="800000"/>
                      <a:headEnd/>
                      <a:tailEnd/>
                    </a:ln>
                  </pic:spPr>
                </pic:pic>
              </a:graphicData>
            </a:graphic>
          </wp:inline>
        </w:drawing>
      </w:r>
    </w:p>
    <w:p>
      <w:pPr>
        <w:ind w:firstLine="560"/>
        <w:rPr>
          <w:rFonts w:hint="eastAsia"/>
        </w:rPr>
      </w:pPr>
    </w:p>
    <w:p>
      <w:r>
        <w:rPr>
          <w:rFonts w:hint="eastAsia"/>
        </w:rPr>
        <w:t>附件</w:t>
      </w:r>
      <w:r>
        <w:t>2：武进区城镇燃气突发事件分级响应流程图</w:t>
      </w:r>
    </w:p>
    <w:p>
      <w:r>
        <w:object>
          <v:shape id="_x0000_i1026" o:spt="75" type="#_x0000_t75" style="height:607.85pt;width:401.7pt;" o:ole="t" filled="f" o:preferrelative="t" stroked="f" coordsize="21600,21600">
            <v:path/>
            <v:fill on="f" focussize="0,0"/>
            <v:stroke on="f" joinstyle="miter"/>
            <v:imagedata r:id="rId12" o:title=""/>
            <o:lock v:ext="edit" aspectratio="t"/>
            <w10:wrap type="none"/>
            <w10:anchorlock/>
          </v:shape>
          <o:OLEObject Type="Embed" ProgID="Visio.Drawing.11" ShapeID="_x0000_i1026" DrawAspect="Content" ObjectID="_1468075726" r:id="rId11">
            <o:LockedField>false</o:LockedField>
          </o:OLEObject>
        </w:object>
      </w:r>
    </w:p>
    <w:p>
      <w:r>
        <w:rPr>
          <w:rFonts w:hint="eastAsia"/>
        </w:rPr>
        <w:t>附件3：武进区</w:t>
      </w:r>
      <w:r>
        <w:t>应急物资装备储备</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2184"/>
        <w:gridCol w:w="3115"/>
        <w:gridCol w:w="940"/>
        <w:gridCol w:w="940"/>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b/>
              </w:rPr>
            </w:pPr>
            <w:r>
              <w:rPr>
                <w:rFonts w:hint="eastAsia"/>
                <w:b/>
              </w:rPr>
              <w:t>序号</w:t>
            </w:r>
          </w:p>
        </w:tc>
        <w:tc>
          <w:tcPr>
            <w:tcW w:w="120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b/>
              </w:rPr>
            </w:pPr>
            <w:r>
              <w:rPr>
                <w:rFonts w:hint="eastAsia"/>
                <w:b/>
              </w:rPr>
              <w:t>种类</w:t>
            </w:r>
          </w:p>
        </w:tc>
        <w:tc>
          <w:tcPr>
            <w:tcW w:w="17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b/>
              </w:rPr>
            </w:pPr>
            <w:r>
              <w:rPr>
                <w:rFonts w:hint="eastAsia"/>
                <w:b/>
              </w:rPr>
              <w:t>名称</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b/>
              </w:rPr>
            </w:pPr>
            <w:r>
              <w:rPr>
                <w:rFonts w:hint="eastAsia"/>
                <w:b/>
              </w:rPr>
              <w:t>数量</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b/>
              </w:rPr>
            </w:pPr>
            <w:r>
              <w:rPr>
                <w:rFonts w:hint="eastAsia"/>
                <w:b/>
              </w:rPr>
              <w:t>单位</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numPr>
                <w:ilvl w:val="0"/>
                <w:numId w:val="4"/>
              </w:numPr>
              <w:rPr>
                <w:rFonts w:hint="eastAsia"/>
              </w:rPr>
            </w:pPr>
          </w:p>
        </w:tc>
        <w:tc>
          <w:tcPr>
            <w:tcW w:w="120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消防器材</w:t>
            </w:r>
          </w:p>
          <w:p>
            <w:pPr>
              <w:pStyle w:val="64"/>
              <w:rPr>
                <w:rFonts w:hint="eastAsia"/>
              </w:rPr>
            </w:pPr>
            <w:r>
              <w:rPr>
                <w:rFonts w:hint="eastAsia"/>
              </w:rPr>
              <w:t>及设施</w:t>
            </w:r>
          </w:p>
        </w:tc>
        <w:tc>
          <w:tcPr>
            <w:tcW w:w="17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灭火器</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4</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个</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numPr>
                <w:ilvl w:val="0"/>
                <w:numId w:val="4"/>
              </w:numPr>
              <w:rPr>
                <w:rFonts w:hint="eastAsia"/>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64"/>
            </w:pPr>
          </w:p>
        </w:tc>
        <w:tc>
          <w:tcPr>
            <w:tcW w:w="17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消防水带</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2</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条</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numPr>
                <w:ilvl w:val="0"/>
                <w:numId w:val="4"/>
              </w:numPr>
              <w:rPr>
                <w:rFonts w:hint="eastAsia"/>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64"/>
            </w:pPr>
          </w:p>
        </w:tc>
        <w:tc>
          <w:tcPr>
            <w:tcW w:w="17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消防水枪</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2</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支</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numPr>
                <w:ilvl w:val="0"/>
                <w:numId w:val="4"/>
              </w:numPr>
              <w:rPr>
                <w:rFonts w:hint="eastAsia"/>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64"/>
            </w:pPr>
          </w:p>
        </w:tc>
        <w:tc>
          <w:tcPr>
            <w:tcW w:w="17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消防扳手</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4</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把</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numPr>
                <w:ilvl w:val="0"/>
                <w:numId w:val="4"/>
              </w:numPr>
              <w:rPr>
                <w:rFonts w:hint="eastAsia"/>
              </w:rPr>
            </w:pPr>
          </w:p>
        </w:tc>
        <w:tc>
          <w:tcPr>
            <w:tcW w:w="120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个人防护用品</w:t>
            </w:r>
          </w:p>
        </w:tc>
        <w:tc>
          <w:tcPr>
            <w:tcW w:w="17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空气呼吸器</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2</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套</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numPr>
                <w:ilvl w:val="0"/>
                <w:numId w:val="4"/>
              </w:numPr>
              <w:rPr>
                <w:rFonts w:hint="eastAsia"/>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64"/>
            </w:pPr>
          </w:p>
        </w:tc>
        <w:tc>
          <w:tcPr>
            <w:tcW w:w="17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氧气袋</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2</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个</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numPr>
                <w:ilvl w:val="0"/>
                <w:numId w:val="4"/>
              </w:numPr>
              <w:rPr>
                <w:rFonts w:hint="eastAsia"/>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64"/>
            </w:pPr>
          </w:p>
        </w:tc>
        <w:tc>
          <w:tcPr>
            <w:tcW w:w="17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防毒面具</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4</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个</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numPr>
                <w:ilvl w:val="0"/>
                <w:numId w:val="4"/>
              </w:numPr>
              <w:rPr>
                <w:rFonts w:hint="eastAsia"/>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64"/>
            </w:pPr>
          </w:p>
        </w:tc>
        <w:tc>
          <w:tcPr>
            <w:tcW w:w="17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浸塑手套</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4</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副</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numPr>
                <w:ilvl w:val="0"/>
                <w:numId w:val="4"/>
              </w:numPr>
              <w:rPr>
                <w:rFonts w:hint="eastAsia"/>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64"/>
            </w:pPr>
          </w:p>
        </w:tc>
        <w:tc>
          <w:tcPr>
            <w:tcW w:w="17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安全帽</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20</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顶</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numPr>
                <w:ilvl w:val="0"/>
                <w:numId w:val="4"/>
              </w:numPr>
              <w:rPr>
                <w:rFonts w:hint="eastAsia"/>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64"/>
            </w:pPr>
          </w:p>
        </w:tc>
        <w:tc>
          <w:tcPr>
            <w:tcW w:w="17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急救箱</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3</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个</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numPr>
                <w:ilvl w:val="0"/>
                <w:numId w:val="4"/>
              </w:numPr>
              <w:rPr>
                <w:rFonts w:hint="eastAsia"/>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64"/>
            </w:pPr>
          </w:p>
        </w:tc>
        <w:tc>
          <w:tcPr>
            <w:tcW w:w="17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口罩</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50</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只</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numPr>
                <w:ilvl w:val="0"/>
                <w:numId w:val="4"/>
              </w:numPr>
              <w:rPr>
                <w:rFonts w:hint="eastAsia"/>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64"/>
            </w:pPr>
          </w:p>
        </w:tc>
        <w:tc>
          <w:tcPr>
            <w:tcW w:w="17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防护眼镜</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4</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副</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numPr>
                <w:ilvl w:val="0"/>
                <w:numId w:val="4"/>
              </w:numPr>
              <w:rPr>
                <w:rFonts w:hint="eastAsia"/>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64"/>
            </w:pPr>
          </w:p>
        </w:tc>
        <w:tc>
          <w:tcPr>
            <w:tcW w:w="17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长筒胶靴</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4</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双</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numPr>
                <w:ilvl w:val="0"/>
                <w:numId w:val="4"/>
              </w:numPr>
              <w:rPr>
                <w:rFonts w:hint="eastAsia"/>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64"/>
            </w:pPr>
          </w:p>
        </w:tc>
        <w:tc>
          <w:tcPr>
            <w:tcW w:w="17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雨衣</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4</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件</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numPr>
                <w:ilvl w:val="0"/>
                <w:numId w:val="4"/>
              </w:numPr>
              <w:rPr>
                <w:rFonts w:hint="eastAsia"/>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64"/>
            </w:pPr>
          </w:p>
        </w:tc>
        <w:tc>
          <w:tcPr>
            <w:tcW w:w="17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雨靴</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4</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双</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numPr>
                <w:ilvl w:val="0"/>
                <w:numId w:val="4"/>
              </w:numPr>
              <w:rPr>
                <w:rFonts w:hint="eastAsia"/>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64"/>
            </w:pPr>
          </w:p>
        </w:tc>
        <w:tc>
          <w:tcPr>
            <w:tcW w:w="17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防刺背心</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2</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件</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numPr>
                <w:ilvl w:val="0"/>
                <w:numId w:val="4"/>
              </w:numPr>
              <w:rPr>
                <w:rFonts w:hint="eastAsia"/>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64"/>
            </w:pPr>
          </w:p>
        </w:tc>
        <w:tc>
          <w:tcPr>
            <w:tcW w:w="17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防刺手套</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2</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副</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numPr>
                <w:ilvl w:val="0"/>
                <w:numId w:val="4"/>
              </w:numPr>
              <w:rPr>
                <w:rFonts w:hint="eastAsia"/>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64"/>
            </w:pPr>
          </w:p>
        </w:tc>
        <w:tc>
          <w:tcPr>
            <w:tcW w:w="17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防爆警棍</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2</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个</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numPr>
                <w:ilvl w:val="0"/>
                <w:numId w:val="4"/>
              </w:numPr>
              <w:rPr>
                <w:rFonts w:hint="eastAsia"/>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64"/>
            </w:pPr>
          </w:p>
        </w:tc>
        <w:tc>
          <w:tcPr>
            <w:tcW w:w="17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防爆头盔</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2</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个</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numPr>
                <w:ilvl w:val="0"/>
                <w:numId w:val="4"/>
              </w:numPr>
              <w:rPr>
                <w:rFonts w:hint="eastAsia"/>
              </w:rPr>
            </w:pPr>
          </w:p>
        </w:tc>
        <w:tc>
          <w:tcPr>
            <w:tcW w:w="120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通讯照明器材</w:t>
            </w:r>
          </w:p>
        </w:tc>
        <w:tc>
          <w:tcPr>
            <w:tcW w:w="17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应急照明灯</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2</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台</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numPr>
                <w:ilvl w:val="0"/>
                <w:numId w:val="4"/>
              </w:numPr>
              <w:rPr>
                <w:rFonts w:hint="eastAsia"/>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64"/>
            </w:pPr>
          </w:p>
        </w:tc>
        <w:tc>
          <w:tcPr>
            <w:tcW w:w="17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对讲机/防爆对讲机</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5</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副</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numPr>
                <w:ilvl w:val="0"/>
                <w:numId w:val="4"/>
              </w:numPr>
              <w:rPr>
                <w:rFonts w:hint="eastAsia"/>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64"/>
            </w:pPr>
          </w:p>
        </w:tc>
        <w:tc>
          <w:tcPr>
            <w:tcW w:w="17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应急电筒</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5</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副</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numPr>
                <w:ilvl w:val="0"/>
                <w:numId w:val="4"/>
              </w:numPr>
              <w:rPr>
                <w:rFonts w:hint="eastAsia"/>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64"/>
            </w:pPr>
          </w:p>
        </w:tc>
        <w:tc>
          <w:tcPr>
            <w:tcW w:w="17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防爆手机</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3</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台</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numPr>
                <w:ilvl w:val="0"/>
                <w:numId w:val="4"/>
              </w:numPr>
              <w:rPr>
                <w:rFonts w:hint="eastAsia"/>
              </w:rPr>
            </w:pPr>
          </w:p>
        </w:tc>
        <w:tc>
          <w:tcPr>
            <w:tcW w:w="120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抢险救灾器材</w:t>
            </w:r>
          </w:p>
        </w:tc>
        <w:tc>
          <w:tcPr>
            <w:tcW w:w="17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喷淋装置</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2</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套</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numPr>
                <w:ilvl w:val="0"/>
                <w:numId w:val="4"/>
              </w:numPr>
              <w:rPr>
                <w:rFonts w:hint="eastAsia"/>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64"/>
            </w:pPr>
          </w:p>
        </w:tc>
        <w:tc>
          <w:tcPr>
            <w:tcW w:w="17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铁锹</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4</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把</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numPr>
                <w:ilvl w:val="0"/>
                <w:numId w:val="4"/>
              </w:numPr>
              <w:rPr>
                <w:rFonts w:hint="eastAsia"/>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64"/>
            </w:pPr>
          </w:p>
        </w:tc>
        <w:tc>
          <w:tcPr>
            <w:tcW w:w="17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铁丝</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50</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米</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numPr>
                <w:ilvl w:val="0"/>
                <w:numId w:val="4"/>
              </w:numPr>
              <w:rPr>
                <w:rFonts w:hint="eastAsia"/>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64"/>
            </w:pPr>
          </w:p>
        </w:tc>
        <w:tc>
          <w:tcPr>
            <w:tcW w:w="17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警戒线</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200</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米</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numPr>
                <w:ilvl w:val="0"/>
                <w:numId w:val="4"/>
              </w:numPr>
              <w:rPr>
                <w:rFonts w:hint="eastAsia"/>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64"/>
            </w:pPr>
          </w:p>
        </w:tc>
        <w:tc>
          <w:tcPr>
            <w:tcW w:w="17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发电机</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2</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台</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numPr>
                <w:ilvl w:val="0"/>
                <w:numId w:val="4"/>
              </w:numPr>
              <w:rPr>
                <w:rFonts w:hint="eastAsia"/>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64"/>
            </w:pPr>
          </w:p>
        </w:tc>
        <w:tc>
          <w:tcPr>
            <w:tcW w:w="17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电焊机</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2</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台</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numPr>
                <w:ilvl w:val="0"/>
                <w:numId w:val="4"/>
              </w:numPr>
              <w:rPr>
                <w:rFonts w:hint="eastAsia"/>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64"/>
            </w:pPr>
          </w:p>
        </w:tc>
        <w:tc>
          <w:tcPr>
            <w:tcW w:w="17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热熔机</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2</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台</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numPr>
                <w:ilvl w:val="0"/>
                <w:numId w:val="4"/>
              </w:numPr>
              <w:rPr>
                <w:rFonts w:hint="eastAsia"/>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64"/>
            </w:pPr>
          </w:p>
        </w:tc>
        <w:tc>
          <w:tcPr>
            <w:tcW w:w="17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钢叉</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2</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个</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numPr>
                <w:ilvl w:val="0"/>
                <w:numId w:val="4"/>
              </w:numPr>
              <w:rPr>
                <w:rFonts w:hint="eastAsia"/>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64"/>
            </w:pPr>
          </w:p>
        </w:tc>
        <w:tc>
          <w:tcPr>
            <w:tcW w:w="17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铁棍</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2</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个</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numPr>
                <w:ilvl w:val="0"/>
                <w:numId w:val="4"/>
              </w:numPr>
              <w:rPr>
                <w:rFonts w:hint="eastAsia"/>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64"/>
            </w:pPr>
          </w:p>
        </w:tc>
        <w:tc>
          <w:tcPr>
            <w:tcW w:w="17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铜扳手</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2</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把</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numPr>
                <w:ilvl w:val="0"/>
                <w:numId w:val="4"/>
              </w:numPr>
              <w:rPr>
                <w:rFonts w:hint="eastAsia"/>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64"/>
            </w:pPr>
          </w:p>
        </w:tc>
        <w:tc>
          <w:tcPr>
            <w:tcW w:w="17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风机</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2</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台</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numPr>
                <w:ilvl w:val="0"/>
                <w:numId w:val="4"/>
              </w:numPr>
              <w:rPr>
                <w:rFonts w:hint="eastAsia"/>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64"/>
            </w:pPr>
          </w:p>
        </w:tc>
        <w:tc>
          <w:tcPr>
            <w:tcW w:w="17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可燃气体探测仪</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2</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台</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numPr>
                <w:ilvl w:val="0"/>
                <w:numId w:val="4"/>
              </w:numPr>
              <w:rPr>
                <w:rFonts w:hint="eastAsia"/>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64"/>
            </w:pPr>
          </w:p>
        </w:tc>
        <w:tc>
          <w:tcPr>
            <w:tcW w:w="17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吸油棉</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2</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包</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numPr>
                <w:ilvl w:val="0"/>
                <w:numId w:val="4"/>
              </w:numPr>
              <w:rPr>
                <w:rFonts w:hint="eastAsia"/>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64"/>
            </w:pPr>
          </w:p>
        </w:tc>
        <w:tc>
          <w:tcPr>
            <w:tcW w:w="17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抢险隔热服</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2</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套</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numPr>
                <w:ilvl w:val="0"/>
                <w:numId w:val="4"/>
              </w:numPr>
              <w:rPr>
                <w:rFonts w:hint="eastAsia"/>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64"/>
            </w:pPr>
          </w:p>
        </w:tc>
        <w:tc>
          <w:tcPr>
            <w:tcW w:w="17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医用担架</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2</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个</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numPr>
                <w:ilvl w:val="0"/>
                <w:numId w:val="4"/>
              </w:numPr>
              <w:rPr>
                <w:rFonts w:hint="eastAsia"/>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64"/>
            </w:pPr>
          </w:p>
        </w:tc>
        <w:tc>
          <w:tcPr>
            <w:tcW w:w="17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千斤顶</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2</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台</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numPr>
                <w:ilvl w:val="0"/>
                <w:numId w:val="4"/>
              </w:numPr>
              <w:rPr>
                <w:rFonts w:hint="eastAsia"/>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64"/>
            </w:pPr>
          </w:p>
        </w:tc>
        <w:tc>
          <w:tcPr>
            <w:tcW w:w="17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切割机</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2</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台</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numPr>
                <w:ilvl w:val="0"/>
                <w:numId w:val="4"/>
              </w:numPr>
              <w:rPr>
                <w:rFonts w:hint="eastAsia"/>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64"/>
            </w:pPr>
          </w:p>
        </w:tc>
        <w:tc>
          <w:tcPr>
            <w:tcW w:w="17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套袖式密封堵漏卡具</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2</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套</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numPr>
                <w:ilvl w:val="0"/>
                <w:numId w:val="4"/>
              </w:numPr>
              <w:rPr>
                <w:rFonts w:hint="eastAsia"/>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64"/>
            </w:pPr>
          </w:p>
        </w:tc>
        <w:tc>
          <w:tcPr>
            <w:tcW w:w="17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抢险车辆</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2</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r>
              <w:rPr>
                <w:rFonts w:hint="eastAsia"/>
              </w:rPr>
              <w:t>辆</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4"/>
              <w:rPr>
                <w:rFonts w:hint="eastAsia"/>
              </w:rPr>
            </w:pPr>
          </w:p>
        </w:tc>
      </w:tr>
    </w:tbl>
    <w:p>
      <w:pPr>
        <w:rPr>
          <w:rFonts w:hint="eastAsia"/>
        </w:rPr>
      </w:pPr>
    </w:p>
    <w:p>
      <w:pPr>
        <w:rPr>
          <w:rFonts w:hint="eastAsia"/>
        </w:rPr>
      </w:pPr>
    </w:p>
    <w:p>
      <w:r>
        <w:rPr>
          <w:rFonts w:hint="eastAsia"/>
        </w:rPr>
        <w:t>附件4：武进区</w:t>
      </w:r>
      <w:r>
        <w:t>应急资源</w:t>
      </w:r>
      <w:r>
        <w:rPr>
          <w:rFonts w:hint="eastAsia"/>
        </w:rPr>
        <w:t>一览表</w:t>
      </w:r>
    </w:p>
    <w:p>
      <w:pPr>
        <w:rPr>
          <w:rFonts w:hint="eastAsia"/>
        </w:rPr>
      </w:pPr>
      <w:r>
        <w:rPr>
          <w:rFonts w:hint="eastAsia"/>
        </w:rPr>
        <w:t>（1）</w:t>
      </w:r>
      <w:r>
        <w:t>区内公立医院</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4"/>
        <w:gridCol w:w="3296"/>
        <w:gridCol w:w="1422"/>
        <w:gridCol w:w="1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pct"/>
            <w:tcBorders>
              <w:top w:val="single" w:color="auto" w:sz="4" w:space="0"/>
              <w:left w:val="single" w:color="auto" w:sz="4" w:space="0"/>
              <w:bottom w:val="single" w:color="auto" w:sz="4" w:space="0"/>
              <w:right w:val="single" w:color="auto" w:sz="4" w:space="0"/>
            </w:tcBorders>
            <w:vAlign w:val="center"/>
          </w:tcPr>
          <w:p>
            <w:pPr>
              <w:pStyle w:val="64"/>
              <w:rPr>
                <w:b/>
                <w:sz w:val="32"/>
              </w:rPr>
            </w:pPr>
            <w:r>
              <w:rPr>
                <w:rFonts w:hint="eastAsia"/>
                <w:b/>
              </w:rPr>
              <w:t>管理等级</w:t>
            </w:r>
          </w:p>
        </w:tc>
        <w:tc>
          <w:tcPr>
            <w:tcW w:w="1819" w:type="pct"/>
            <w:tcBorders>
              <w:top w:val="single" w:color="auto" w:sz="4" w:space="0"/>
              <w:left w:val="single" w:color="auto" w:sz="4" w:space="0"/>
              <w:bottom w:val="single" w:color="auto" w:sz="4" w:space="0"/>
              <w:right w:val="single" w:color="auto" w:sz="4" w:space="0"/>
            </w:tcBorders>
            <w:vAlign w:val="center"/>
          </w:tcPr>
          <w:p>
            <w:pPr>
              <w:pStyle w:val="64"/>
              <w:rPr>
                <w:rFonts w:hint="eastAsia"/>
                <w:b/>
              </w:rPr>
            </w:pPr>
            <w:r>
              <w:rPr>
                <w:rFonts w:hint="eastAsia"/>
                <w:b/>
              </w:rPr>
              <w:t>单位</w:t>
            </w:r>
          </w:p>
        </w:tc>
        <w:tc>
          <w:tcPr>
            <w:tcW w:w="785" w:type="pct"/>
            <w:tcBorders>
              <w:top w:val="single" w:color="auto" w:sz="4" w:space="0"/>
              <w:left w:val="single" w:color="auto" w:sz="4" w:space="0"/>
              <w:bottom w:val="single" w:color="auto" w:sz="4" w:space="0"/>
              <w:right w:val="single" w:color="auto" w:sz="4" w:space="0"/>
            </w:tcBorders>
            <w:vAlign w:val="center"/>
          </w:tcPr>
          <w:p>
            <w:pPr>
              <w:pStyle w:val="64"/>
              <w:rPr>
                <w:rFonts w:hint="eastAsia"/>
                <w:b/>
              </w:rPr>
            </w:pPr>
            <w:r>
              <w:rPr>
                <w:rFonts w:hint="eastAsia"/>
                <w:b/>
              </w:rPr>
              <w:t>床位数</w:t>
            </w:r>
          </w:p>
        </w:tc>
        <w:tc>
          <w:tcPr>
            <w:tcW w:w="992" w:type="pct"/>
            <w:tcBorders>
              <w:top w:val="single" w:color="auto" w:sz="4" w:space="0"/>
              <w:left w:val="single" w:color="auto" w:sz="4" w:space="0"/>
              <w:bottom w:val="single" w:color="auto" w:sz="4" w:space="0"/>
              <w:right w:val="single" w:color="auto" w:sz="4" w:space="0"/>
            </w:tcBorders>
            <w:vAlign w:val="center"/>
          </w:tcPr>
          <w:p>
            <w:pPr>
              <w:pStyle w:val="64"/>
              <w:rPr>
                <w:rFonts w:hint="eastAsia"/>
                <w:b/>
              </w:rPr>
            </w:pPr>
            <w:r>
              <w:rPr>
                <w:rFonts w:hint="eastAsia"/>
                <w:b/>
              </w:rPr>
              <w:t>机构类别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pct"/>
            <w:vMerge w:val="restart"/>
            <w:tcBorders>
              <w:top w:val="single" w:color="auto" w:sz="4" w:space="0"/>
              <w:left w:val="single" w:color="auto" w:sz="4" w:space="0"/>
              <w:bottom w:val="single" w:color="auto" w:sz="4" w:space="0"/>
              <w:right w:val="single" w:color="auto" w:sz="4" w:space="0"/>
            </w:tcBorders>
            <w:vAlign w:val="center"/>
          </w:tcPr>
          <w:p>
            <w:pPr>
              <w:pStyle w:val="64"/>
              <w:rPr>
                <w:rFonts w:hint="eastAsia"/>
              </w:rPr>
            </w:pPr>
            <w:r>
              <w:rPr>
                <w:rFonts w:hint="eastAsia"/>
              </w:rPr>
              <w:t>市级公立医院</w:t>
            </w:r>
          </w:p>
        </w:tc>
        <w:tc>
          <w:tcPr>
            <w:tcW w:w="1819" w:type="pct"/>
            <w:tcBorders>
              <w:top w:val="single" w:color="auto" w:sz="4" w:space="0"/>
              <w:left w:val="single" w:color="auto" w:sz="4" w:space="0"/>
              <w:bottom w:val="single" w:color="auto" w:sz="4" w:space="0"/>
              <w:right w:val="single" w:color="auto" w:sz="4" w:space="0"/>
            </w:tcBorders>
            <w:vAlign w:val="center"/>
          </w:tcPr>
          <w:p>
            <w:pPr>
              <w:pStyle w:val="64"/>
              <w:rPr>
                <w:rFonts w:hint="eastAsia"/>
              </w:rPr>
            </w:pPr>
            <w:r>
              <w:rPr>
                <w:rFonts w:hint="eastAsia"/>
              </w:rPr>
              <w:t>常州二院</w:t>
            </w:r>
          </w:p>
          <w:p>
            <w:pPr>
              <w:pStyle w:val="64"/>
              <w:rPr>
                <w:rFonts w:hint="eastAsia"/>
              </w:rPr>
            </w:pPr>
            <w:r>
              <w:rPr>
                <w:rFonts w:hint="eastAsia"/>
              </w:rPr>
              <w:t>（阳湖院区）</w:t>
            </w:r>
          </w:p>
        </w:tc>
        <w:tc>
          <w:tcPr>
            <w:tcW w:w="785" w:type="pct"/>
            <w:tcBorders>
              <w:top w:val="single" w:color="auto" w:sz="4" w:space="0"/>
              <w:left w:val="single" w:color="auto" w:sz="4" w:space="0"/>
              <w:bottom w:val="single" w:color="auto" w:sz="4" w:space="0"/>
              <w:right w:val="single" w:color="auto" w:sz="4" w:space="0"/>
            </w:tcBorders>
            <w:vAlign w:val="center"/>
          </w:tcPr>
          <w:p>
            <w:pPr>
              <w:pStyle w:val="64"/>
              <w:rPr>
                <w:rFonts w:hint="eastAsia"/>
              </w:rPr>
            </w:pPr>
            <w:r>
              <w:rPr>
                <w:rFonts w:hint="eastAsia"/>
              </w:rPr>
              <w:t>2216</w:t>
            </w:r>
          </w:p>
        </w:tc>
        <w:tc>
          <w:tcPr>
            <w:tcW w:w="992" w:type="pct"/>
            <w:tcBorders>
              <w:top w:val="single" w:color="auto" w:sz="4" w:space="0"/>
              <w:left w:val="single" w:color="auto" w:sz="4" w:space="0"/>
              <w:bottom w:val="single" w:color="auto" w:sz="4" w:space="0"/>
              <w:right w:val="single" w:color="auto" w:sz="4" w:space="0"/>
            </w:tcBorders>
            <w:vAlign w:val="center"/>
          </w:tcPr>
          <w:p>
            <w:pPr>
              <w:pStyle w:val="64"/>
              <w:rPr>
                <w:rFonts w:hint="eastAsia"/>
              </w:rPr>
            </w:pPr>
            <w:r>
              <w:rPr>
                <w:rFonts w:hint="eastAsia"/>
              </w:rPr>
              <w:t>综合医院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pct"/>
            <w:vMerge w:val="continue"/>
            <w:tcBorders>
              <w:top w:val="single" w:color="auto" w:sz="4" w:space="0"/>
              <w:left w:val="single" w:color="auto" w:sz="4" w:space="0"/>
              <w:bottom w:val="single" w:color="auto" w:sz="4" w:space="0"/>
              <w:right w:val="single" w:color="auto" w:sz="4" w:space="0"/>
            </w:tcBorders>
            <w:vAlign w:val="center"/>
          </w:tcPr>
          <w:p>
            <w:pPr>
              <w:pStyle w:val="64"/>
              <w:rPr>
                <w:sz w:val="32"/>
              </w:rPr>
            </w:pPr>
          </w:p>
        </w:tc>
        <w:tc>
          <w:tcPr>
            <w:tcW w:w="1819" w:type="pct"/>
            <w:tcBorders>
              <w:top w:val="single" w:color="auto" w:sz="4" w:space="0"/>
              <w:left w:val="single" w:color="auto" w:sz="4" w:space="0"/>
              <w:bottom w:val="single" w:color="auto" w:sz="4" w:space="0"/>
              <w:right w:val="single" w:color="auto" w:sz="4" w:space="0"/>
            </w:tcBorders>
            <w:vAlign w:val="center"/>
          </w:tcPr>
          <w:p>
            <w:pPr>
              <w:pStyle w:val="64"/>
              <w:rPr>
                <w:rFonts w:hint="eastAsia"/>
              </w:rPr>
            </w:pPr>
            <w:r>
              <w:rPr>
                <w:rFonts w:hint="eastAsia"/>
              </w:rPr>
              <w:t>常州七院</w:t>
            </w:r>
          </w:p>
        </w:tc>
        <w:tc>
          <w:tcPr>
            <w:tcW w:w="785" w:type="pct"/>
            <w:tcBorders>
              <w:top w:val="single" w:color="auto" w:sz="4" w:space="0"/>
              <w:left w:val="single" w:color="auto" w:sz="4" w:space="0"/>
              <w:bottom w:val="single" w:color="auto" w:sz="4" w:space="0"/>
              <w:right w:val="single" w:color="auto" w:sz="4" w:space="0"/>
            </w:tcBorders>
            <w:vAlign w:val="center"/>
          </w:tcPr>
          <w:p>
            <w:pPr>
              <w:pStyle w:val="64"/>
              <w:rPr>
                <w:rFonts w:hint="eastAsia"/>
              </w:rPr>
            </w:pPr>
            <w:r>
              <w:rPr>
                <w:rFonts w:hint="eastAsia"/>
              </w:rPr>
              <w:t>1000</w:t>
            </w:r>
          </w:p>
        </w:tc>
        <w:tc>
          <w:tcPr>
            <w:tcW w:w="992" w:type="pct"/>
            <w:tcBorders>
              <w:top w:val="single" w:color="auto" w:sz="4" w:space="0"/>
              <w:left w:val="single" w:color="auto" w:sz="4" w:space="0"/>
              <w:bottom w:val="single" w:color="auto" w:sz="4" w:space="0"/>
              <w:right w:val="single" w:color="auto" w:sz="4" w:space="0"/>
            </w:tcBorders>
            <w:vAlign w:val="center"/>
          </w:tcPr>
          <w:p>
            <w:pPr>
              <w:pStyle w:val="64"/>
              <w:rPr>
                <w:rFonts w:hint="eastAsia"/>
              </w:rPr>
            </w:pPr>
            <w:r>
              <w:rPr>
                <w:rFonts w:hint="eastAsia"/>
              </w:rPr>
              <w:t>综合医院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pct"/>
            <w:vMerge w:val="continue"/>
            <w:tcBorders>
              <w:top w:val="single" w:color="auto" w:sz="4" w:space="0"/>
              <w:left w:val="single" w:color="auto" w:sz="4" w:space="0"/>
              <w:bottom w:val="single" w:color="auto" w:sz="4" w:space="0"/>
              <w:right w:val="single" w:color="auto" w:sz="4" w:space="0"/>
            </w:tcBorders>
            <w:vAlign w:val="center"/>
          </w:tcPr>
          <w:p>
            <w:pPr>
              <w:pStyle w:val="64"/>
              <w:rPr>
                <w:sz w:val="32"/>
              </w:rPr>
            </w:pPr>
          </w:p>
        </w:tc>
        <w:tc>
          <w:tcPr>
            <w:tcW w:w="1819" w:type="pct"/>
            <w:tcBorders>
              <w:top w:val="single" w:color="auto" w:sz="4" w:space="0"/>
              <w:left w:val="single" w:color="auto" w:sz="4" w:space="0"/>
              <w:bottom w:val="single" w:color="auto" w:sz="4" w:space="0"/>
              <w:right w:val="single" w:color="auto" w:sz="4" w:space="0"/>
            </w:tcBorders>
            <w:vAlign w:val="center"/>
          </w:tcPr>
          <w:p>
            <w:pPr>
              <w:pStyle w:val="64"/>
              <w:rPr>
                <w:rFonts w:hint="eastAsia"/>
              </w:rPr>
            </w:pPr>
            <w:r>
              <w:rPr>
                <w:rFonts w:hint="eastAsia"/>
              </w:rPr>
              <w:t>西太湖工人疗养院</w:t>
            </w:r>
          </w:p>
        </w:tc>
        <w:tc>
          <w:tcPr>
            <w:tcW w:w="785" w:type="pct"/>
            <w:tcBorders>
              <w:top w:val="single" w:color="auto" w:sz="4" w:space="0"/>
              <w:left w:val="single" w:color="auto" w:sz="4" w:space="0"/>
              <w:bottom w:val="single" w:color="auto" w:sz="4" w:space="0"/>
              <w:right w:val="single" w:color="auto" w:sz="4" w:space="0"/>
            </w:tcBorders>
            <w:vAlign w:val="center"/>
          </w:tcPr>
          <w:p>
            <w:pPr>
              <w:pStyle w:val="64"/>
              <w:rPr>
                <w:rFonts w:hint="eastAsia"/>
              </w:rPr>
            </w:pPr>
            <w:r>
              <w:rPr>
                <w:rFonts w:hint="eastAsia"/>
              </w:rPr>
              <w:t>500</w:t>
            </w:r>
          </w:p>
        </w:tc>
        <w:tc>
          <w:tcPr>
            <w:tcW w:w="992" w:type="pct"/>
            <w:tcBorders>
              <w:top w:val="single" w:color="auto" w:sz="4" w:space="0"/>
              <w:left w:val="single" w:color="auto" w:sz="4" w:space="0"/>
              <w:bottom w:val="single" w:color="auto" w:sz="4" w:space="0"/>
              <w:right w:val="single" w:color="auto" w:sz="4" w:space="0"/>
            </w:tcBorders>
            <w:vAlign w:val="center"/>
          </w:tcPr>
          <w:p>
            <w:pPr>
              <w:pStyle w:val="64"/>
              <w:rPr>
                <w:rFonts w:hint="eastAsia"/>
              </w:rPr>
            </w:pPr>
            <w:r>
              <w:rPr>
                <w:rFonts w:hint="eastAsia"/>
              </w:rPr>
              <w:t>综合医院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pct"/>
            <w:vMerge w:val="restart"/>
            <w:tcBorders>
              <w:top w:val="single" w:color="auto" w:sz="4" w:space="0"/>
              <w:left w:val="single" w:color="auto" w:sz="4" w:space="0"/>
              <w:bottom w:val="single" w:color="auto" w:sz="4" w:space="0"/>
              <w:right w:val="single" w:color="auto" w:sz="4" w:space="0"/>
            </w:tcBorders>
            <w:vAlign w:val="center"/>
          </w:tcPr>
          <w:p>
            <w:pPr>
              <w:pStyle w:val="64"/>
              <w:rPr>
                <w:rFonts w:hint="eastAsia"/>
              </w:rPr>
            </w:pPr>
            <w:r>
              <w:rPr>
                <w:rFonts w:hint="eastAsia"/>
              </w:rPr>
              <w:t>区级公立医院</w:t>
            </w:r>
          </w:p>
        </w:tc>
        <w:tc>
          <w:tcPr>
            <w:tcW w:w="1819" w:type="pct"/>
            <w:tcBorders>
              <w:top w:val="single" w:color="auto" w:sz="4" w:space="0"/>
              <w:left w:val="single" w:color="auto" w:sz="4" w:space="0"/>
              <w:bottom w:val="single" w:color="auto" w:sz="4" w:space="0"/>
              <w:right w:val="single" w:color="auto" w:sz="4" w:space="0"/>
            </w:tcBorders>
            <w:vAlign w:val="center"/>
          </w:tcPr>
          <w:p>
            <w:pPr>
              <w:pStyle w:val="64"/>
              <w:rPr>
                <w:rFonts w:hint="eastAsia"/>
              </w:rPr>
            </w:pPr>
            <w:r>
              <w:rPr>
                <w:rFonts w:hint="eastAsia"/>
              </w:rPr>
              <w:t>武进人民医院</w:t>
            </w:r>
          </w:p>
        </w:tc>
        <w:tc>
          <w:tcPr>
            <w:tcW w:w="785" w:type="pct"/>
            <w:tcBorders>
              <w:top w:val="single" w:color="auto" w:sz="4" w:space="0"/>
              <w:left w:val="single" w:color="auto" w:sz="4" w:space="0"/>
              <w:bottom w:val="single" w:color="auto" w:sz="4" w:space="0"/>
              <w:right w:val="single" w:color="auto" w:sz="4" w:space="0"/>
            </w:tcBorders>
            <w:vAlign w:val="center"/>
          </w:tcPr>
          <w:p>
            <w:pPr>
              <w:pStyle w:val="64"/>
              <w:rPr>
                <w:rFonts w:hint="eastAsia"/>
              </w:rPr>
            </w:pPr>
            <w:r>
              <w:rPr>
                <w:rFonts w:hint="eastAsia"/>
              </w:rPr>
              <w:t>1500</w:t>
            </w:r>
          </w:p>
        </w:tc>
        <w:tc>
          <w:tcPr>
            <w:tcW w:w="992" w:type="pct"/>
            <w:tcBorders>
              <w:top w:val="single" w:color="auto" w:sz="4" w:space="0"/>
              <w:left w:val="single" w:color="auto" w:sz="4" w:space="0"/>
              <w:bottom w:val="single" w:color="auto" w:sz="4" w:space="0"/>
              <w:right w:val="single" w:color="auto" w:sz="4" w:space="0"/>
            </w:tcBorders>
            <w:vAlign w:val="center"/>
          </w:tcPr>
          <w:p>
            <w:pPr>
              <w:pStyle w:val="64"/>
              <w:rPr>
                <w:rFonts w:hint="eastAsia"/>
              </w:rPr>
            </w:pPr>
            <w:r>
              <w:rPr>
                <w:rFonts w:hint="eastAsia"/>
              </w:rPr>
              <w:t>综合医院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pct"/>
            <w:vMerge w:val="continue"/>
            <w:tcBorders>
              <w:top w:val="single" w:color="auto" w:sz="4" w:space="0"/>
              <w:left w:val="single" w:color="auto" w:sz="4" w:space="0"/>
              <w:bottom w:val="single" w:color="auto" w:sz="4" w:space="0"/>
              <w:right w:val="single" w:color="auto" w:sz="4" w:space="0"/>
            </w:tcBorders>
            <w:vAlign w:val="center"/>
          </w:tcPr>
          <w:p>
            <w:pPr>
              <w:pStyle w:val="64"/>
              <w:rPr>
                <w:sz w:val="32"/>
              </w:rPr>
            </w:pPr>
          </w:p>
        </w:tc>
        <w:tc>
          <w:tcPr>
            <w:tcW w:w="1819" w:type="pct"/>
            <w:tcBorders>
              <w:top w:val="single" w:color="auto" w:sz="4" w:space="0"/>
              <w:left w:val="single" w:color="auto" w:sz="4" w:space="0"/>
              <w:bottom w:val="single" w:color="auto" w:sz="4" w:space="0"/>
              <w:right w:val="single" w:color="auto" w:sz="4" w:space="0"/>
            </w:tcBorders>
            <w:vAlign w:val="center"/>
          </w:tcPr>
          <w:p>
            <w:pPr>
              <w:pStyle w:val="64"/>
              <w:rPr>
                <w:rFonts w:hint="eastAsia"/>
              </w:rPr>
            </w:pPr>
            <w:r>
              <w:rPr>
                <w:rFonts w:hint="eastAsia"/>
              </w:rPr>
              <w:t>武进人民医院</w:t>
            </w:r>
          </w:p>
          <w:p>
            <w:pPr>
              <w:pStyle w:val="64"/>
              <w:rPr>
                <w:rFonts w:hint="eastAsia"/>
              </w:rPr>
            </w:pPr>
            <w:r>
              <w:rPr>
                <w:rFonts w:hint="eastAsia"/>
              </w:rPr>
              <w:t>（高新院区）</w:t>
            </w:r>
          </w:p>
        </w:tc>
        <w:tc>
          <w:tcPr>
            <w:tcW w:w="785" w:type="pct"/>
            <w:tcBorders>
              <w:top w:val="single" w:color="auto" w:sz="4" w:space="0"/>
              <w:left w:val="single" w:color="auto" w:sz="4" w:space="0"/>
              <w:bottom w:val="single" w:color="auto" w:sz="4" w:space="0"/>
              <w:right w:val="single" w:color="auto" w:sz="4" w:space="0"/>
            </w:tcBorders>
            <w:vAlign w:val="center"/>
          </w:tcPr>
          <w:p>
            <w:pPr>
              <w:pStyle w:val="64"/>
              <w:rPr>
                <w:rFonts w:hint="eastAsia"/>
              </w:rPr>
            </w:pPr>
            <w:r>
              <w:rPr>
                <w:rFonts w:hint="eastAsia"/>
              </w:rPr>
              <w:t>140</w:t>
            </w:r>
          </w:p>
        </w:tc>
        <w:tc>
          <w:tcPr>
            <w:tcW w:w="992" w:type="pct"/>
            <w:tcBorders>
              <w:top w:val="single" w:color="auto" w:sz="4" w:space="0"/>
              <w:left w:val="single" w:color="auto" w:sz="4" w:space="0"/>
              <w:bottom w:val="single" w:color="auto" w:sz="4" w:space="0"/>
              <w:right w:val="single" w:color="auto" w:sz="4" w:space="0"/>
            </w:tcBorders>
            <w:vAlign w:val="center"/>
          </w:tcPr>
          <w:p>
            <w:pPr>
              <w:pStyle w:val="64"/>
              <w:rPr>
                <w:rFonts w:hint="eastAsia"/>
              </w:rPr>
            </w:pPr>
            <w:r>
              <w:rPr>
                <w:rFonts w:hint="eastAsia"/>
              </w:rPr>
              <w:t>综合医院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pct"/>
            <w:vMerge w:val="continue"/>
            <w:tcBorders>
              <w:top w:val="single" w:color="auto" w:sz="4" w:space="0"/>
              <w:left w:val="single" w:color="auto" w:sz="4" w:space="0"/>
              <w:bottom w:val="single" w:color="auto" w:sz="4" w:space="0"/>
              <w:right w:val="single" w:color="auto" w:sz="4" w:space="0"/>
            </w:tcBorders>
            <w:vAlign w:val="center"/>
          </w:tcPr>
          <w:p>
            <w:pPr>
              <w:pStyle w:val="64"/>
              <w:rPr>
                <w:sz w:val="32"/>
              </w:rPr>
            </w:pPr>
          </w:p>
        </w:tc>
        <w:tc>
          <w:tcPr>
            <w:tcW w:w="1819" w:type="pct"/>
            <w:tcBorders>
              <w:top w:val="single" w:color="auto" w:sz="4" w:space="0"/>
              <w:left w:val="single" w:color="auto" w:sz="4" w:space="0"/>
              <w:bottom w:val="single" w:color="auto" w:sz="4" w:space="0"/>
              <w:right w:val="single" w:color="auto" w:sz="4" w:space="0"/>
            </w:tcBorders>
            <w:vAlign w:val="center"/>
          </w:tcPr>
          <w:p>
            <w:pPr>
              <w:pStyle w:val="64"/>
              <w:rPr>
                <w:rFonts w:hint="eastAsia"/>
              </w:rPr>
            </w:pPr>
            <w:r>
              <w:rPr>
                <w:rFonts w:hint="eastAsia"/>
              </w:rPr>
              <w:t>武进中医医院</w:t>
            </w:r>
          </w:p>
        </w:tc>
        <w:tc>
          <w:tcPr>
            <w:tcW w:w="785" w:type="pct"/>
            <w:tcBorders>
              <w:top w:val="single" w:color="auto" w:sz="4" w:space="0"/>
              <w:left w:val="single" w:color="auto" w:sz="4" w:space="0"/>
              <w:bottom w:val="single" w:color="auto" w:sz="4" w:space="0"/>
              <w:right w:val="single" w:color="auto" w:sz="4" w:space="0"/>
            </w:tcBorders>
            <w:vAlign w:val="center"/>
          </w:tcPr>
          <w:p>
            <w:pPr>
              <w:pStyle w:val="64"/>
              <w:rPr>
                <w:rFonts w:hint="eastAsia"/>
              </w:rPr>
            </w:pPr>
            <w:r>
              <w:rPr>
                <w:rFonts w:hint="eastAsia"/>
              </w:rPr>
              <w:t>1200</w:t>
            </w:r>
          </w:p>
        </w:tc>
        <w:tc>
          <w:tcPr>
            <w:tcW w:w="992" w:type="pct"/>
            <w:tcBorders>
              <w:top w:val="single" w:color="auto" w:sz="4" w:space="0"/>
              <w:left w:val="single" w:color="auto" w:sz="4" w:space="0"/>
              <w:bottom w:val="single" w:color="auto" w:sz="4" w:space="0"/>
              <w:right w:val="single" w:color="auto" w:sz="4" w:space="0"/>
            </w:tcBorders>
            <w:vAlign w:val="center"/>
          </w:tcPr>
          <w:p>
            <w:pPr>
              <w:pStyle w:val="64"/>
              <w:rPr>
                <w:rFonts w:hint="eastAsia"/>
              </w:rPr>
            </w:pPr>
            <w:r>
              <w:rPr>
                <w:rFonts w:hint="eastAsia"/>
              </w:rPr>
              <w:t>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pct"/>
            <w:vMerge w:val="continue"/>
            <w:tcBorders>
              <w:top w:val="single" w:color="auto" w:sz="4" w:space="0"/>
              <w:left w:val="single" w:color="auto" w:sz="4" w:space="0"/>
              <w:bottom w:val="single" w:color="auto" w:sz="4" w:space="0"/>
              <w:right w:val="single" w:color="auto" w:sz="4" w:space="0"/>
            </w:tcBorders>
            <w:vAlign w:val="center"/>
          </w:tcPr>
          <w:p>
            <w:pPr>
              <w:pStyle w:val="64"/>
              <w:rPr>
                <w:sz w:val="32"/>
              </w:rPr>
            </w:pPr>
          </w:p>
        </w:tc>
        <w:tc>
          <w:tcPr>
            <w:tcW w:w="1819" w:type="pct"/>
            <w:tcBorders>
              <w:top w:val="single" w:color="auto" w:sz="4" w:space="0"/>
              <w:left w:val="single" w:color="auto" w:sz="4" w:space="0"/>
              <w:bottom w:val="single" w:color="auto" w:sz="4" w:space="0"/>
              <w:right w:val="single" w:color="auto" w:sz="4" w:space="0"/>
            </w:tcBorders>
            <w:vAlign w:val="center"/>
          </w:tcPr>
          <w:p>
            <w:pPr>
              <w:pStyle w:val="64"/>
              <w:rPr>
                <w:rFonts w:hint="eastAsia"/>
              </w:rPr>
            </w:pPr>
            <w:r>
              <w:rPr>
                <w:rFonts w:hint="eastAsia"/>
              </w:rPr>
              <w:t>武进三院</w:t>
            </w:r>
          </w:p>
        </w:tc>
        <w:tc>
          <w:tcPr>
            <w:tcW w:w="785" w:type="pct"/>
            <w:tcBorders>
              <w:top w:val="single" w:color="auto" w:sz="4" w:space="0"/>
              <w:left w:val="single" w:color="auto" w:sz="4" w:space="0"/>
              <w:bottom w:val="single" w:color="auto" w:sz="4" w:space="0"/>
              <w:right w:val="single" w:color="auto" w:sz="4" w:space="0"/>
            </w:tcBorders>
            <w:vAlign w:val="center"/>
          </w:tcPr>
          <w:p>
            <w:pPr>
              <w:pStyle w:val="64"/>
              <w:rPr>
                <w:rFonts w:hint="eastAsia"/>
              </w:rPr>
            </w:pPr>
            <w:r>
              <w:rPr>
                <w:rFonts w:hint="eastAsia"/>
              </w:rPr>
              <w:t>500</w:t>
            </w:r>
          </w:p>
        </w:tc>
        <w:tc>
          <w:tcPr>
            <w:tcW w:w="992" w:type="pct"/>
            <w:tcBorders>
              <w:top w:val="single" w:color="auto" w:sz="4" w:space="0"/>
              <w:left w:val="single" w:color="auto" w:sz="4" w:space="0"/>
              <w:bottom w:val="single" w:color="auto" w:sz="4" w:space="0"/>
              <w:right w:val="single" w:color="auto" w:sz="4" w:space="0"/>
            </w:tcBorders>
            <w:vAlign w:val="center"/>
          </w:tcPr>
          <w:p>
            <w:pPr>
              <w:pStyle w:val="64"/>
              <w:rPr>
                <w:rFonts w:hint="eastAsia"/>
              </w:rPr>
            </w:pPr>
            <w:r>
              <w:rPr>
                <w:rFonts w:hint="eastAsia"/>
              </w:rPr>
              <w:t>专科医院</w:t>
            </w:r>
          </w:p>
        </w:tc>
      </w:tr>
    </w:tbl>
    <w:p>
      <w:pPr>
        <w:pStyle w:val="64"/>
        <w:rPr>
          <w:rFonts w:hint="eastAsia"/>
        </w:rPr>
      </w:pPr>
    </w:p>
    <w:p>
      <w:pPr>
        <w:pStyle w:val="64"/>
      </w:pPr>
    </w:p>
    <w:p>
      <w:pPr>
        <w:rPr>
          <w:rFonts w:hint="eastAsia"/>
        </w:rPr>
      </w:pPr>
      <w:r>
        <w:rPr>
          <w:rFonts w:hint="eastAsia"/>
        </w:rPr>
        <w:t>（2）基层医疗机构</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9"/>
        <w:gridCol w:w="2737"/>
        <w:gridCol w:w="3905"/>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40" w:type="pct"/>
            <w:tcBorders>
              <w:top w:val="single" w:color="auto" w:sz="4" w:space="0"/>
              <w:left w:val="single" w:color="auto" w:sz="4" w:space="0"/>
              <w:bottom w:val="single" w:color="auto" w:sz="4" w:space="0"/>
              <w:right w:val="single" w:color="auto" w:sz="4" w:space="0"/>
            </w:tcBorders>
            <w:vAlign w:val="center"/>
          </w:tcPr>
          <w:p>
            <w:pPr>
              <w:pStyle w:val="64"/>
              <w:rPr>
                <w:b/>
                <w:sz w:val="32"/>
              </w:rPr>
            </w:pPr>
            <w:r>
              <w:rPr>
                <w:rFonts w:hint="eastAsia"/>
                <w:b/>
              </w:rPr>
              <w:t>序号</w:t>
            </w:r>
          </w:p>
        </w:tc>
        <w:tc>
          <w:tcPr>
            <w:tcW w:w="1510" w:type="pct"/>
            <w:tcBorders>
              <w:top w:val="single" w:color="auto" w:sz="4" w:space="0"/>
              <w:left w:val="single" w:color="auto" w:sz="4" w:space="0"/>
              <w:bottom w:val="single" w:color="auto" w:sz="4" w:space="0"/>
              <w:right w:val="single" w:color="auto" w:sz="4" w:space="0"/>
            </w:tcBorders>
            <w:vAlign w:val="center"/>
          </w:tcPr>
          <w:p>
            <w:pPr>
              <w:pStyle w:val="64"/>
              <w:rPr>
                <w:rFonts w:hint="eastAsia"/>
                <w:b/>
              </w:rPr>
            </w:pPr>
            <w:r>
              <w:rPr>
                <w:rFonts w:hint="eastAsia"/>
                <w:b/>
              </w:rPr>
              <w:t>区域</w:t>
            </w:r>
          </w:p>
        </w:tc>
        <w:tc>
          <w:tcPr>
            <w:tcW w:w="2155" w:type="pct"/>
            <w:tcBorders>
              <w:top w:val="single" w:color="auto" w:sz="4" w:space="0"/>
              <w:left w:val="single" w:color="auto" w:sz="4" w:space="0"/>
              <w:bottom w:val="single" w:color="auto" w:sz="4" w:space="0"/>
              <w:right w:val="single" w:color="auto" w:sz="4" w:space="0"/>
            </w:tcBorders>
            <w:vAlign w:val="center"/>
          </w:tcPr>
          <w:p>
            <w:pPr>
              <w:pStyle w:val="64"/>
              <w:rPr>
                <w:rFonts w:hint="eastAsia"/>
                <w:b/>
              </w:rPr>
            </w:pPr>
            <w:r>
              <w:rPr>
                <w:rFonts w:hint="eastAsia"/>
                <w:b/>
              </w:rPr>
              <w:t>机构名称</w:t>
            </w:r>
          </w:p>
        </w:tc>
        <w:tc>
          <w:tcPr>
            <w:tcW w:w="794" w:type="pct"/>
            <w:tcBorders>
              <w:top w:val="single" w:color="auto" w:sz="4" w:space="0"/>
              <w:left w:val="single" w:color="auto" w:sz="4" w:space="0"/>
              <w:bottom w:val="single" w:color="auto" w:sz="4" w:space="0"/>
              <w:right w:val="single" w:color="auto" w:sz="4" w:space="0"/>
            </w:tcBorders>
            <w:vAlign w:val="center"/>
          </w:tcPr>
          <w:p>
            <w:pPr>
              <w:pStyle w:val="64"/>
              <w:rPr>
                <w:rFonts w:hint="eastAsia"/>
                <w:b/>
              </w:rPr>
            </w:pPr>
            <w:r>
              <w:rPr>
                <w:rFonts w:hint="eastAsia"/>
                <w:b/>
              </w:rPr>
              <w:t>床位数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pct"/>
            <w:tcBorders>
              <w:top w:val="single" w:color="auto" w:sz="4" w:space="0"/>
              <w:left w:val="single" w:color="auto" w:sz="4" w:space="0"/>
              <w:bottom w:val="single" w:color="auto" w:sz="4" w:space="0"/>
              <w:right w:val="single" w:color="auto" w:sz="4" w:space="0"/>
            </w:tcBorders>
            <w:vAlign w:val="center"/>
          </w:tcPr>
          <w:p>
            <w:pPr>
              <w:pStyle w:val="64"/>
              <w:rPr>
                <w:rFonts w:hint="eastAsia"/>
              </w:rPr>
            </w:pPr>
            <w:r>
              <w:rPr>
                <w:rFonts w:hint="eastAsia"/>
              </w:rPr>
              <w:t>1</w:t>
            </w:r>
          </w:p>
        </w:tc>
        <w:tc>
          <w:tcPr>
            <w:tcW w:w="1510" w:type="pct"/>
            <w:vMerge w:val="restart"/>
            <w:tcBorders>
              <w:top w:val="single" w:color="auto" w:sz="4" w:space="0"/>
              <w:left w:val="single" w:color="auto" w:sz="4" w:space="0"/>
              <w:bottom w:val="single" w:color="auto" w:sz="4" w:space="0"/>
              <w:right w:val="single" w:color="auto" w:sz="4" w:space="0"/>
            </w:tcBorders>
            <w:vAlign w:val="center"/>
          </w:tcPr>
          <w:p>
            <w:pPr>
              <w:pStyle w:val="64"/>
              <w:rPr>
                <w:rFonts w:hint="eastAsia"/>
              </w:rPr>
            </w:pPr>
            <w:r>
              <w:rPr>
                <w:rFonts w:hint="eastAsia"/>
              </w:rPr>
              <w:t>湖塘镇、高新北区</w:t>
            </w:r>
          </w:p>
        </w:tc>
        <w:tc>
          <w:tcPr>
            <w:tcW w:w="2155" w:type="pct"/>
            <w:tcBorders>
              <w:top w:val="single" w:color="auto" w:sz="4" w:space="0"/>
              <w:left w:val="single" w:color="auto" w:sz="4" w:space="0"/>
              <w:bottom w:val="single" w:color="auto" w:sz="4" w:space="0"/>
              <w:right w:val="single" w:color="auto" w:sz="4" w:space="0"/>
            </w:tcBorders>
            <w:vAlign w:val="center"/>
          </w:tcPr>
          <w:p>
            <w:pPr>
              <w:pStyle w:val="64"/>
              <w:rPr>
                <w:rFonts w:hint="eastAsia"/>
              </w:rPr>
            </w:pPr>
            <w:r>
              <w:rPr>
                <w:rFonts w:hint="eastAsia"/>
              </w:rPr>
              <w:t>鸣凰社区卫生服务中心</w:t>
            </w:r>
          </w:p>
        </w:tc>
        <w:tc>
          <w:tcPr>
            <w:tcW w:w="794" w:type="pct"/>
            <w:tcBorders>
              <w:top w:val="single" w:color="auto" w:sz="4" w:space="0"/>
              <w:left w:val="single" w:color="auto" w:sz="4" w:space="0"/>
              <w:bottom w:val="single" w:color="auto" w:sz="4" w:space="0"/>
              <w:right w:val="single" w:color="auto" w:sz="4" w:space="0"/>
            </w:tcBorders>
            <w:vAlign w:val="center"/>
          </w:tcPr>
          <w:p>
            <w:pPr>
              <w:pStyle w:val="64"/>
              <w:rPr>
                <w:rFonts w:hint="eastAsia"/>
              </w:rPr>
            </w:pPr>
            <w:r>
              <w:rPr>
                <w:rFonts w:hint="eastAsia"/>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pct"/>
            <w:tcBorders>
              <w:top w:val="single" w:color="auto" w:sz="4" w:space="0"/>
              <w:left w:val="single" w:color="auto" w:sz="4" w:space="0"/>
              <w:bottom w:val="single" w:color="auto" w:sz="4" w:space="0"/>
              <w:right w:val="single" w:color="auto" w:sz="4" w:space="0"/>
            </w:tcBorders>
            <w:vAlign w:val="center"/>
          </w:tcPr>
          <w:p>
            <w:pPr>
              <w:pStyle w:val="64"/>
              <w:rPr>
                <w:rFonts w:hint="eastAsia"/>
              </w:rPr>
            </w:pPr>
            <w:r>
              <w:rPr>
                <w:rFonts w:hint="eastAsia"/>
              </w:rPr>
              <w:t>2</w:t>
            </w:r>
          </w:p>
        </w:tc>
        <w:tc>
          <w:tcPr>
            <w:tcW w:w="1510" w:type="pct"/>
            <w:vMerge w:val="continue"/>
            <w:tcBorders>
              <w:top w:val="single" w:color="auto" w:sz="4" w:space="0"/>
              <w:left w:val="single" w:color="auto" w:sz="4" w:space="0"/>
              <w:bottom w:val="single" w:color="auto" w:sz="4" w:space="0"/>
              <w:right w:val="single" w:color="auto" w:sz="4" w:space="0"/>
            </w:tcBorders>
            <w:vAlign w:val="center"/>
          </w:tcPr>
          <w:p>
            <w:pPr>
              <w:pStyle w:val="64"/>
              <w:rPr>
                <w:sz w:val="32"/>
              </w:rPr>
            </w:pPr>
          </w:p>
        </w:tc>
        <w:tc>
          <w:tcPr>
            <w:tcW w:w="2155" w:type="pct"/>
            <w:tcBorders>
              <w:top w:val="single" w:color="auto" w:sz="4" w:space="0"/>
              <w:left w:val="single" w:color="auto" w:sz="4" w:space="0"/>
              <w:bottom w:val="single" w:color="auto" w:sz="4" w:space="0"/>
              <w:right w:val="single" w:color="auto" w:sz="4" w:space="0"/>
            </w:tcBorders>
            <w:vAlign w:val="center"/>
          </w:tcPr>
          <w:p>
            <w:pPr>
              <w:pStyle w:val="64"/>
              <w:rPr>
                <w:rFonts w:hint="eastAsia"/>
                <w:b/>
                <w:bCs/>
              </w:rPr>
            </w:pPr>
            <w:r>
              <w:rPr>
                <w:rFonts w:hint="eastAsia"/>
              </w:rPr>
              <w:t>马杭社区卫生服务中心</w:t>
            </w:r>
          </w:p>
        </w:tc>
        <w:tc>
          <w:tcPr>
            <w:tcW w:w="794" w:type="pct"/>
            <w:tcBorders>
              <w:top w:val="single" w:color="auto" w:sz="4" w:space="0"/>
              <w:left w:val="single" w:color="auto" w:sz="4" w:space="0"/>
              <w:bottom w:val="single" w:color="auto" w:sz="4" w:space="0"/>
              <w:right w:val="single" w:color="auto" w:sz="4" w:space="0"/>
            </w:tcBorders>
            <w:vAlign w:val="center"/>
          </w:tcPr>
          <w:p>
            <w:pPr>
              <w:pStyle w:val="64"/>
              <w:rPr>
                <w:rFonts w:hint="eastAsia"/>
                <w:b/>
                <w:bCs/>
              </w:rPr>
            </w:pPr>
            <w:r>
              <w:rPr>
                <w:rFonts w:hint="eastAsi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pct"/>
            <w:tcBorders>
              <w:top w:val="single" w:color="auto" w:sz="4" w:space="0"/>
              <w:left w:val="single" w:color="auto" w:sz="4" w:space="0"/>
              <w:bottom w:val="single" w:color="auto" w:sz="4" w:space="0"/>
              <w:right w:val="single" w:color="auto" w:sz="4" w:space="0"/>
            </w:tcBorders>
          </w:tcPr>
          <w:p>
            <w:pPr>
              <w:pStyle w:val="64"/>
              <w:rPr>
                <w:rFonts w:hint="eastAsia"/>
              </w:rPr>
            </w:pPr>
            <w:r>
              <w:rPr>
                <w:rFonts w:hint="eastAsia"/>
              </w:rPr>
              <w:t>3</w:t>
            </w:r>
          </w:p>
        </w:tc>
        <w:tc>
          <w:tcPr>
            <w:tcW w:w="1510" w:type="pct"/>
            <w:tcBorders>
              <w:top w:val="single" w:color="auto" w:sz="4" w:space="0"/>
              <w:left w:val="single" w:color="auto" w:sz="4" w:space="0"/>
              <w:bottom w:val="single" w:color="auto" w:sz="4" w:space="0"/>
              <w:right w:val="single" w:color="auto" w:sz="4" w:space="0"/>
            </w:tcBorders>
            <w:vAlign w:val="center"/>
          </w:tcPr>
          <w:p>
            <w:pPr>
              <w:pStyle w:val="64"/>
              <w:rPr>
                <w:rFonts w:hint="eastAsia"/>
              </w:rPr>
            </w:pPr>
            <w:r>
              <w:rPr>
                <w:rFonts w:hint="eastAsia"/>
              </w:rPr>
              <w:t>牛塘镇</w:t>
            </w:r>
          </w:p>
        </w:tc>
        <w:tc>
          <w:tcPr>
            <w:tcW w:w="2155" w:type="pct"/>
            <w:tcBorders>
              <w:top w:val="single" w:color="auto" w:sz="4" w:space="0"/>
              <w:left w:val="single" w:color="auto" w:sz="4" w:space="0"/>
              <w:bottom w:val="single" w:color="auto" w:sz="4" w:space="0"/>
              <w:right w:val="single" w:color="auto" w:sz="4" w:space="0"/>
            </w:tcBorders>
            <w:vAlign w:val="center"/>
          </w:tcPr>
          <w:p>
            <w:pPr>
              <w:pStyle w:val="64"/>
              <w:rPr>
                <w:rFonts w:hint="eastAsia"/>
                <w:b/>
                <w:bCs/>
              </w:rPr>
            </w:pPr>
            <w:r>
              <w:rPr>
                <w:rFonts w:hint="eastAsia"/>
              </w:rPr>
              <w:t>牛塘镇卫生院</w:t>
            </w:r>
          </w:p>
        </w:tc>
        <w:tc>
          <w:tcPr>
            <w:tcW w:w="794" w:type="pct"/>
            <w:tcBorders>
              <w:top w:val="single" w:color="auto" w:sz="4" w:space="0"/>
              <w:left w:val="single" w:color="auto" w:sz="4" w:space="0"/>
              <w:bottom w:val="single" w:color="auto" w:sz="4" w:space="0"/>
              <w:right w:val="single" w:color="auto" w:sz="4" w:space="0"/>
            </w:tcBorders>
            <w:vAlign w:val="center"/>
          </w:tcPr>
          <w:p>
            <w:pPr>
              <w:pStyle w:val="64"/>
              <w:rPr>
                <w:rFonts w:hint="eastAsia"/>
                <w:bCs/>
              </w:rPr>
            </w:pPr>
            <w:r>
              <w:rPr>
                <w:rFonts w:hint="eastAsia"/>
                <w:bCs/>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pct"/>
            <w:tcBorders>
              <w:top w:val="single" w:color="auto" w:sz="4" w:space="0"/>
              <w:left w:val="single" w:color="auto" w:sz="4" w:space="0"/>
              <w:bottom w:val="single" w:color="auto" w:sz="4" w:space="0"/>
              <w:right w:val="single" w:color="auto" w:sz="4" w:space="0"/>
            </w:tcBorders>
          </w:tcPr>
          <w:p>
            <w:pPr>
              <w:pStyle w:val="64"/>
              <w:rPr>
                <w:rFonts w:hint="eastAsia"/>
              </w:rPr>
            </w:pPr>
            <w:r>
              <w:rPr>
                <w:rFonts w:hint="eastAsia"/>
              </w:rPr>
              <w:t>4</w:t>
            </w:r>
          </w:p>
        </w:tc>
        <w:tc>
          <w:tcPr>
            <w:tcW w:w="1510" w:type="pct"/>
            <w:tcBorders>
              <w:top w:val="single" w:color="auto" w:sz="4" w:space="0"/>
              <w:left w:val="single" w:color="auto" w:sz="4" w:space="0"/>
              <w:bottom w:val="single" w:color="auto" w:sz="4" w:space="0"/>
              <w:right w:val="single" w:color="auto" w:sz="4" w:space="0"/>
            </w:tcBorders>
            <w:vAlign w:val="center"/>
          </w:tcPr>
          <w:p>
            <w:pPr>
              <w:pStyle w:val="64"/>
              <w:rPr>
                <w:rFonts w:hint="eastAsia"/>
              </w:rPr>
            </w:pPr>
            <w:r>
              <w:rPr>
                <w:rFonts w:hint="eastAsia"/>
              </w:rPr>
              <w:t>西湖街道</w:t>
            </w:r>
          </w:p>
        </w:tc>
        <w:tc>
          <w:tcPr>
            <w:tcW w:w="2155" w:type="pct"/>
            <w:tcBorders>
              <w:top w:val="single" w:color="auto" w:sz="4" w:space="0"/>
              <w:left w:val="single" w:color="auto" w:sz="4" w:space="0"/>
              <w:bottom w:val="single" w:color="auto" w:sz="4" w:space="0"/>
              <w:right w:val="single" w:color="auto" w:sz="4" w:space="0"/>
            </w:tcBorders>
            <w:vAlign w:val="center"/>
          </w:tcPr>
          <w:p>
            <w:pPr>
              <w:pStyle w:val="64"/>
              <w:rPr>
                <w:rFonts w:hint="eastAsia"/>
                <w:b/>
                <w:bCs/>
              </w:rPr>
            </w:pPr>
            <w:r>
              <w:rPr>
                <w:rFonts w:hint="eastAsia"/>
              </w:rPr>
              <w:t>礼河卫生院</w:t>
            </w:r>
          </w:p>
        </w:tc>
        <w:tc>
          <w:tcPr>
            <w:tcW w:w="794" w:type="pct"/>
            <w:tcBorders>
              <w:top w:val="single" w:color="auto" w:sz="4" w:space="0"/>
              <w:left w:val="single" w:color="auto" w:sz="4" w:space="0"/>
              <w:bottom w:val="single" w:color="auto" w:sz="4" w:space="0"/>
              <w:right w:val="single" w:color="auto" w:sz="4" w:space="0"/>
            </w:tcBorders>
            <w:vAlign w:val="center"/>
          </w:tcPr>
          <w:p>
            <w:pPr>
              <w:pStyle w:val="64"/>
              <w:rPr>
                <w:rFonts w:hint="eastAsia"/>
                <w:bCs/>
              </w:rPr>
            </w:pPr>
            <w:r>
              <w:rPr>
                <w:rFonts w:hint="eastAsia"/>
                <w:bCs/>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pct"/>
            <w:tcBorders>
              <w:top w:val="single" w:color="auto" w:sz="4" w:space="0"/>
              <w:left w:val="single" w:color="auto" w:sz="4" w:space="0"/>
              <w:bottom w:val="single" w:color="auto" w:sz="4" w:space="0"/>
              <w:right w:val="single" w:color="auto" w:sz="4" w:space="0"/>
            </w:tcBorders>
            <w:vAlign w:val="center"/>
          </w:tcPr>
          <w:p>
            <w:pPr>
              <w:pStyle w:val="64"/>
              <w:rPr>
                <w:rFonts w:hint="eastAsia"/>
              </w:rPr>
            </w:pPr>
            <w:r>
              <w:rPr>
                <w:rFonts w:hint="eastAsia"/>
              </w:rPr>
              <w:t>5</w:t>
            </w:r>
          </w:p>
        </w:tc>
        <w:tc>
          <w:tcPr>
            <w:tcW w:w="1510" w:type="pct"/>
            <w:vMerge w:val="restart"/>
            <w:tcBorders>
              <w:top w:val="single" w:color="auto" w:sz="4" w:space="0"/>
              <w:left w:val="single" w:color="auto" w:sz="4" w:space="0"/>
              <w:bottom w:val="single" w:color="auto" w:sz="4" w:space="0"/>
              <w:right w:val="single" w:color="auto" w:sz="4" w:space="0"/>
            </w:tcBorders>
            <w:vAlign w:val="center"/>
          </w:tcPr>
          <w:p>
            <w:pPr>
              <w:pStyle w:val="64"/>
              <w:rPr>
                <w:rFonts w:hint="eastAsia"/>
              </w:rPr>
            </w:pPr>
            <w:r>
              <w:rPr>
                <w:rFonts w:hint="eastAsia"/>
              </w:rPr>
              <w:t>前黄镇</w:t>
            </w:r>
          </w:p>
        </w:tc>
        <w:tc>
          <w:tcPr>
            <w:tcW w:w="2155" w:type="pct"/>
            <w:tcBorders>
              <w:top w:val="single" w:color="auto" w:sz="4" w:space="0"/>
              <w:left w:val="single" w:color="auto" w:sz="4" w:space="0"/>
              <w:bottom w:val="single" w:color="auto" w:sz="4" w:space="0"/>
              <w:right w:val="single" w:color="auto" w:sz="4" w:space="0"/>
            </w:tcBorders>
            <w:vAlign w:val="center"/>
          </w:tcPr>
          <w:p>
            <w:pPr>
              <w:pStyle w:val="64"/>
              <w:rPr>
                <w:rFonts w:hint="eastAsia"/>
                <w:b/>
                <w:bCs/>
              </w:rPr>
            </w:pPr>
            <w:r>
              <w:rPr>
                <w:rFonts w:hint="eastAsia"/>
              </w:rPr>
              <w:t>武进第五人民医院</w:t>
            </w:r>
          </w:p>
        </w:tc>
        <w:tc>
          <w:tcPr>
            <w:tcW w:w="794" w:type="pct"/>
            <w:tcBorders>
              <w:top w:val="single" w:color="auto" w:sz="4" w:space="0"/>
              <w:left w:val="single" w:color="auto" w:sz="4" w:space="0"/>
              <w:bottom w:val="single" w:color="auto" w:sz="4" w:space="0"/>
              <w:right w:val="single" w:color="auto" w:sz="4" w:space="0"/>
            </w:tcBorders>
            <w:vAlign w:val="center"/>
          </w:tcPr>
          <w:p>
            <w:pPr>
              <w:pStyle w:val="64"/>
              <w:rPr>
                <w:rFonts w:hint="eastAsia"/>
                <w:b/>
                <w:bCs/>
              </w:rPr>
            </w:pPr>
            <w:r>
              <w:rPr>
                <w:rFonts w:hint="eastAsia"/>
              </w:rPr>
              <w:t>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pct"/>
            <w:tcBorders>
              <w:top w:val="single" w:color="auto" w:sz="4" w:space="0"/>
              <w:left w:val="single" w:color="auto" w:sz="4" w:space="0"/>
              <w:bottom w:val="single" w:color="auto" w:sz="4" w:space="0"/>
              <w:right w:val="single" w:color="auto" w:sz="4" w:space="0"/>
            </w:tcBorders>
          </w:tcPr>
          <w:p>
            <w:pPr>
              <w:pStyle w:val="64"/>
              <w:rPr>
                <w:rFonts w:hint="eastAsia"/>
              </w:rPr>
            </w:pPr>
            <w:r>
              <w:rPr>
                <w:rFonts w:hint="eastAsia"/>
              </w:rPr>
              <w:t>6</w:t>
            </w:r>
          </w:p>
        </w:tc>
        <w:tc>
          <w:tcPr>
            <w:tcW w:w="1510" w:type="pct"/>
            <w:vMerge w:val="continue"/>
            <w:tcBorders>
              <w:top w:val="single" w:color="auto" w:sz="4" w:space="0"/>
              <w:left w:val="single" w:color="auto" w:sz="4" w:space="0"/>
              <w:bottom w:val="single" w:color="auto" w:sz="4" w:space="0"/>
              <w:right w:val="single" w:color="auto" w:sz="4" w:space="0"/>
            </w:tcBorders>
            <w:vAlign w:val="center"/>
          </w:tcPr>
          <w:p>
            <w:pPr>
              <w:pStyle w:val="64"/>
              <w:rPr>
                <w:sz w:val="32"/>
              </w:rPr>
            </w:pPr>
          </w:p>
        </w:tc>
        <w:tc>
          <w:tcPr>
            <w:tcW w:w="2155" w:type="pct"/>
            <w:tcBorders>
              <w:top w:val="single" w:color="auto" w:sz="4" w:space="0"/>
              <w:left w:val="single" w:color="auto" w:sz="4" w:space="0"/>
              <w:bottom w:val="single" w:color="auto" w:sz="4" w:space="0"/>
              <w:right w:val="single" w:color="auto" w:sz="4" w:space="0"/>
            </w:tcBorders>
            <w:vAlign w:val="center"/>
          </w:tcPr>
          <w:p>
            <w:pPr>
              <w:pStyle w:val="64"/>
              <w:rPr>
                <w:rFonts w:hint="eastAsia"/>
                <w:b/>
                <w:bCs/>
              </w:rPr>
            </w:pPr>
            <w:r>
              <w:rPr>
                <w:rFonts w:hint="eastAsia"/>
              </w:rPr>
              <w:t>寨桥卫生院</w:t>
            </w:r>
          </w:p>
        </w:tc>
        <w:tc>
          <w:tcPr>
            <w:tcW w:w="794" w:type="pct"/>
            <w:tcBorders>
              <w:top w:val="single" w:color="auto" w:sz="4" w:space="0"/>
              <w:left w:val="single" w:color="auto" w:sz="4" w:space="0"/>
              <w:bottom w:val="single" w:color="auto" w:sz="4" w:space="0"/>
              <w:right w:val="single" w:color="auto" w:sz="4" w:space="0"/>
            </w:tcBorders>
            <w:vAlign w:val="center"/>
          </w:tcPr>
          <w:p>
            <w:pPr>
              <w:pStyle w:val="64"/>
              <w:rPr>
                <w:rFonts w:hint="eastAsia"/>
                <w:b/>
                <w:bCs/>
              </w:rPr>
            </w:pPr>
            <w:r>
              <w:rPr>
                <w:rFonts w:hint="eastAsi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pct"/>
            <w:tcBorders>
              <w:top w:val="single" w:color="auto" w:sz="4" w:space="0"/>
              <w:left w:val="single" w:color="auto" w:sz="4" w:space="0"/>
              <w:bottom w:val="single" w:color="auto" w:sz="4" w:space="0"/>
              <w:right w:val="single" w:color="auto" w:sz="4" w:space="0"/>
            </w:tcBorders>
            <w:vAlign w:val="center"/>
          </w:tcPr>
          <w:p>
            <w:pPr>
              <w:pStyle w:val="64"/>
              <w:rPr>
                <w:rFonts w:hint="eastAsia"/>
              </w:rPr>
            </w:pPr>
            <w:r>
              <w:rPr>
                <w:rFonts w:hint="eastAsia"/>
              </w:rPr>
              <w:t>7</w:t>
            </w:r>
          </w:p>
        </w:tc>
        <w:tc>
          <w:tcPr>
            <w:tcW w:w="1510" w:type="pct"/>
            <w:tcBorders>
              <w:top w:val="single" w:color="auto" w:sz="4" w:space="0"/>
              <w:left w:val="single" w:color="auto" w:sz="4" w:space="0"/>
              <w:bottom w:val="single" w:color="auto" w:sz="4" w:space="0"/>
              <w:right w:val="single" w:color="auto" w:sz="4" w:space="0"/>
            </w:tcBorders>
            <w:vAlign w:val="center"/>
          </w:tcPr>
          <w:p>
            <w:pPr>
              <w:pStyle w:val="64"/>
              <w:rPr>
                <w:rFonts w:hint="eastAsia"/>
              </w:rPr>
            </w:pPr>
            <w:r>
              <w:rPr>
                <w:rFonts w:hint="eastAsia"/>
              </w:rPr>
              <w:t>南夏墅街道</w:t>
            </w:r>
          </w:p>
        </w:tc>
        <w:tc>
          <w:tcPr>
            <w:tcW w:w="2155" w:type="pct"/>
            <w:tcBorders>
              <w:top w:val="single" w:color="auto" w:sz="4" w:space="0"/>
              <w:left w:val="single" w:color="auto" w:sz="4" w:space="0"/>
              <w:bottom w:val="single" w:color="auto" w:sz="4" w:space="0"/>
              <w:right w:val="single" w:color="auto" w:sz="4" w:space="0"/>
            </w:tcBorders>
            <w:vAlign w:val="center"/>
          </w:tcPr>
          <w:p>
            <w:pPr>
              <w:pStyle w:val="64"/>
              <w:rPr>
                <w:rFonts w:hint="eastAsia"/>
                <w:b/>
                <w:bCs/>
              </w:rPr>
            </w:pPr>
            <w:r>
              <w:rPr>
                <w:rFonts w:hint="eastAsia"/>
              </w:rPr>
              <w:t>南夏墅街道社区卫生服务中心</w:t>
            </w:r>
          </w:p>
        </w:tc>
        <w:tc>
          <w:tcPr>
            <w:tcW w:w="794" w:type="pct"/>
            <w:tcBorders>
              <w:top w:val="single" w:color="auto" w:sz="4" w:space="0"/>
              <w:left w:val="single" w:color="auto" w:sz="4" w:space="0"/>
              <w:bottom w:val="single" w:color="auto" w:sz="4" w:space="0"/>
              <w:right w:val="single" w:color="auto" w:sz="4" w:space="0"/>
            </w:tcBorders>
            <w:vAlign w:val="center"/>
          </w:tcPr>
          <w:p>
            <w:pPr>
              <w:pStyle w:val="64"/>
              <w:rPr>
                <w:rFonts w:hint="eastAsia"/>
              </w:rPr>
            </w:pPr>
            <w:r>
              <w:rPr>
                <w:rFonts w:hint="eastAsia"/>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pct"/>
            <w:tcBorders>
              <w:top w:val="single" w:color="auto" w:sz="4" w:space="0"/>
              <w:left w:val="single" w:color="auto" w:sz="4" w:space="0"/>
              <w:bottom w:val="single" w:color="auto" w:sz="4" w:space="0"/>
              <w:right w:val="single" w:color="auto" w:sz="4" w:space="0"/>
            </w:tcBorders>
            <w:vAlign w:val="center"/>
          </w:tcPr>
          <w:p>
            <w:pPr>
              <w:pStyle w:val="64"/>
              <w:rPr>
                <w:rFonts w:hint="eastAsia"/>
              </w:rPr>
            </w:pPr>
            <w:r>
              <w:rPr>
                <w:rFonts w:hint="eastAsia"/>
              </w:rPr>
              <w:t>8</w:t>
            </w:r>
          </w:p>
        </w:tc>
        <w:tc>
          <w:tcPr>
            <w:tcW w:w="1510" w:type="pct"/>
            <w:tcBorders>
              <w:top w:val="single" w:color="auto" w:sz="4" w:space="0"/>
              <w:left w:val="single" w:color="auto" w:sz="4" w:space="0"/>
              <w:bottom w:val="single" w:color="auto" w:sz="4" w:space="0"/>
              <w:right w:val="single" w:color="auto" w:sz="4" w:space="0"/>
            </w:tcBorders>
            <w:vAlign w:val="center"/>
          </w:tcPr>
          <w:p>
            <w:pPr>
              <w:pStyle w:val="64"/>
              <w:rPr>
                <w:rFonts w:hint="eastAsia"/>
              </w:rPr>
            </w:pPr>
            <w:r>
              <w:rPr>
                <w:rFonts w:hint="eastAsia"/>
              </w:rPr>
              <w:t>湟里镇</w:t>
            </w:r>
          </w:p>
        </w:tc>
        <w:tc>
          <w:tcPr>
            <w:tcW w:w="2155" w:type="pct"/>
            <w:tcBorders>
              <w:top w:val="single" w:color="auto" w:sz="4" w:space="0"/>
              <w:left w:val="single" w:color="auto" w:sz="4" w:space="0"/>
              <w:bottom w:val="single" w:color="auto" w:sz="4" w:space="0"/>
              <w:right w:val="single" w:color="auto" w:sz="4" w:space="0"/>
            </w:tcBorders>
            <w:vAlign w:val="center"/>
          </w:tcPr>
          <w:p>
            <w:pPr>
              <w:pStyle w:val="64"/>
              <w:rPr>
                <w:rFonts w:hint="eastAsia"/>
                <w:bCs/>
              </w:rPr>
            </w:pPr>
            <w:r>
              <w:rPr>
                <w:rFonts w:hint="eastAsia"/>
                <w:bCs/>
              </w:rPr>
              <w:t>武进四院</w:t>
            </w:r>
          </w:p>
        </w:tc>
        <w:tc>
          <w:tcPr>
            <w:tcW w:w="794" w:type="pct"/>
            <w:tcBorders>
              <w:top w:val="single" w:color="auto" w:sz="4" w:space="0"/>
              <w:left w:val="single" w:color="auto" w:sz="4" w:space="0"/>
              <w:bottom w:val="single" w:color="auto" w:sz="4" w:space="0"/>
              <w:right w:val="single" w:color="auto" w:sz="4" w:space="0"/>
            </w:tcBorders>
            <w:vAlign w:val="center"/>
          </w:tcPr>
          <w:p>
            <w:pPr>
              <w:pStyle w:val="64"/>
              <w:rPr>
                <w:rFonts w:hint="eastAsia"/>
                <w:bCs/>
              </w:rPr>
            </w:pPr>
            <w:r>
              <w:rPr>
                <w:rFonts w:hint="eastAsia"/>
                <w:bCs/>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pct"/>
            <w:tcBorders>
              <w:top w:val="single" w:color="auto" w:sz="4" w:space="0"/>
              <w:left w:val="single" w:color="auto" w:sz="4" w:space="0"/>
              <w:bottom w:val="single" w:color="auto" w:sz="4" w:space="0"/>
              <w:right w:val="single" w:color="auto" w:sz="4" w:space="0"/>
            </w:tcBorders>
          </w:tcPr>
          <w:p>
            <w:pPr>
              <w:pStyle w:val="64"/>
              <w:rPr>
                <w:rFonts w:hint="eastAsia"/>
              </w:rPr>
            </w:pPr>
            <w:r>
              <w:rPr>
                <w:rFonts w:hint="eastAsia"/>
              </w:rPr>
              <w:t>9</w:t>
            </w:r>
          </w:p>
        </w:tc>
        <w:tc>
          <w:tcPr>
            <w:tcW w:w="1510" w:type="pct"/>
            <w:vMerge w:val="restart"/>
            <w:tcBorders>
              <w:top w:val="single" w:color="auto" w:sz="4" w:space="0"/>
              <w:left w:val="single" w:color="auto" w:sz="4" w:space="0"/>
              <w:bottom w:val="single" w:color="auto" w:sz="4" w:space="0"/>
              <w:right w:val="single" w:color="auto" w:sz="4" w:space="0"/>
            </w:tcBorders>
            <w:vAlign w:val="center"/>
          </w:tcPr>
          <w:p>
            <w:pPr>
              <w:pStyle w:val="64"/>
              <w:rPr>
                <w:rFonts w:hint="eastAsia"/>
              </w:rPr>
            </w:pPr>
            <w:r>
              <w:rPr>
                <w:rFonts w:hint="eastAsia"/>
              </w:rPr>
              <w:t>礼嘉镇</w:t>
            </w:r>
          </w:p>
        </w:tc>
        <w:tc>
          <w:tcPr>
            <w:tcW w:w="2155" w:type="pct"/>
            <w:tcBorders>
              <w:top w:val="single" w:color="auto" w:sz="4" w:space="0"/>
              <w:left w:val="single" w:color="auto" w:sz="4" w:space="0"/>
              <w:bottom w:val="single" w:color="auto" w:sz="4" w:space="0"/>
              <w:right w:val="single" w:color="auto" w:sz="4" w:space="0"/>
            </w:tcBorders>
            <w:vAlign w:val="center"/>
          </w:tcPr>
          <w:p>
            <w:pPr>
              <w:pStyle w:val="64"/>
              <w:rPr>
                <w:rFonts w:hint="eastAsia"/>
              </w:rPr>
            </w:pPr>
            <w:r>
              <w:rPr>
                <w:rFonts w:hint="eastAsia"/>
              </w:rPr>
              <w:t>礼嘉镇卫生院</w:t>
            </w:r>
          </w:p>
        </w:tc>
        <w:tc>
          <w:tcPr>
            <w:tcW w:w="794" w:type="pct"/>
            <w:tcBorders>
              <w:top w:val="single" w:color="auto" w:sz="4" w:space="0"/>
              <w:left w:val="single" w:color="auto" w:sz="4" w:space="0"/>
              <w:bottom w:val="single" w:color="auto" w:sz="4" w:space="0"/>
              <w:right w:val="single" w:color="auto" w:sz="4" w:space="0"/>
            </w:tcBorders>
            <w:vAlign w:val="center"/>
          </w:tcPr>
          <w:p>
            <w:pPr>
              <w:pStyle w:val="64"/>
              <w:rPr>
                <w:rFonts w:hint="eastAsia"/>
              </w:rPr>
            </w:pPr>
            <w:r>
              <w:rPr>
                <w:rFonts w:hint="eastAsia"/>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pct"/>
            <w:tcBorders>
              <w:top w:val="single" w:color="auto" w:sz="4" w:space="0"/>
              <w:left w:val="single" w:color="auto" w:sz="4" w:space="0"/>
              <w:bottom w:val="single" w:color="auto" w:sz="4" w:space="0"/>
              <w:right w:val="single" w:color="auto" w:sz="4" w:space="0"/>
            </w:tcBorders>
          </w:tcPr>
          <w:p>
            <w:pPr>
              <w:pStyle w:val="64"/>
              <w:rPr>
                <w:rFonts w:hint="eastAsia"/>
              </w:rPr>
            </w:pPr>
            <w:r>
              <w:rPr>
                <w:rFonts w:hint="eastAsia"/>
              </w:rPr>
              <w:t>10</w:t>
            </w:r>
          </w:p>
        </w:tc>
        <w:tc>
          <w:tcPr>
            <w:tcW w:w="1510" w:type="pct"/>
            <w:vMerge w:val="continue"/>
            <w:tcBorders>
              <w:top w:val="single" w:color="auto" w:sz="4" w:space="0"/>
              <w:left w:val="single" w:color="auto" w:sz="4" w:space="0"/>
              <w:bottom w:val="single" w:color="auto" w:sz="4" w:space="0"/>
              <w:right w:val="single" w:color="auto" w:sz="4" w:space="0"/>
            </w:tcBorders>
            <w:vAlign w:val="center"/>
          </w:tcPr>
          <w:p>
            <w:pPr>
              <w:pStyle w:val="64"/>
              <w:rPr>
                <w:sz w:val="32"/>
              </w:rPr>
            </w:pPr>
          </w:p>
        </w:tc>
        <w:tc>
          <w:tcPr>
            <w:tcW w:w="2155" w:type="pct"/>
            <w:tcBorders>
              <w:top w:val="single" w:color="auto" w:sz="4" w:space="0"/>
              <w:left w:val="single" w:color="auto" w:sz="4" w:space="0"/>
              <w:bottom w:val="single" w:color="auto" w:sz="4" w:space="0"/>
              <w:right w:val="single" w:color="auto" w:sz="4" w:space="0"/>
            </w:tcBorders>
            <w:vAlign w:val="center"/>
          </w:tcPr>
          <w:p>
            <w:pPr>
              <w:pStyle w:val="64"/>
              <w:rPr>
                <w:rFonts w:hint="eastAsia"/>
              </w:rPr>
            </w:pPr>
            <w:r>
              <w:rPr>
                <w:rFonts w:hint="eastAsia"/>
              </w:rPr>
              <w:t>坂上卫生院</w:t>
            </w:r>
          </w:p>
        </w:tc>
        <w:tc>
          <w:tcPr>
            <w:tcW w:w="794" w:type="pct"/>
            <w:tcBorders>
              <w:top w:val="single" w:color="auto" w:sz="4" w:space="0"/>
              <w:left w:val="single" w:color="auto" w:sz="4" w:space="0"/>
              <w:bottom w:val="single" w:color="auto" w:sz="4" w:space="0"/>
              <w:right w:val="single" w:color="auto" w:sz="4" w:space="0"/>
            </w:tcBorders>
            <w:vAlign w:val="center"/>
          </w:tcPr>
          <w:p>
            <w:pPr>
              <w:pStyle w:val="64"/>
              <w:rPr>
                <w:rFonts w:hint="eastAsia"/>
                <w:color w:val="FF0000"/>
              </w:rPr>
            </w:pPr>
            <w:r>
              <w:rPr>
                <w:rFonts w:hint="eastAsia"/>
                <w:color w:val="00000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pct"/>
            <w:tcBorders>
              <w:top w:val="single" w:color="auto" w:sz="4" w:space="0"/>
              <w:left w:val="single" w:color="auto" w:sz="4" w:space="0"/>
              <w:bottom w:val="single" w:color="auto" w:sz="4" w:space="0"/>
              <w:right w:val="single" w:color="auto" w:sz="4" w:space="0"/>
            </w:tcBorders>
          </w:tcPr>
          <w:p>
            <w:pPr>
              <w:pStyle w:val="64"/>
              <w:rPr>
                <w:rFonts w:hint="eastAsia"/>
              </w:rPr>
            </w:pPr>
            <w:r>
              <w:rPr>
                <w:rFonts w:hint="eastAsia"/>
              </w:rPr>
              <w:t>11</w:t>
            </w:r>
          </w:p>
        </w:tc>
        <w:tc>
          <w:tcPr>
            <w:tcW w:w="1510" w:type="pct"/>
            <w:vMerge w:val="restart"/>
            <w:tcBorders>
              <w:top w:val="single" w:color="auto" w:sz="4" w:space="0"/>
              <w:left w:val="single" w:color="auto" w:sz="4" w:space="0"/>
              <w:bottom w:val="single" w:color="auto" w:sz="4" w:space="0"/>
              <w:right w:val="single" w:color="auto" w:sz="4" w:space="0"/>
            </w:tcBorders>
            <w:vAlign w:val="center"/>
          </w:tcPr>
          <w:p>
            <w:pPr>
              <w:pStyle w:val="64"/>
              <w:rPr>
                <w:rFonts w:hint="eastAsia"/>
              </w:rPr>
            </w:pPr>
            <w:r>
              <w:rPr>
                <w:rFonts w:hint="eastAsia"/>
              </w:rPr>
              <w:t>嘉泽镇</w:t>
            </w:r>
          </w:p>
        </w:tc>
        <w:tc>
          <w:tcPr>
            <w:tcW w:w="2155" w:type="pct"/>
            <w:tcBorders>
              <w:top w:val="single" w:color="auto" w:sz="4" w:space="0"/>
              <w:left w:val="single" w:color="auto" w:sz="4" w:space="0"/>
              <w:bottom w:val="single" w:color="auto" w:sz="4" w:space="0"/>
              <w:right w:val="single" w:color="auto" w:sz="4" w:space="0"/>
            </w:tcBorders>
            <w:vAlign w:val="center"/>
          </w:tcPr>
          <w:p>
            <w:pPr>
              <w:pStyle w:val="64"/>
              <w:rPr>
                <w:rFonts w:hint="eastAsia"/>
              </w:rPr>
            </w:pPr>
            <w:r>
              <w:rPr>
                <w:rFonts w:hint="eastAsia"/>
              </w:rPr>
              <w:t>嘉泽镇卫生院</w:t>
            </w:r>
          </w:p>
        </w:tc>
        <w:tc>
          <w:tcPr>
            <w:tcW w:w="794" w:type="pct"/>
            <w:tcBorders>
              <w:top w:val="single" w:color="auto" w:sz="4" w:space="0"/>
              <w:left w:val="single" w:color="auto" w:sz="4" w:space="0"/>
              <w:bottom w:val="single" w:color="auto" w:sz="4" w:space="0"/>
              <w:right w:val="single" w:color="auto" w:sz="4" w:space="0"/>
            </w:tcBorders>
            <w:vAlign w:val="center"/>
          </w:tcPr>
          <w:p>
            <w:pPr>
              <w:pStyle w:val="64"/>
              <w:rPr>
                <w:rFonts w:hint="eastAsia"/>
              </w:rPr>
            </w:pPr>
            <w:r>
              <w:rPr>
                <w:rFonts w:hint="eastAsia"/>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pct"/>
            <w:tcBorders>
              <w:top w:val="single" w:color="auto" w:sz="4" w:space="0"/>
              <w:left w:val="single" w:color="auto" w:sz="4" w:space="0"/>
              <w:bottom w:val="single" w:color="auto" w:sz="4" w:space="0"/>
              <w:right w:val="single" w:color="auto" w:sz="4" w:space="0"/>
            </w:tcBorders>
          </w:tcPr>
          <w:p>
            <w:pPr>
              <w:pStyle w:val="64"/>
              <w:rPr>
                <w:rFonts w:hint="eastAsia"/>
              </w:rPr>
            </w:pPr>
            <w:r>
              <w:rPr>
                <w:rFonts w:hint="eastAsia"/>
              </w:rPr>
              <w:t>12</w:t>
            </w:r>
          </w:p>
        </w:tc>
        <w:tc>
          <w:tcPr>
            <w:tcW w:w="1510" w:type="pct"/>
            <w:vMerge w:val="continue"/>
            <w:tcBorders>
              <w:top w:val="single" w:color="auto" w:sz="4" w:space="0"/>
              <w:left w:val="single" w:color="auto" w:sz="4" w:space="0"/>
              <w:bottom w:val="single" w:color="auto" w:sz="4" w:space="0"/>
              <w:right w:val="single" w:color="auto" w:sz="4" w:space="0"/>
            </w:tcBorders>
            <w:vAlign w:val="center"/>
          </w:tcPr>
          <w:p>
            <w:pPr>
              <w:pStyle w:val="64"/>
              <w:rPr>
                <w:sz w:val="32"/>
              </w:rPr>
            </w:pPr>
          </w:p>
        </w:tc>
        <w:tc>
          <w:tcPr>
            <w:tcW w:w="2155" w:type="pct"/>
            <w:tcBorders>
              <w:top w:val="single" w:color="auto" w:sz="4" w:space="0"/>
              <w:left w:val="single" w:color="auto" w:sz="4" w:space="0"/>
              <w:bottom w:val="single" w:color="auto" w:sz="4" w:space="0"/>
              <w:right w:val="single" w:color="auto" w:sz="4" w:space="0"/>
            </w:tcBorders>
            <w:vAlign w:val="center"/>
          </w:tcPr>
          <w:p>
            <w:pPr>
              <w:pStyle w:val="64"/>
              <w:rPr>
                <w:rFonts w:hint="eastAsia"/>
              </w:rPr>
            </w:pPr>
            <w:r>
              <w:rPr>
                <w:rFonts w:hint="eastAsia"/>
              </w:rPr>
              <w:t>成章卫生院</w:t>
            </w:r>
          </w:p>
        </w:tc>
        <w:tc>
          <w:tcPr>
            <w:tcW w:w="794" w:type="pct"/>
            <w:tcBorders>
              <w:top w:val="single" w:color="auto" w:sz="4" w:space="0"/>
              <w:left w:val="single" w:color="auto" w:sz="4" w:space="0"/>
              <w:bottom w:val="single" w:color="auto" w:sz="4" w:space="0"/>
              <w:right w:val="single" w:color="auto" w:sz="4" w:space="0"/>
            </w:tcBorders>
            <w:vAlign w:val="center"/>
          </w:tcPr>
          <w:p>
            <w:pPr>
              <w:pStyle w:val="64"/>
              <w:rPr>
                <w:rFonts w:hint="eastAsia"/>
              </w:rPr>
            </w:pPr>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pct"/>
            <w:tcBorders>
              <w:top w:val="single" w:color="auto" w:sz="4" w:space="0"/>
              <w:left w:val="single" w:color="auto" w:sz="4" w:space="0"/>
              <w:bottom w:val="single" w:color="auto" w:sz="4" w:space="0"/>
              <w:right w:val="single" w:color="auto" w:sz="4" w:space="0"/>
            </w:tcBorders>
            <w:vAlign w:val="center"/>
          </w:tcPr>
          <w:p>
            <w:pPr>
              <w:pStyle w:val="64"/>
              <w:rPr>
                <w:rFonts w:hint="eastAsia"/>
              </w:rPr>
            </w:pPr>
            <w:r>
              <w:rPr>
                <w:rFonts w:hint="eastAsia"/>
              </w:rPr>
              <w:t>13</w:t>
            </w:r>
          </w:p>
        </w:tc>
        <w:tc>
          <w:tcPr>
            <w:tcW w:w="1510" w:type="pct"/>
            <w:tcBorders>
              <w:top w:val="single" w:color="auto" w:sz="4" w:space="0"/>
              <w:left w:val="single" w:color="auto" w:sz="4" w:space="0"/>
              <w:bottom w:val="single" w:color="auto" w:sz="4" w:space="0"/>
              <w:right w:val="single" w:color="auto" w:sz="4" w:space="0"/>
            </w:tcBorders>
            <w:vAlign w:val="center"/>
          </w:tcPr>
          <w:p>
            <w:pPr>
              <w:pStyle w:val="64"/>
              <w:rPr>
                <w:rFonts w:hint="eastAsia"/>
              </w:rPr>
            </w:pPr>
            <w:r>
              <w:rPr>
                <w:rFonts w:hint="eastAsia"/>
              </w:rPr>
              <w:t>洛阳镇</w:t>
            </w:r>
          </w:p>
        </w:tc>
        <w:tc>
          <w:tcPr>
            <w:tcW w:w="2155" w:type="pct"/>
            <w:tcBorders>
              <w:top w:val="single" w:color="auto" w:sz="4" w:space="0"/>
              <w:left w:val="single" w:color="auto" w:sz="4" w:space="0"/>
              <w:bottom w:val="single" w:color="auto" w:sz="4" w:space="0"/>
              <w:right w:val="single" w:color="auto" w:sz="4" w:space="0"/>
            </w:tcBorders>
            <w:vAlign w:val="center"/>
          </w:tcPr>
          <w:p>
            <w:pPr>
              <w:pStyle w:val="64"/>
              <w:rPr>
                <w:rFonts w:hint="eastAsia"/>
              </w:rPr>
            </w:pPr>
            <w:r>
              <w:rPr>
                <w:rFonts w:hint="eastAsia"/>
              </w:rPr>
              <w:t>武进第六人民医院</w:t>
            </w:r>
          </w:p>
        </w:tc>
        <w:tc>
          <w:tcPr>
            <w:tcW w:w="794" w:type="pct"/>
            <w:tcBorders>
              <w:top w:val="single" w:color="auto" w:sz="4" w:space="0"/>
              <w:left w:val="single" w:color="auto" w:sz="4" w:space="0"/>
              <w:bottom w:val="single" w:color="auto" w:sz="4" w:space="0"/>
              <w:right w:val="single" w:color="auto" w:sz="4" w:space="0"/>
            </w:tcBorders>
            <w:vAlign w:val="center"/>
          </w:tcPr>
          <w:p>
            <w:pPr>
              <w:pStyle w:val="64"/>
              <w:rPr>
                <w:rFonts w:hint="eastAsia"/>
              </w:rPr>
            </w:pPr>
            <w:r>
              <w:rPr>
                <w:rFonts w:hint="eastAsia"/>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pct"/>
            <w:tcBorders>
              <w:top w:val="single" w:color="auto" w:sz="4" w:space="0"/>
              <w:left w:val="single" w:color="auto" w:sz="4" w:space="0"/>
              <w:bottom w:val="single" w:color="auto" w:sz="4" w:space="0"/>
              <w:right w:val="single" w:color="auto" w:sz="4" w:space="0"/>
            </w:tcBorders>
            <w:vAlign w:val="center"/>
          </w:tcPr>
          <w:p>
            <w:pPr>
              <w:pStyle w:val="64"/>
              <w:rPr>
                <w:rFonts w:hint="eastAsia"/>
              </w:rPr>
            </w:pPr>
            <w:r>
              <w:rPr>
                <w:rFonts w:hint="eastAsia"/>
              </w:rPr>
              <w:t>14</w:t>
            </w:r>
          </w:p>
        </w:tc>
        <w:tc>
          <w:tcPr>
            <w:tcW w:w="1510" w:type="pct"/>
            <w:vMerge w:val="restart"/>
            <w:tcBorders>
              <w:top w:val="single" w:color="auto" w:sz="4" w:space="0"/>
              <w:left w:val="single" w:color="auto" w:sz="4" w:space="0"/>
              <w:bottom w:val="single" w:color="auto" w:sz="4" w:space="0"/>
              <w:right w:val="single" w:color="auto" w:sz="4" w:space="0"/>
            </w:tcBorders>
            <w:vAlign w:val="center"/>
          </w:tcPr>
          <w:p>
            <w:pPr>
              <w:pStyle w:val="64"/>
              <w:rPr>
                <w:rFonts w:hint="eastAsia"/>
              </w:rPr>
            </w:pPr>
            <w:r>
              <w:rPr>
                <w:rFonts w:hint="eastAsia"/>
              </w:rPr>
              <w:t>雪堰镇</w:t>
            </w:r>
          </w:p>
        </w:tc>
        <w:tc>
          <w:tcPr>
            <w:tcW w:w="2155" w:type="pct"/>
            <w:tcBorders>
              <w:top w:val="single" w:color="auto" w:sz="4" w:space="0"/>
              <w:left w:val="single" w:color="auto" w:sz="4" w:space="0"/>
              <w:bottom w:val="single" w:color="auto" w:sz="4" w:space="0"/>
              <w:right w:val="single" w:color="auto" w:sz="4" w:space="0"/>
            </w:tcBorders>
            <w:vAlign w:val="center"/>
          </w:tcPr>
          <w:p>
            <w:pPr>
              <w:pStyle w:val="64"/>
              <w:rPr>
                <w:rFonts w:hint="eastAsia"/>
              </w:rPr>
            </w:pPr>
            <w:r>
              <w:rPr>
                <w:rFonts w:hint="eastAsia"/>
              </w:rPr>
              <w:t>雪堰镇中心卫生院</w:t>
            </w:r>
          </w:p>
        </w:tc>
        <w:tc>
          <w:tcPr>
            <w:tcW w:w="794" w:type="pct"/>
            <w:tcBorders>
              <w:top w:val="single" w:color="auto" w:sz="4" w:space="0"/>
              <w:left w:val="single" w:color="auto" w:sz="4" w:space="0"/>
              <w:bottom w:val="single" w:color="auto" w:sz="4" w:space="0"/>
              <w:right w:val="single" w:color="auto" w:sz="4" w:space="0"/>
            </w:tcBorders>
            <w:vAlign w:val="center"/>
          </w:tcPr>
          <w:p>
            <w:pPr>
              <w:pStyle w:val="64"/>
              <w:rPr>
                <w:rFonts w:hint="eastAsia"/>
              </w:rPr>
            </w:pPr>
            <w:r>
              <w:rPr>
                <w:rFonts w:hint="eastAsia"/>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pct"/>
            <w:tcBorders>
              <w:top w:val="single" w:color="auto" w:sz="4" w:space="0"/>
              <w:left w:val="single" w:color="auto" w:sz="4" w:space="0"/>
              <w:bottom w:val="single" w:color="auto" w:sz="4" w:space="0"/>
              <w:right w:val="single" w:color="auto" w:sz="4" w:space="0"/>
            </w:tcBorders>
          </w:tcPr>
          <w:p>
            <w:pPr>
              <w:pStyle w:val="64"/>
              <w:rPr>
                <w:rFonts w:hint="eastAsia"/>
              </w:rPr>
            </w:pPr>
            <w:r>
              <w:rPr>
                <w:rFonts w:hint="eastAsia"/>
              </w:rPr>
              <w:t>15</w:t>
            </w:r>
          </w:p>
        </w:tc>
        <w:tc>
          <w:tcPr>
            <w:tcW w:w="1510" w:type="pct"/>
            <w:vMerge w:val="continue"/>
            <w:tcBorders>
              <w:top w:val="single" w:color="auto" w:sz="4" w:space="0"/>
              <w:left w:val="single" w:color="auto" w:sz="4" w:space="0"/>
              <w:bottom w:val="single" w:color="auto" w:sz="4" w:space="0"/>
              <w:right w:val="single" w:color="auto" w:sz="4" w:space="0"/>
            </w:tcBorders>
            <w:vAlign w:val="center"/>
          </w:tcPr>
          <w:p>
            <w:pPr>
              <w:pStyle w:val="64"/>
              <w:rPr>
                <w:sz w:val="32"/>
              </w:rPr>
            </w:pPr>
          </w:p>
        </w:tc>
        <w:tc>
          <w:tcPr>
            <w:tcW w:w="2155" w:type="pct"/>
            <w:tcBorders>
              <w:top w:val="single" w:color="auto" w:sz="4" w:space="0"/>
              <w:left w:val="single" w:color="auto" w:sz="4" w:space="0"/>
              <w:bottom w:val="single" w:color="auto" w:sz="4" w:space="0"/>
              <w:right w:val="single" w:color="auto" w:sz="4" w:space="0"/>
            </w:tcBorders>
            <w:vAlign w:val="center"/>
          </w:tcPr>
          <w:p>
            <w:pPr>
              <w:pStyle w:val="64"/>
              <w:rPr>
                <w:rFonts w:hint="eastAsia"/>
              </w:rPr>
            </w:pPr>
            <w:r>
              <w:rPr>
                <w:rFonts w:hint="eastAsia"/>
              </w:rPr>
              <w:t>漕桥卫生院</w:t>
            </w:r>
          </w:p>
        </w:tc>
        <w:tc>
          <w:tcPr>
            <w:tcW w:w="794" w:type="pct"/>
            <w:tcBorders>
              <w:top w:val="single" w:color="auto" w:sz="4" w:space="0"/>
              <w:left w:val="single" w:color="auto" w:sz="4" w:space="0"/>
              <w:bottom w:val="single" w:color="auto" w:sz="4" w:space="0"/>
              <w:right w:val="single" w:color="auto" w:sz="4" w:space="0"/>
            </w:tcBorders>
            <w:vAlign w:val="center"/>
          </w:tcPr>
          <w:p>
            <w:pPr>
              <w:pStyle w:val="64"/>
              <w:rPr>
                <w:rFonts w:hint="eastAsia"/>
              </w:rPr>
            </w:pPr>
            <w:r>
              <w:rPr>
                <w:rFonts w:hint="eastAsia"/>
              </w:rPr>
              <w:t>65</w:t>
            </w:r>
          </w:p>
        </w:tc>
      </w:tr>
    </w:tbl>
    <w:p>
      <w:r>
        <w:br w:type="page"/>
      </w:r>
      <w:r>
        <w:rPr>
          <w:rFonts w:hint="eastAsia"/>
        </w:rPr>
        <w:t>附件5：相关</w:t>
      </w:r>
      <w:r>
        <w:t>机构、单位通讯联系方式</w:t>
      </w:r>
    </w:p>
    <w:tbl>
      <w:tblPr>
        <w:tblStyle w:val="19"/>
        <w:tblW w:w="4555" w:type="pct"/>
        <w:jc w:val="center"/>
        <w:tblLayout w:type="autofit"/>
        <w:tblCellMar>
          <w:top w:w="0" w:type="dxa"/>
          <w:left w:w="108" w:type="dxa"/>
          <w:bottom w:w="0" w:type="dxa"/>
          <w:right w:w="108" w:type="dxa"/>
        </w:tblCellMar>
      </w:tblPr>
      <w:tblGrid>
        <w:gridCol w:w="1076"/>
        <w:gridCol w:w="3711"/>
        <w:gridCol w:w="3467"/>
      </w:tblGrid>
      <w:tr>
        <w:tblPrEx>
          <w:tblCellMar>
            <w:top w:w="0" w:type="dxa"/>
            <w:left w:w="108" w:type="dxa"/>
            <w:bottom w:w="0" w:type="dxa"/>
            <w:right w:w="108" w:type="dxa"/>
          </w:tblCellMar>
        </w:tblPrEx>
        <w:trPr>
          <w:trHeight w:val="454" w:hRule="atLeast"/>
          <w:tblHeader/>
          <w:jc w:val="center"/>
        </w:trPr>
        <w:tc>
          <w:tcPr>
            <w:tcW w:w="652" w:type="pct"/>
            <w:tcBorders>
              <w:top w:val="single" w:color="auto" w:sz="4" w:space="0"/>
              <w:left w:val="single" w:color="auto" w:sz="4" w:space="0"/>
              <w:bottom w:val="single" w:color="auto" w:sz="4" w:space="0"/>
              <w:right w:val="single" w:color="auto" w:sz="4" w:space="0"/>
            </w:tcBorders>
            <w:vAlign w:val="center"/>
          </w:tcPr>
          <w:p>
            <w:pPr>
              <w:pStyle w:val="64"/>
              <w:rPr>
                <w:b/>
                <w:sz w:val="24"/>
                <w:szCs w:val="24"/>
              </w:rPr>
            </w:pPr>
            <w:r>
              <w:rPr>
                <w:rFonts w:hint="eastAsia"/>
                <w:b/>
                <w:sz w:val="24"/>
                <w:szCs w:val="24"/>
              </w:rPr>
              <w:t>序号</w:t>
            </w:r>
          </w:p>
        </w:tc>
        <w:tc>
          <w:tcPr>
            <w:tcW w:w="2248" w:type="pct"/>
            <w:tcBorders>
              <w:top w:val="single" w:color="auto" w:sz="4" w:space="0"/>
              <w:left w:val="nil"/>
              <w:bottom w:val="single" w:color="auto" w:sz="4" w:space="0"/>
              <w:right w:val="single" w:color="auto" w:sz="4" w:space="0"/>
            </w:tcBorders>
            <w:vAlign w:val="center"/>
          </w:tcPr>
          <w:p>
            <w:pPr>
              <w:pStyle w:val="64"/>
              <w:rPr>
                <w:b/>
                <w:sz w:val="24"/>
                <w:szCs w:val="24"/>
              </w:rPr>
            </w:pPr>
            <w:r>
              <w:rPr>
                <w:rFonts w:hint="eastAsia"/>
                <w:b/>
                <w:sz w:val="24"/>
                <w:szCs w:val="24"/>
              </w:rPr>
              <w:t>单位</w:t>
            </w:r>
          </w:p>
        </w:tc>
        <w:tc>
          <w:tcPr>
            <w:tcW w:w="2100" w:type="pct"/>
            <w:tcBorders>
              <w:top w:val="single" w:color="auto" w:sz="4" w:space="0"/>
              <w:left w:val="nil"/>
              <w:bottom w:val="single" w:color="auto" w:sz="4" w:space="0"/>
              <w:right w:val="single" w:color="auto" w:sz="4" w:space="0"/>
            </w:tcBorders>
            <w:vAlign w:val="center"/>
          </w:tcPr>
          <w:p>
            <w:pPr>
              <w:pStyle w:val="64"/>
              <w:rPr>
                <w:b/>
                <w:sz w:val="24"/>
                <w:szCs w:val="24"/>
              </w:rPr>
            </w:pPr>
            <w:r>
              <w:rPr>
                <w:rFonts w:hint="eastAsia"/>
                <w:b/>
                <w:sz w:val="24"/>
                <w:szCs w:val="24"/>
              </w:rPr>
              <w:t>联系电话</w:t>
            </w:r>
          </w:p>
        </w:tc>
      </w:tr>
      <w:tr>
        <w:tblPrEx>
          <w:tblCellMar>
            <w:top w:w="0" w:type="dxa"/>
            <w:left w:w="108" w:type="dxa"/>
            <w:bottom w:w="0" w:type="dxa"/>
            <w:right w:w="108" w:type="dxa"/>
          </w:tblCellMar>
        </w:tblPrEx>
        <w:trPr>
          <w:trHeight w:val="454" w:hRule="atLeast"/>
          <w:jc w:val="center"/>
        </w:trPr>
        <w:tc>
          <w:tcPr>
            <w:tcW w:w="652" w:type="pct"/>
            <w:tcBorders>
              <w:top w:val="nil"/>
              <w:left w:val="single" w:color="auto" w:sz="4" w:space="0"/>
              <w:bottom w:val="single" w:color="auto" w:sz="4" w:space="0"/>
              <w:right w:val="single" w:color="auto" w:sz="4" w:space="0"/>
            </w:tcBorders>
            <w:vAlign w:val="center"/>
          </w:tcPr>
          <w:p>
            <w:pPr>
              <w:pStyle w:val="64"/>
              <w:numPr>
                <w:ilvl w:val="0"/>
                <w:numId w:val="5"/>
              </w:numPr>
              <w:rPr>
                <w:sz w:val="24"/>
                <w:szCs w:val="24"/>
              </w:rPr>
            </w:pPr>
          </w:p>
        </w:tc>
        <w:tc>
          <w:tcPr>
            <w:tcW w:w="2248" w:type="pct"/>
            <w:tcBorders>
              <w:top w:val="nil"/>
              <w:left w:val="nil"/>
              <w:bottom w:val="single" w:color="auto" w:sz="4" w:space="0"/>
              <w:right w:val="single" w:color="auto" w:sz="4" w:space="0"/>
            </w:tcBorders>
            <w:vAlign w:val="center"/>
          </w:tcPr>
          <w:p>
            <w:pPr>
              <w:pStyle w:val="64"/>
              <w:rPr>
                <w:sz w:val="24"/>
                <w:szCs w:val="24"/>
              </w:rPr>
            </w:pPr>
            <w:r>
              <w:rPr>
                <w:rFonts w:hint="eastAsia"/>
                <w:sz w:val="24"/>
                <w:szCs w:val="24"/>
              </w:rPr>
              <w:t>区应急联动中心</w:t>
            </w:r>
          </w:p>
        </w:tc>
        <w:tc>
          <w:tcPr>
            <w:tcW w:w="2100" w:type="pct"/>
            <w:tcBorders>
              <w:top w:val="nil"/>
              <w:left w:val="nil"/>
              <w:bottom w:val="single" w:color="auto" w:sz="4" w:space="0"/>
              <w:right w:val="single" w:color="auto" w:sz="4" w:space="0"/>
            </w:tcBorders>
            <w:vAlign w:val="center"/>
          </w:tcPr>
          <w:p>
            <w:pPr>
              <w:pStyle w:val="64"/>
              <w:rPr>
                <w:sz w:val="24"/>
                <w:szCs w:val="24"/>
              </w:rPr>
            </w:pPr>
            <w:r>
              <w:rPr>
                <w:rFonts w:hint="eastAsia"/>
                <w:sz w:val="24"/>
                <w:szCs w:val="24"/>
              </w:rPr>
              <w:t>电话：</w:t>
            </w:r>
            <w:r>
              <w:rPr>
                <w:sz w:val="24"/>
                <w:szCs w:val="24"/>
              </w:rPr>
              <w:t>119</w:t>
            </w:r>
            <w:r>
              <w:rPr>
                <w:rFonts w:hint="eastAsia"/>
                <w:sz w:val="24"/>
                <w:szCs w:val="24"/>
              </w:rPr>
              <w:t>、</w:t>
            </w:r>
            <w:r>
              <w:rPr>
                <w:sz w:val="24"/>
                <w:szCs w:val="24"/>
              </w:rPr>
              <w:t>120</w:t>
            </w:r>
          </w:p>
        </w:tc>
      </w:tr>
      <w:tr>
        <w:tblPrEx>
          <w:tblCellMar>
            <w:top w:w="0" w:type="dxa"/>
            <w:left w:w="108" w:type="dxa"/>
            <w:bottom w:w="0" w:type="dxa"/>
            <w:right w:w="108" w:type="dxa"/>
          </w:tblCellMar>
        </w:tblPrEx>
        <w:trPr>
          <w:trHeight w:val="454" w:hRule="atLeast"/>
          <w:jc w:val="center"/>
        </w:trPr>
        <w:tc>
          <w:tcPr>
            <w:tcW w:w="652" w:type="pct"/>
            <w:tcBorders>
              <w:top w:val="nil"/>
              <w:left w:val="single" w:color="auto" w:sz="4" w:space="0"/>
              <w:bottom w:val="single" w:color="auto" w:sz="4" w:space="0"/>
              <w:right w:val="single" w:color="auto" w:sz="4" w:space="0"/>
            </w:tcBorders>
            <w:vAlign w:val="center"/>
          </w:tcPr>
          <w:p>
            <w:pPr>
              <w:pStyle w:val="64"/>
              <w:numPr>
                <w:ilvl w:val="0"/>
                <w:numId w:val="5"/>
              </w:numPr>
              <w:rPr>
                <w:sz w:val="24"/>
                <w:szCs w:val="24"/>
              </w:rPr>
            </w:pPr>
          </w:p>
        </w:tc>
        <w:tc>
          <w:tcPr>
            <w:tcW w:w="2248" w:type="pct"/>
            <w:tcBorders>
              <w:top w:val="nil"/>
              <w:left w:val="nil"/>
              <w:bottom w:val="single" w:color="auto" w:sz="4" w:space="0"/>
              <w:right w:val="single" w:color="auto" w:sz="4" w:space="0"/>
            </w:tcBorders>
            <w:vAlign w:val="center"/>
          </w:tcPr>
          <w:p>
            <w:pPr>
              <w:pStyle w:val="64"/>
              <w:rPr>
                <w:sz w:val="24"/>
                <w:szCs w:val="24"/>
              </w:rPr>
            </w:pPr>
            <w:r>
              <w:rPr>
                <w:rFonts w:hint="eastAsia"/>
                <w:sz w:val="24"/>
                <w:szCs w:val="24"/>
              </w:rPr>
              <w:t>区政府总值班室</w:t>
            </w:r>
          </w:p>
        </w:tc>
        <w:tc>
          <w:tcPr>
            <w:tcW w:w="2100" w:type="pct"/>
            <w:tcBorders>
              <w:top w:val="nil"/>
              <w:left w:val="nil"/>
              <w:bottom w:val="single" w:color="auto" w:sz="4" w:space="0"/>
              <w:right w:val="single" w:color="auto" w:sz="4" w:space="0"/>
            </w:tcBorders>
            <w:vAlign w:val="center"/>
          </w:tcPr>
          <w:p>
            <w:pPr>
              <w:pStyle w:val="64"/>
              <w:rPr>
                <w:sz w:val="24"/>
                <w:szCs w:val="24"/>
              </w:rPr>
            </w:pPr>
            <w:r>
              <w:rPr>
                <w:sz w:val="24"/>
                <w:szCs w:val="24"/>
              </w:rPr>
              <w:t>(0519)86310050</w:t>
            </w:r>
          </w:p>
        </w:tc>
      </w:tr>
      <w:tr>
        <w:tblPrEx>
          <w:tblCellMar>
            <w:top w:w="0" w:type="dxa"/>
            <w:left w:w="108" w:type="dxa"/>
            <w:bottom w:w="0" w:type="dxa"/>
            <w:right w:w="108" w:type="dxa"/>
          </w:tblCellMar>
        </w:tblPrEx>
        <w:trPr>
          <w:trHeight w:val="454" w:hRule="atLeast"/>
          <w:jc w:val="center"/>
        </w:trPr>
        <w:tc>
          <w:tcPr>
            <w:tcW w:w="652" w:type="pct"/>
            <w:tcBorders>
              <w:top w:val="nil"/>
              <w:left w:val="single" w:color="auto" w:sz="4" w:space="0"/>
              <w:bottom w:val="single" w:color="auto" w:sz="4" w:space="0"/>
              <w:right w:val="single" w:color="auto" w:sz="4" w:space="0"/>
            </w:tcBorders>
            <w:vAlign w:val="center"/>
          </w:tcPr>
          <w:p>
            <w:pPr>
              <w:pStyle w:val="64"/>
              <w:numPr>
                <w:ilvl w:val="0"/>
                <w:numId w:val="5"/>
              </w:numPr>
              <w:rPr>
                <w:sz w:val="24"/>
                <w:szCs w:val="24"/>
              </w:rPr>
            </w:pPr>
          </w:p>
        </w:tc>
        <w:tc>
          <w:tcPr>
            <w:tcW w:w="2248" w:type="pct"/>
            <w:tcBorders>
              <w:top w:val="nil"/>
              <w:left w:val="nil"/>
              <w:bottom w:val="single" w:color="auto" w:sz="4" w:space="0"/>
              <w:right w:val="single" w:color="auto" w:sz="4" w:space="0"/>
            </w:tcBorders>
            <w:vAlign w:val="center"/>
          </w:tcPr>
          <w:p>
            <w:pPr>
              <w:pStyle w:val="64"/>
              <w:rPr>
                <w:sz w:val="24"/>
                <w:szCs w:val="24"/>
              </w:rPr>
            </w:pPr>
            <w:r>
              <w:rPr>
                <w:rFonts w:hint="eastAsia"/>
                <w:sz w:val="24"/>
                <w:szCs w:val="24"/>
              </w:rPr>
              <w:t>区住建局</w:t>
            </w:r>
          </w:p>
        </w:tc>
        <w:tc>
          <w:tcPr>
            <w:tcW w:w="2100" w:type="pct"/>
            <w:tcBorders>
              <w:top w:val="nil"/>
              <w:left w:val="nil"/>
              <w:bottom w:val="single" w:color="auto" w:sz="4" w:space="0"/>
              <w:right w:val="single" w:color="auto" w:sz="4" w:space="0"/>
            </w:tcBorders>
            <w:vAlign w:val="center"/>
          </w:tcPr>
          <w:p>
            <w:pPr>
              <w:pStyle w:val="64"/>
              <w:rPr>
                <w:sz w:val="24"/>
                <w:szCs w:val="24"/>
              </w:rPr>
            </w:pPr>
            <w:r>
              <w:rPr>
                <w:sz w:val="24"/>
                <w:szCs w:val="24"/>
              </w:rPr>
              <w:t>(0519)86310392</w:t>
            </w:r>
          </w:p>
        </w:tc>
      </w:tr>
      <w:tr>
        <w:tblPrEx>
          <w:tblCellMar>
            <w:top w:w="0" w:type="dxa"/>
            <w:left w:w="108" w:type="dxa"/>
            <w:bottom w:w="0" w:type="dxa"/>
            <w:right w:w="108" w:type="dxa"/>
          </w:tblCellMar>
        </w:tblPrEx>
        <w:trPr>
          <w:trHeight w:val="454" w:hRule="atLeast"/>
          <w:jc w:val="center"/>
        </w:trPr>
        <w:tc>
          <w:tcPr>
            <w:tcW w:w="652" w:type="pct"/>
            <w:tcBorders>
              <w:top w:val="nil"/>
              <w:left w:val="single" w:color="auto" w:sz="4" w:space="0"/>
              <w:bottom w:val="single" w:color="auto" w:sz="4" w:space="0"/>
              <w:right w:val="single" w:color="auto" w:sz="4" w:space="0"/>
            </w:tcBorders>
            <w:vAlign w:val="center"/>
          </w:tcPr>
          <w:p>
            <w:pPr>
              <w:pStyle w:val="64"/>
              <w:numPr>
                <w:ilvl w:val="0"/>
                <w:numId w:val="5"/>
              </w:numPr>
              <w:rPr>
                <w:sz w:val="24"/>
                <w:szCs w:val="24"/>
              </w:rPr>
            </w:pPr>
          </w:p>
        </w:tc>
        <w:tc>
          <w:tcPr>
            <w:tcW w:w="2248" w:type="pct"/>
            <w:tcBorders>
              <w:top w:val="nil"/>
              <w:left w:val="nil"/>
              <w:bottom w:val="single" w:color="auto" w:sz="4" w:space="0"/>
              <w:right w:val="single" w:color="auto" w:sz="4" w:space="0"/>
            </w:tcBorders>
            <w:vAlign w:val="center"/>
          </w:tcPr>
          <w:p>
            <w:pPr>
              <w:pStyle w:val="64"/>
              <w:rPr>
                <w:sz w:val="24"/>
                <w:szCs w:val="24"/>
              </w:rPr>
            </w:pPr>
            <w:r>
              <w:rPr>
                <w:rFonts w:hint="eastAsia"/>
                <w:sz w:val="24"/>
                <w:szCs w:val="24"/>
              </w:rPr>
              <w:t>区交通局</w:t>
            </w:r>
          </w:p>
        </w:tc>
        <w:tc>
          <w:tcPr>
            <w:tcW w:w="2100" w:type="pct"/>
            <w:tcBorders>
              <w:top w:val="nil"/>
              <w:left w:val="nil"/>
              <w:bottom w:val="single" w:color="auto" w:sz="4" w:space="0"/>
              <w:right w:val="single" w:color="auto" w:sz="4" w:space="0"/>
            </w:tcBorders>
            <w:vAlign w:val="center"/>
          </w:tcPr>
          <w:p>
            <w:pPr>
              <w:pStyle w:val="64"/>
              <w:rPr>
                <w:sz w:val="24"/>
                <w:szCs w:val="24"/>
              </w:rPr>
            </w:pPr>
            <w:r>
              <w:rPr>
                <w:sz w:val="24"/>
                <w:szCs w:val="24"/>
              </w:rPr>
              <w:t>(0519)86599565</w:t>
            </w:r>
          </w:p>
        </w:tc>
      </w:tr>
      <w:tr>
        <w:tblPrEx>
          <w:tblCellMar>
            <w:top w:w="0" w:type="dxa"/>
            <w:left w:w="108" w:type="dxa"/>
            <w:bottom w:w="0" w:type="dxa"/>
            <w:right w:w="108" w:type="dxa"/>
          </w:tblCellMar>
        </w:tblPrEx>
        <w:trPr>
          <w:trHeight w:val="454" w:hRule="atLeast"/>
          <w:jc w:val="center"/>
        </w:trPr>
        <w:tc>
          <w:tcPr>
            <w:tcW w:w="652" w:type="pct"/>
            <w:tcBorders>
              <w:top w:val="nil"/>
              <w:left w:val="single" w:color="auto" w:sz="4" w:space="0"/>
              <w:bottom w:val="single" w:color="auto" w:sz="4" w:space="0"/>
              <w:right w:val="single" w:color="auto" w:sz="4" w:space="0"/>
            </w:tcBorders>
            <w:vAlign w:val="center"/>
          </w:tcPr>
          <w:p>
            <w:pPr>
              <w:pStyle w:val="64"/>
              <w:numPr>
                <w:ilvl w:val="0"/>
                <w:numId w:val="5"/>
              </w:numPr>
              <w:rPr>
                <w:sz w:val="24"/>
                <w:szCs w:val="24"/>
              </w:rPr>
            </w:pPr>
          </w:p>
        </w:tc>
        <w:tc>
          <w:tcPr>
            <w:tcW w:w="2248" w:type="pct"/>
            <w:tcBorders>
              <w:top w:val="nil"/>
              <w:left w:val="nil"/>
              <w:bottom w:val="single" w:color="auto" w:sz="4" w:space="0"/>
              <w:right w:val="single" w:color="auto" w:sz="4" w:space="0"/>
            </w:tcBorders>
            <w:vAlign w:val="center"/>
          </w:tcPr>
          <w:p>
            <w:pPr>
              <w:pStyle w:val="64"/>
              <w:rPr>
                <w:sz w:val="24"/>
                <w:szCs w:val="24"/>
              </w:rPr>
            </w:pPr>
            <w:r>
              <w:rPr>
                <w:rFonts w:hint="eastAsia"/>
                <w:sz w:val="24"/>
                <w:szCs w:val="24"/>
              </w:rPr>
              <w:t>区应急管理局</w:t>
            </w:r>
          </w:p>
        </w:tc>
        <w:tc>
          <w:tcPr>
            <w:tcW w:w="2100" w:type="pct"/>
            <w:tcBorders>
              <w:top w:val="nil"/>
              <w:left w:val="nil"/>
              <w:bottom w:val="single" w:color="auto" w:sz="4" w:space="0"/>
              <w:right w:val="single" w:color="auto" w:sz="4" w:space="0"/>
            </w:tcBorders>
            <w:vAlign w:val="center"/>
          </w:tcPr>
          <w:p>
            <w:pPr>
              <w:pStyle w:val="64"/>
              <w:rPr>
                <w:sz w:val="24"/>
                <w:szCs w:val="24"/>
              </w:rPr>
            </w:pPr>
            <w:r>
              <w:rPr>
                <w:sz w:val="24"/>
                <w:szCs w:val="24"/>
              </w:rPr>
              <w:t>(0519)86310365</w:t>
            </w:r>
          </w:p>
        </w:tc>
      </w:tr>
      <w:tr>
        <w:tblPrEx>
          <w:tblCellMar>
            <w:top w:w="0" w:type="dxa"/>
            <w:left w:w="108" w:type="dxa"/>
            <w:bottom w:w="0" w:type="dxa"/>
            <w:right w:w="108" w:type="dxa"/>
          </w:tblCellMar>
        </w:tblPrEx>
        <w:trPr>
          <w:trHeight w:val="454" w:hRule="atLeast"/>
          <w:jc w:val="center"/>
        </w:trPr>
        <w:tc>
          <w:tcPr>
            <w:tcW w:w="652" w:type="pct"/>
            <w:tcBorders>
              <w:top w:val="nil"/>
              <w:left w:val="single" w:color="auto" w:sz="4" w:space="0"/>
              <w:bottom w:val="single" w:color="auto" w:sz="4" w:space="0"/>
              <w:right w:val="single" w:color="auto" w:sz="4" w:space="0"/>
            </w:tcBorders>
            <w:vAlign w:val="center"/>
          </w:tcPr>
          <w:p>
            <w:pPr>
              <w:pStyle w:val="64"/>
              <w:numPr>
                <w:ilvl w:val="0"/>
                <w:numId w:val="5"/>
              </w:numPr>
              <w:rPr>
                <w:sz w:val="24"/>
                <w:szCs w:val="24"/>
              </w:rPr>
            </w:pPr>
          </w:p>
        </w:tc>
        <w:tc>
          <w:tcPr>
            <w:tcW w:w="2248" w:type="pct"/>
            <w:tcBorders>
              <w:top w:val="nil"/>
              <w:left w:val="nil"/>
              <w:bottom w:val="single" w:color="auto" w:sz="4" w:space="0"/>
              <w:right w:val="single" w:color="auto" w:sz="4" w:space="0"/>
            </w:tcBorders>
            <w:vAlign w:val="center"/>
          </w:tcPr>
          <w:p>
            <w:pPr>
              <w:pStyle w:val="64"/>
              <w:rPr>
                <w:sz w:val="24"/>
                <w:szCs w:val="24"/>
              </w:rPr>
            </w:pPr>
            <w:r>
              <w:rPr>
                <w:rFonts w:hint="eastAsia"/>
                <w:sz w:val="24"/>
                <w:szCs w:val="24"/>
              </w:rPr>
              <w:t>区发展改革局</w:t>
            </w:r>
          </w:p>
        </w:tc>
        <w:tc>
          <w:tcPr>
            <w:tcW w:w="2100" w:type="pct"/>
            <w:tcBorders>
              <w:top w:val="nil"/>
              <w:left w:val="nil"/>
              <w:bottom w:val="single" w:color="auto" w:sz="4" w:space="0"/>
              <w:right w:val="single" w:color="auto" w:sz="4" w:space="0"/>
            </w:tcBorders>
            <w:vAlign w:val="center"/>
          </w:tcPr>
          <w:p>
            <w:pPr>
              <w:pStyle w:val="64"/>
              <w:rPr>
                <w:sz w:val="24"/>
                <w:szCs w:val="24"/>
              </w:rPr>
            </w:pPr>
            <w:r>
              <w:rPr>
                <w:sz w:val="24"/>
                <w:szCs w:val="24"/>
              </w:rPr>
              <w:t>(0519)86310119</w:t>
            </w:r>
          </w:p>
        </w:tc>
      </w:tr>
      <w:tr>
        <w:tblPrEx>
          <w:tblCellMar>
            <w:top w:w="0" w:type="dxa"/>
            <w:left w:w="108" w:type="dxa"/>
            <w:bottom w:w="0" w:type="dxa"/>
            <w:right w:w="108" w:type="dxa"/>
          </w:tblCellMar>
        </w:tblPrEx>
        <w:trPr>
          <w:trHeight w:val="454" w:hRule="atLeast"/>
          <w:jc w:val="center"/>
        </w:trPr>
        <w:tc>
          <w:tcPr>
            <w:tcW w:w="652" w:type="pct"/>
            <w:tcBorders>
              <w:top w:val="nil"/>
              <w:left w:val="single" w:color="auto" w:sz="4" w:space="0"/>
              <w:bottom w:val="single" w:color="auto" w:sz="4" w:space="0"/>
              <w:right w:val="single" w:color="auto" w:sz="4" w:space="0"/>
            </w:tcBorders>
            <w:vAlign w:val="center"/>
          </w:tcPr>
          <w:p>
            <w:pPr>
              <w:pStyle w:val="64"/>
              <w:numPr>
                <w:ilvl w:val="0"/>
                <w:numId w:val="5"/>
              </w:numPr>
              <w:rPr>
                <w:sz w:val="24"/>
                <w:szCs w:val="24"/>
              </w:rPr>
            </w:pPr>
          </w:p>
        </w:tc>
        <w:tc>
          <w:tcPr>
            <w:tcW w:w="2248" w:type="pct"/>
            <w:tcBorders>
              <w:top w:val="nil"/>
              <w:left w:val="nil"/>
              <w:bottom w:val="single" w:color="auto" w:sz="4" w:space="0"/>
              <w:right w:val="single" w:color="auto" w:sz="4" w:space="0"/>
            </w:tcBorders>
            <w:vAlign w:val="center"/>
          </w:tcPr>
          <w:p>
            <w:pPr>
              <w:pStyle w:val="64"/>
              <w:rPr>
                <w:sz w:val="24"/>
                <w:szCs w:val="24"/>
              </w:rPr>
            </w:pPr>
            <w:r>
              <w:rPr>
                <w:rFonts w:hint="eastAsia"/>
                <w:sz w:val="24"/>
                <w:szCs w:val="24"/>
              </w:rPr>
              <w:t>区公安局</w:t>
            </w:r>
          </w:p>
        </w:tc>
        <w:tc>
          <w:tcPr>
            <w:tcW w:w="2100" w:type="pct"/>
            <w:tcBorders>
              <w:top w:val="nil"/>
              <w:left w:val="nil"/>
              <w:bottom w:val="single" w:color="auto" w:sz="4" w:space="0"/>
              <w:right w:val="single" w:color="auto" w:sz="4" w:space="0"/>
            </w:tcBorders>
            <w:vAlign w:val="center"/>
          </w:tcPr>
          <w:p>
            <w:pPr>
              <w:pStyle w:val="64"/>
              <w:rPr>
                <w:sz w:val="24"/>
                <w:szCs w:val="24"/>
              </w:rPr>
            </w:pPr>
            <w:r>
              <w:rPr>
                <w:sz w:val="24"/>
                <w:szCs w:val="24"/>
              </w:rPr>
              <w:t>(0519)86305000</w:t>
            </w:r>
          </w:p>
        </w:tc>
      </w:tr>
      <w:tr>
        <w:tblPrEx>
          <w:tblCellMar>
            <w:top w:w="0" w:type="dxa"/>
            <w:left w:w="108" w:type="dxa"/>
            <w:bottom w:w="0" w:type="dxa"/>
            <w:right w:w="108" w:type="dxa"/>
          </w:tblCellMar>
        </w:tblPrEx>
        <w:trPr>
          <w:trHeight w:val="454" w:hRule="atLeast"/>
          <w:jc w:val="center"/>
        </w:trPr>
        <w:tc>
          <w:tcPr>
            <w:tcW w:w="652" w:type="pct"/>
            <w:tcBorders>
              <w:top w:val="nil"/>
              <w:left w:val="single" w:color="auto" w:sz="4" w:space="0"/>
              <w:bottom w:val="single" w:color="auto" w:sz="4" w:space="0"/>
              <w:right w:val="single" w:color="auto" w:sz="4" w:space="0"/>
            </w:tcBorders>
            <w:vAlign w:val="center"/>
          </w:tcPr>
          <w:p>
            <w:pPr>
              <w:pStyle w:val="64"/>
              <w:numPr>
                <w:ilvl w:val="0"/>
                <w:numId w:val="5"/>
              </w:numPr>
              <w:rPr>
                <w:sz w:val="24"/>
                <w:szCs w:val="24"/>
              </w:rPr>
            </w:pPr>
          </w:p>
        </w:tc>
        <w:tc>
          <w:tcPr>
            <w:tcW w:w="2248" w:type="pct"/>
            <w:tcBorders>
              <w:top w:val="nil"/>
              <w:left w:val="nil"/>
              <w:bottom w:val="single" w:color="auto" w:sz="4" w:space="0"/>
              <w:right w:val="single" w:color="auto" w:sz="4" w:space="0"/>
            </w:tcBorders>
            <w:vAlign w:val="center"/>
          </w:tcPr>
          <w:p>
            <w:pPr>
              <w:pStyle w:val="64"/>
              <w:rPr>
                <w:sz w:val="24"/>
                <w:szCs w:val="24"/>
              </w:rPr>
            </w:pPr>
            <w:r>
              <w:rPr>
                <w:rFonts w:hint="eastAsia"/>
                <w:sz w:val="24"/>
                <w:szCs w:val="24"/>
              </w:rPr>
              <w:t>区城市管理局</w:t>
            </w:r>
          </w:p>
        </w:tc>
        <w:tc>
          <w:tcPr>
            <w:tcW w:w="2100" w:type="pct"/>
            <w:tcBorders>
              <w:top w:val="nil"/>
              <w:left w:val="nil"/>
              <w:bottom w:val="single" w:color="auto" w:sz="4" w:space="0"/>
              <w:right w:val="single" w:color="auto" w:sz="4" w:space="0"/>
            </w:tcBorders>
            <w:vAlign w:val="center"/>
          </w:tcPr>
          <w:p>
            <w:pPr>
              <w:pStyle w:val="64"/>
              <w:rPr>
                <w:sz w:val="24"/>
                <w:szCs w:val="24"/>
              </w:rPr>
            </w:pPr>
            <w:r>
              <w:rPr>
                <w:sz w:val="24"/>
                <w:szCs w:val="24"/>
              </w:rPr>
              <w:t>(0519)67898615</w:t>
            </w:r>
          </w:p>
        </w:tc>
      </w:tr>
      <w:tr>
        <w:tblPrEx>
          <w:tblCellMar>
            <w:top w:w="0" w:type="dxa"/>
            <w:left w:w="108" w:type="dxa"/>
            <w:bottom w:w="0" w:type="dxa"/>
            <w:right w:w="108" w:type="dxa"/>
          </w:tblCellMar>
        </w:tblPrEx>
        <w:trPr>
          <w:trHeight w:val="454" w:hRule="atLeast"/>
          <w:jc w:val="center"/>
        </w:trPr>
        <w:tc>
          <w:tcPr>
            <w:tcW w:w="652" w:type="pct"/>
            <w:tcBorders>
              <w:top w:val="nil"/>
              <w:left w:val="single" w:color="auto" w:sz="4" w:space="0"/>
              <w:bottom w:val="single" w:color="auto" w:sz="4" w:space="0"/>
              <w:right w:val="single" w:color="auto" w:sz="4" w:space="0"/>
            </w:tcBorders>
            <w:vAlign w:val="center"/>
          </w:tcPr>
          <w:p>
            <w:pPr>
              <w:pStyle w:val="64"/>
              <w:numPr>
                <w:ilvl w:val="0"/>
                <w:numId w:val="5"/>
              </w:numPr>
              <w:rPr>
                <w:sz w:val="24"/>
                <w:szCs w:val="24"/>
              </w:rPr>
            </w:pPr>
          </w:p>
        </w:tc>
        <w:tc>
          <w:tcPr>
            <w:tcW w:w="2248" w:type="pct"/>
            <w:tcBorders>
              <w:top w:val="nil"/>
              <w:left w:val="nil"/>
              <w:bottom w:val="single" w:color="auto" w:sz="4" w:space="0"/>
              <w:right w:val="single" w:color="auto" w:sz="4" w:space="0"/>
            </w:tcBorders>
            <w:vAlign w:val="center"/>
          </w:tcPr>
          <w:p>
            <w:pPr>
              <w:pStyle w:val="64"/>
              <w:rPr>
                <w:sz w:val="24"/>
                <w:szCs w:val="24"/>
              </w:rPr>
            </w:pPr>
            <w:r>
              <w:rPr>
                <w:rFonts w:hint="eastAsia"/>
                <w:sz w:val="24"/>
                <w:szCs w:val="24"/>
              </w:rPr>
              <w:t>区市场监管局</w:t>
            </w:r>
          </w:p>
        </w:tc>
        <w:tc>
          <w:tcPr>
            <w:tcW w:w="2100" w:type="pct"/>
            <w:tcBorders>
              <w:top w:val="nil"/>
              <w:left w:val="nil"/>
              <w:bottom w:val="single" w:color="auto" w:sz="4" w:space="0"/>
              <w:right w:val="single" w:color="auto" w:sz="4" w:space="0"/>
            </w:tcBorders>
            <w:vAlign w:val="center"/>
          </w:tcPr>
          <w:p>
            <w:pPr>
              <w:pStyle w:val="64"/>
              <w:rPr>
                <w:sz w:val="24"/>
                <w:szCs w:val="24"/>
              </w:rPr>
            </w:pPr>
            <w:r>
              <w:rPr>
                <w:sz w:val="24"/>
                <w:szCs w:val="24"/>
              </w:rPr>
              <w:t>(0519)86318127</w:t>
            </w:r>
          </w:p>
        </w:tc>
      </w:tr>
      <w:tr>
        <w:tblPrEx>
          <w:tblCellMar>
            <w:top w:w="0" w:type="dxa"/>
            <w:left w:w="108" w:type="dxa"/>
            <w:bottom w:w="0" w:type="dxa"/>
            <w:right w:w="108" w:type="dxa"/>
          </w:tblCellMar>
        </w:tblPrEx>
        <w:trPr>
          <w:trHeight w:val="454" w:hRule="atLeast"/>
          <w:jc w:val="center"/>
        </w:trPr>
        <w:tc>
          <w:tcPr>
            <w:tcW w:w="652" w:type="pct"/>
            <w:tcBorders>
              <w:top w:val="nil"/>
              <w:left w:val="single" w:color="auto" w:sz="4" w:space="0"/>
              <w:bottom w:val="single" w:color="auto" w:sz="4" w:space="0"/>
              <w:right w:val="single" w:color="auto" w:sz="4" w:space="0"/>
            </w:tcBorders>
            <w:vAlign w:val="center"/>
          </w:tcPr>
          <w:p>
            <w:pPr>
              <w:pStyle w:val="64"/>
              <w:numPr>
                <w:ilvl w:val="0"/>
                <w:numId w:val="5"/>
              </w:numPr>
              <w:rPr>
                <w:sz w:val="24"/>
                <w:szCs w:val="24"/>
              </w:rPr>
            </w:pPr>
          </w:p>
        </w:tc>
        <w:tc>
          <w:tcPr>
            <w:tcW w:w="2248" w:type="pct"/>
            <w:tcBorders>
              <w:top w:val="nil"/>
              <w:left w:val="nil"/>
              <w:bottom w:val="single" w:color="auto" w:sz="4" w:space="0"/>
              <w:right w:val="single" w:color="auto" w:sz="4" w:space="0"/>
            </w:tcBorders>
            <w:vAlign w:val="center"/>
          </w:tcPr>
          <w:p>
            <w:pPr>
              <w:pStyle w:val="64"/>
              <w:rPr>
                <w:sz w:val="24"/>
                <w:szCs w:val="24"/>
              </w:rPr>
            </w:pPr>
            <w:r>
              <w:rPr>
                <w:rFonts w:hint="eastAsia"/>
                <w:sz w:val="24"/>
                <w:szCs w:val="24"/>
              </w:rPr>
              <w:t>区生态环境局</w:t>
            </w:r>
          </w:p>
        </w:tc>
        <w:tc>
          <w:tcPr>
            <w:tcW w:w="2100" w:type="pct"/>
            <w:tcBorders>
              <w:top w:val="nil"/>
              <w:left w:val="nil"/>
              <w:bottom w:val="single" w:color="auto" w:sz="4" w:space="0"/>
              <w:right w:val="single" w:color="auto" w:sz="4" w:space="0"/>
            </w:tcBorders>
            <w:vAlign w:val="center"/>
          </w:tcPr>
          <w:p>
            <w:pPr>
              <w:pStyle w:val="64"/>
              <w:rPr>
                <w:sz w:val="24"/>
                <w:szCs w:val="24"/>
              </w:rPr>
            </w:pPr>
            <w:r>
              <w:rPr>
                <w:sz w:val="24"/>
                <w:szCs w:val="24"/>
              </w:rPr>
              <w:t>(0519)86310708</w:t>
            </w:r>
          </w:p>
        </w:tc>
      </w:tr>
      <w:tr>
        <w:tblPrEx>
          <w:tblCellMar>
            <w:top w:w="0" w:type="dxa"/>
            <w:left w:w="108" w:type="dxa"/>
            <w:bottom w:w="0" w:type="dxa"/>
            <w:right w:w="108" w:type="dxa"/>
          </w:tblCellMar>
        </w:tblPrEx>
        <w:trPr>
          <w:trHeight w:val="454" w:hRule="atLeast"/>
          <w:jc w:val="center"/>
        </w:trPr>
        <w:tc>
          <w:tcPr>
            <w:tcW w:w="652" w:type="pct"/>
            <w:tcBorders>
              <w:top w:val="nil"/>
              <w:left w:val="single" w:color="auto" w:sz="4" w:space="0"/>
              <w:bottom w:val="single" w:color="auto" w:sz="4" w:space="0"/>
              <w:right w:val="single" w:color="auto" w:sz="4" w:space="0"/>
            </w:tcBorders>
            <w:vAlign w:val="center"/>
          </w:tcPr>
          <w:p>
            <w:pPr>
              <w:pStyle w:val="64"/>
              <w:numPr>
                <w:ilvl w:val="0"/>
                <w:numId w:val="5"/>
              </w:numPr>
              <w:rPr>
                <w:sz w:val="24"/>
                <w:szCs w:val="24"/>
              </w:rPr>
            </w:pPr>
          </w:p>
        </w:tc>
        <w:tc>
          <w:tcPr>
            <w:tcW w:w="2248" w:type="pct"/>
            <w:tcBorders>
              <w:top w:val="nil"/>
              <w:left w:val="nil"/>
              <w:bottom w:val="single" w:color="auto" w:sz="4" w:space="0"/>
              <w:right w:val="single" w:color="auto" w:sz="4" w:space="0"/>
            </w:tcBorders>
            <w:vAlign w:val="center"/>
          </w:tcPr>
          <w:p>
            <w:pPr>
              <w:pStyle w:val="64"/>
              <w:rPr>
                <w:sz w:val="24"/>
                <w:szCs w:val="24"/>
              </w:rPr>
            </w:pPr>
            <w:r>
              <w:rPr>
                <w:rFonts w:hint="eastAsia"/>
                <w:sz w:val="24"/>
                <w:szCs w:val="24"/>
              </w:rPr>
              <w:t>区卫健局</w:t>
            </w:r>
          </w:p>
        </w:tc>
        <w:tc>
          <w:tcPr>
            <w:tcW w:w="2100" w:type="pct"/>
            <w:tcBorders>
              <w:top w:val="nil"/>
              <w:left w:val="nil"/>
              <w:bottom w:val="single" w:color="auto" w:sz="4" w:space="0"/>
              <w:right w:val="single" w:color="auto" w:sz="4" w:space="0"/>
            </w:tcBorders>
            <w:vAlign w:val="center"/>
          </w:tcPr>
          <w:p>
            <w:pPr>
              <w:pStyle w:val="64"/>
              <w:rPr>
                <w:sz w:val="24"/>
                <w:szCs w:val="24"/>
              </w:rPr>
            </w:pPr>
            <w:r>
              <w:rPr>
                <w:sz w:val="24"/>
                <w:szCs w:val="24"/>
              </w:rPr>
              <w:t>(0519)86318500</w:t>
            </w:r>
          </w:p>
        </w:tc>
      </w:tr>
      <w:tr>
        <w:tblPrEx>
          <w:tblCellMar>
            <w:top w:w="0" w:type="dxa"/>
            <w:left w:w="108" w:type="dxa"/>
            <w:bottom w:w="0" w:type="dxa"/>
            <w:right w:w="108" w:type="dxa"/>
          </w:tblCellMar>
        </w:tblPrEx>
        <w:trPr>
          <w:trHeight w:val="454" w:hRule="atLeast"/>
          <w:jc w:val="center"/>
        </w:trPr>
        <w:tc>
          <w:tcPr>
            <w:tcW w:w="652" w:type="pct"/>
            <w:tcBorders>
              <w:top w:val="nil"/>
              <w:left w:val="single" w:color="auto" w:sz="4" w:space="0"/>
              <w:bottom w:val="single" w:color="auto" w:sz="4" w:space="0"/>
              <w:right w:val="single" w:color="auto" w:sz="4" w:space="0"/>
            </w:tcBorders>
            <w:vAlign w:val="center"/>
          </w:tcPr>
          <w:p>
            <w:pPr>
              <w:pStyle w:val="64"/>
              <w:numPr>
                <w:ilvl w:val="0"/>
                <w:numId w:val="5"/>
              </w:numPr>
              <w:rPr>
                <w:sz w:val="24"/>
                <w:szCs w:val="24"/>
              </w:rPr>
            </w:pPr>
          </w:p>
        </w:tc>
        <w:tc>
          <w:tcPr>
            <w:tcW w:w="2248" w:type="pct"/>
            <w:tcBorders>
              <w:top w:val="nil"/>
              <w:left w:val="nil"/>
              <w:bottom w:val="single" w:color="auto" w:sz="4" w:space="0"/>
              <w:right w:val="single" w:color="auto" w:sz="4" w:space="0"/>
            </w:tcBorders>
            <w:vAlign w:val="center"/>
          </w:tcPr>
          <w:p>
            <w:pPr>
              <w:pStyle w:val="64"/>
              <w:rPr>
                <w:sz w:val="24"/>
                <w:szCs w:val="24"/>
              </w:rPr>
            </w:pPr>
            <w:r>
              <w:rPr>
                <w:rFonts w:hint="eastAsia"/>
                <w:sz w:val="24"/>
                <w:szCs w:val="24"/>
              </w:rPr>
              <w:t>区财政局</w:t>
            </w:r>
          </w:p>
        </w:tc>
        <w:tc>
          <w:tcPr>
            <w:tcW w:w="2100" w:type="pct"/>
            <w:tcBorders>
              <w:top w:val="nil"/>
              <w:left w:val="nil"/>
              <w:bottom w:val="single" w:color="auto" w:sz="4" w:space="0"/>
              <w:right w:val="single" w:color="auto" w:sz="4" w:space="0"/>
            </w:tcBorders>
            <w:vAlign w:val="center"/>
          </w:tcPr>
          <w:p>
            <w:pPr>
              <w:pStyle w:val="64"/>
              <w:rPr>
                <w:sz w:val="24"/>
                <w:szCs w:val="24"/>
              </w:rPr>
            </w:pPr>
            <w:r>
              <w:rPr>
                <w:sz w:val="24"/>
                <w:szCs w:val="24"/>
              </w:rPr>
              <w:t>(0519)89858025</w:t>
            </w:r>
          </w:p>
        </w:tc>
      </w:tr>
      <w:tr>
        <w:tblPrEx>
          <w:tblCellMar>
            <w:top w:w="0" w:type="dxa"/>
            <w:left w:w="108" w:type="dxa"/>
            <w:bottom w:w="0" w:type="dxa"/>
            <w:right w:w="108" w:type="dxa"/>
          </w:tblCellMar>
        </w:tblPrEx>
        <w:trPr>
          <w:trHeight w:val="454" w:hRule="atLeast"/>
          <w:jc w:val="center"/>
        </w:trPr>
        <w:tc>
          <w:tcPr>
            <w:tcW w:w="652" w:type="pct"/>
            <w:tcBorders>
              <w:top w:val="nil"/>
              <w:left w:val="single" w:color="auto" w:sz="4" w:space="0"/>
              <w:bottom w:val="single" w:color="auto" w:sz="4" w:space="0"/>
              <w:right w:val="single" w:color="auto" w:sz="4" w:space="0"/>
            </w:tcBorders>
            <w:vAlign w:val="center"/>
          </w:tcPr>
          <w:p>
            <w:pPr>
              <w:pStyle w:val="64"/>
              <w:numPr>
                <w:ilvl w:val="0"/>
                <w:numId w:val="5"/>
              </w:numPr>
              <w:rPr>
                <w:sz w:val="24"/>
                <w:szCs w:val="24"/>
              </w:rPr>
            </w:pPr>
          </w:p>
        </w:tc>
        <w:tc>
          <w:tcPr>
            <w:tcW w:w="2248" w:type="pct"/>
            <w:tcBorders>
              <w:top w:val="nil"/>
              <w:left w:val="nil"/>
              <w:bottom w:val="single" w:color="auto" w:sz="4" w:space="0"/>
              <w:right w:val="single" w:color="auto" w:sz="4" w:space="0"/>
            </w:tcBorders>
            <w:vAlign w:val="center"/>
          </w:tcPr>
          <w:p>
            <w:pPr>
              <w:pStyle w:val="64"/>
              <w:rPr>
                <w:sz w:val="24"/>
                <w:szCs w:val="24"/>
              </w:rPr>
            </w:pPr>
            <w:r>
              <w:rPr>
                <w:rFonts w:hint="eastAsia"/>
                <w:sz w:val="24"/>
                <w:szCs w:val="24"/>
              </w:rPr>
              <w:t>区水利局</w:t>
            </w:r>
          </w:p>
        </w:tc>
        <w:tc>
          <w:tcPr>
            <w:tcW w:w="2100" w:type="pct"/>
            <w:tcBorders>
              <w:top w:val="nil"/>
              <w:left w:val="nil"/>
              <w:bottom w:val="single" w:color="auto" w:sz="4" w:space="0"/>
              <w:right w:val="single" w:color="auto" w:sz="4" w:space="0"/>
            </w:tcBorders>
            <w:vAlign w:val="center"/>
          </w:tcPr>
          <w:p>
            <w:pPr>
              <w:pStyle w:val="64"/>
              <w:rPr>
                <w:sz w:val="24"/>
                <w:szCs w:val="24"/>
              </w:rPr>
            </w:pPr>
            <w:r>
              <w:rPr>
                <w:sz w:val="24"/>
                <w:szCs w:val="24"/>
              </w:rPr>
              <w:t>(0519)67898812</w:t>
            </w:r>
          </w:p>
        </w:tc>
      </w:tr>
      <w:tr>
        <w:tblPrEx>
          <w:tblCellMar>
            <w:top w:w="0" w:type="dxa"/>
            <w:left w:w="108" w:type="dxa"/>
            <w:bottom w:w="0" w:type="dxa"/>
            <w:right w:w="108" w:type="dxa"/>
          </w:tblCellMar>
        </w:tblPrEx>
        <w:trPr>
          <w:trHeight w:val="454" w:hRule="atLeast"/>
          <w:jc w:val="center"/>
        </w:trPr>
        <w:tc>
          <w:tcPr>
            <w:tcW w:w="652" w:type="pct"/>
            <w:tcBorders>
              <w:top w:val="nil"/>
              <w:left w:val="single" w:color="auto" w:sz="4" w:space="0"/>
              <w:bottom w:val="single" w:color="auto" w:sz="4" w:space="0"/>
              <w:right w:val="single" w:color="auto" w:sz="4" w:space="0"/>
            </w:tcBorders>
            <w:vAlign w:val="center"/>
          </w:tcPr>
          <w:p>
            <w:pPr>
              <w:pStyle w:val="64"/>
              <w:numPr>
                <w:ilvl w:val="0"/>
                <w:numId w:val="5"/>
              </w:numPr>
              <w:rPr>
                <w:sz w:val="24"/>
                <w:szCs w:val="24"/>
              </w:rPr>
            </w:pPr>
          </w:p>
        </w:tc>
        <w:tc>
          <w:tcPr>
            <w:tcW w:w="2248" w:type="pct"/>
            <w:tcBorders>
              <w:top w:val="nil"/>
              <w:left w:val="nil"/>
              <w:bottom w:val="single" w:color="auto" w:sz="4" w:space="0"/>
              <w:right w:val="single" w:color="auto" w:sz="4" w:space="0"/>
            </w:tcBorders>
            <w:vAlign w:val="center"/>
          </w:tcPr>
          <w:p>
            <w:pPr>
              <w:pStyle w:val="64"/>
              <w:rPr>
                <w:sz w:val="24"/>
                <w:szCs w:val="24"/>
              </w:rPr>
            </w:pPr>
            <w:r>
              <w:rPr>
                <w:rFonts w:hint="eastAsia"/>
                <w:sz w:val="24"/>
                <w:szCs w:val="24"/>
              </w:rPr>
              <w:t>区消防大队</w:t>
            </w:r>
          </w:p>
        </w:tc>
        <w:tc>
          <w:tcPr>
            <w:tcW w:w="2100" w:type="pct"/>
            <w:tcBorders>
              <w:top w:val="nil"/>
              <w:left w:val="nil"/>
              <w:bottom w:val="single" w:color="auto" w:sz="4" w:space="0"/>
              <w:right w:val="single" w:color="auto" w:sz="4" w:space="0"/>
            </w:tcBorders>
            <w:vAlign w:val="center"/>
          </w:tcPr>
          <w:p>
            <w:pPr>
              <w:pStyle w:val="64"/>
              <w:rPr>
                <w:sz w:val="24"/>
                <w:szCs w:val="24"/>
              </w:rPr>
            </w:pPr>
            <w:r>
              <w:rPr>
                <w:sz w:val="24"/>
                <w:szCs w:val="24"/>
              </w:rPr>
              <w:t>(0519)6501119</w:t>
            </w:r>
          </w:p>
        </w:tc>
      </w:tr>
      <w:tr>
        <w:tblPrEx>
          <w:tblCellMar>
            <w:top w:w="0" w:type="dxa"/>
            <w:left w:w="108" w:type="dxa"/>
            <w:bottom w:w="0" w:type="dxa"/>
            <w:right w:w="108" w:type="dxa"/>
          </w:tblCellMar>
        </w:tblPrEx>
        <w:trPr>
          <w:trHeight w:val="454" w:hRule="atLeast"/>
          <w:jc w:val="center"/>
        </w:trPr>
        <w:tc>
          <w:tcPr>
            <w:tcW w:w="652" w:type="pct"/>
            <w:tcBorders>
              <w:top w:val="nil"/>
              <w:left w:val="single" w:color="auto" w:sz="4" w:space="0"/>
              <w:bottom w:val="single" w:color="auto" w:sz="4" w:space="0"/>
              <w:right w:val="single" w:color="auto" w:sz="4" w:space="0"/>
            </w:tcBorders>
            <w:vAlign w:val="center"/>
          </w:tcPr>
          <w:p>
            <w:pPr>
              <w:pStyle w:val="64"/>
              <w:numPr>
                <w:ilvl w:val="0"/>
                <w:numId w:val="5"/>
              </w:numPr>
              <w:rPr>
                <w:sz w:val="24"/>
                <w:szCs w:val="24"/>
              </w:rPr>
            </w:pPr>
          </w:p>
        </w:tc>
        <w:tc>
          <w:tcPr>
            <w:tcW w:w="2248" w:type="pct"/>
            <w:tcBorders>
              <w:top w:val="nil"/>
              <w:left w:val="nil"/>
              <w:bottom w:val="single" w:color="auto" w:sz="4" w:space="0"/>
              <w:right w:val="single" w:color="auto" w:sz="4" w:space="0"/>
            </w:tcBorders>
            <w:vAlign w:val="center"/>
          </w:tcPr>
          <w:p>
            <w:pPr>
              <w:pStyle w:val="64"/>
              <w:rPr>
                <w:sz w:val="24"/>
                <w:szCs w:val="24"/>
              </w:rPr>
            </w:pPr>
            <w:r>
              <w:rPr>
                <w:rFonts w:hint="eastAsia"/>
                <w:sz w:val="24"/>
                <w:szCs w:val="24"/>
              </w:rPr>
              <w:t>区民政局</w:t>
            </w:r>
          </w:p>
        </w:tc>
        <w:tc>
          <w:tcPr>
            <w:tcW w:w="2100" w:type="pct"/>
            <w:tcBorders>
              <w:top w:val="nil"/>
              <w:left w:val="nil"/>
              <w:bottom w:val="single" w:color="auto" w:sz="4" w:space="0"/>
              <w:right w:val="single" w:color="auto" w:sz="4" w:space="0"/>
            </w:tcBorders>
            <w:vAlign w:val="center"/>
          </w:tcPr>
          <w:p>
            <w:pPr>
              <w:pStyle w:val="64"/>
              <w:rPr>
                <w:sz w:val="24"/>
                <w:szCs w:val="24"/>
              </w:rPr>
            </w:pPr>
            <w:r>
              <w:rPr>
                <w:sz w:val="24"/>
                <w:szCs w:val="24"/>
              </w:rPr>
              <w:t>(0519)86310354</w:t>
            </w:r>
          </w:p>
        </w:tc>
      </w:tr>
      <w:tr>
        <w:tblPrEx>
          <w:tblCellMar>
            <w:top w:w="0" w:type="dxa"/>
            <w:left w:w="108" w:type="dxa"/>
            <w:bottom w:w="0" w:type="dxa"/>
            <w:right w:w="108" w:type="dxa"/>
          </w:tblCellMar>
        </w:tblPrEx>
        <w:trPr>
          <w:trHeight w:val="454" w:hRule="atLeast"/>
          <w:jc w:val="center"/>
        </w:trPr>
        <w:tc>
          <w:tcPr>
            <w:tcW w:w="652" w:type="pct"/>
            <w:tcBorders>
              <w:top w:val="nil"/>
              <w:left w:val="single" w:color="auto" w:sz="4" w:space="0"/>
              <w:bottom w:val="single" w:color="auto" w:sz="4" w:space="0"/>
              <w:right w:val="single" w:color="auto" w:sz="4" w:space="0"/>
            </w:tcBorders>
            <w:vAlign w:val="center"/>
          </w:tcPr>
          <w:p>
            <w:pPr>
              <w:pStyle w:val="64"/>
              <w:numPr>
                <w:ilvl w:val="0"/>
                <w:numId w:val="5"/>
              </w:numPr>
              <w:rPr>
                <w:sz w:val="24"/>
                <w:szCs w:val="24"/>
              </w:rPr>
            </w:pPr>
          </w:p>
        </w:tc>
        <w:tc>
          <w:tcPr>
            <w:tcW w:w="2248" w:type="pct"/>
            <w:tcBorders>
              <w:top w:val="nil"/>
              <w:left w:val="nil"/>
              <w:bottom w:val="single" w:color="auto" w:sz="4" w:space="0"/>
              <w:right w:val="single" w:color="auto" w:sz="4" w:space="0"/>
            </w:tcBorders>
            <w:vAlign w:val="center"/>
          </w:tcPr>
          <w:p>
            <w:pPr>
              <w:pStyle w:val="64"/>
              <w:rPr>
                <w:sz w:val="24"/>
                <w:szCs w:val="24"/>
              </w:rPr>
            </w:pPr>
            <w:r>
              <w:rPr>
                <w:rFonts w:hint="eastAsia"/>
                <w:sz w:val="24"/>
                <w:szCs w:val="24"/>
              </w:rPr>
              <w:t>区供电公司</w:t>
            </w:r>
          </w:p>
        </w:tc>
        <w:tc>
          <w:tcPr>
            <w:tcW w:w="2100" w:type="pct"/>
            <w:tcBorders>
              <w:top w:val="nil"/>
              <w:left w:val="nil"/>
              <w:bottom w:val="single" w:color="auto" w:sz="4" w:space="0"/>
              <w:right w:val="single" w:color="auto" w:sz="4" w:space="0"/>
            </w:tcBorders>
            <w:vAlign w:val="center"/>
          </w:tcPr>
          <w:p>
            <w:pPr>
              <w:pStyle w:val="64"/>
              <w:rPr>
                <w:sz w:val="24"/>
                <w:szCs w:val="24"/>
              </w:rPr>
            </w:pPr>
            <w:r>
              <w:rPr>
                <w:sz w:val="24"/>
                <w:szCs w:val="24"/>
              </w:rPr>
              <w:t>(0519)5307390</w:t>
            </w:r>
          </w:p>
        </w:tc>
      </w:tr>
      <w:tr>
        <w:tblPrEx>
          <w:tblCellMar>
            <w:top w:w="0" w:type="dxa"/>
            <w:left w:w="108" w:type="dxa"/>
            <w:bottom w:w="0" w:type="dxa"/>
            <w:right w:w="108" w:type="dxa"/>
          </w:tblCellMar>
        </w:tblPrEx>
        <w:trPr>
          <w:trHeight w:val="454" w:hRule="atLeast"/>
          <w:jc w:val="center"/>
        </w:trPr>
        <w:tc>
          <w:tcPr>
            <w:tcW w:w="652" w:type="pct"/>
            <w:tcBorders>
              <w:top w:val="nil"/>
              <w:left w:val="single" w:color="auto" w:sz="4" w:space="0"/>
              <w:bottom w:val="single" w:color="auto" w:sz="4" w:space="0"/>
              <w:right w:val="single" w:color="auto" w:sz="4" w:space="0"/>
            </w:tcBorders>
            <w:vAlign w:val="center"/>
          </w:tcPr>
          <w:p>
            <w:pPr>
              <w:pStyle w:val="64"/>
              <w:numPr>
                <w:ilvl w:val="0"/>
                <w:numId w:val="5"/>
              </w:numPr>
              <w:rPr>
                <w:sz w:val="24"/>
                <w:szCs w:val="24"/>
              </w:rPr>
            </w:pPr>
          </w:p>
        </w:tc>
        <w:tc>
          <w:tcPr>
            <w:tcW w:w="2248" w:type="pct"/>
            <w:tcBorders>
              <w:top w:val="nil"/>
              <w:left w:val="nil"/>
              <w:bottom w:val="single" w:color="auto" w:sz="4" w:space="0"/>
              <w:right w:val="single" w:color="auto" w:sz="4" w:space="0"/>
            </w:tcBorders>
            <w:vAlign w:val="center"/>
          </w:tcPr>
          <w:p>
            <w:pPr>
              <w:pStyle w:val="64"/>
              <w:rPr>
                <w:sz w:val="24"/>
                <w:szCs w:val="24"/>
              </w:rPr>
            </w:pPr>
            <w:r>
              <w:rPr>
                <w:rFonts w:hint="eastAsia"/>
                <w:sz w:val="24"/>
                <w:szCs w:val="24"/>
              </w:rPr>
              <w:t>区电信公司</w:t>
            </w:r>
          </w:p>
        </w:tc>
        <w:tc>
          <w:tcPr>
            <w:tcW w:w="2100" w:type="pct"/>
            <w:tcBorders>
              <w:top w:val="nil"/>
              <w:left w:val="nil"/>
              <w:bottom w:val="single" w:color="auto" w:sz="4" w:space="0"/>
              <w:right w:val="single" w:color="auto" w:sz="4" w:space="0"/>
            </w:tcBorders>
            <w:vAlign w:val="center"/>
          </w:tcPr>
          <w:p>
            <w:pPr>
              <w:pStyle w:val="64"/>
              <w:rPr>
                <w:sz w:val="24"/>
                <w:szCs w:val="24"/>
              </w:rPr>
            </w:pPr>
            <w:r>
              <w:rPr>
                <w:sz w:val="24"/>
                <w:szCs w:val="24"/>
              </w:rPr>
              <w:t>(0519)88771571</w:t>
            </w:r>
          </w:p>
        </w:tc>
      </w:tr>
      <w:tr>
        <w:tblPrEx>
          <w:tblCellMar>
            <w:top w:w="0" w:type="dxa"/>
            <w:left w:w="108" w:type="dxa"/>
            <w:bottom w:w="0" w:type="dxa"/>
            <w:right w:w="108" w:type="dxa"/>
          </w:tblCellMar>
        </w:tblPrEx>
        <w:trPr>
          <w:trHeight w:val="454" w:hRule="atLeast"/>
          <w:jc w:val="center"/>
        </w:trPr>
        <w:tc>
          <w:tcPr>
            <w:tcW w:w="652" w:type="pct"/>
            <w:tcBorders>
              <w:top w:val="nil"/>
              <w:left w:val="single" w:color="auto" w:sz="4" w:space="0"/>
              <w:bottom w:val="single" w:color="auto" w:sz="4" w:space="0"/>
              <w:right w:val="single" w:color="auto" w:sz="4" w:space="0"/>
            </w:tcBorders>
            <w:vAlign w:val="center"/>
          </w:tcPr>
          <w:p>
            <w:pPr>
              <w:pStyle w:val="64"/>
              <w:numPr>
                <w:ilvl w:val="0"/>
                <w:numId w:val="5"/>
              </w:numPr>
              <w:rPr>
                <w:sz w:val="24"/>
                <w:szCs w:val="24"/>
              </w:rPr>
            </w:pPr>
          </w:p>
        </w:tc>
        <w:tc>
          <w:tcPr>
            <w:tcW w:w="2248" w:type="pct"/>
            <w:tcBorders>
              <w:top w:val="nil"/>
              <w:left w:val="nil"/>
              <w:bottom w:val="single" w:color="auto" w:sz="4" w:space="0"/>
              <w:right w:val="single" w:color="auto" w:sz="4" w:space="0"/>
            </w:tcBorders>
            <w:vAlign w:val="center"/>
          </w:tcPr>
          <w:p>
            <w:pPr>
              <w:pStyle w:val="64"/>
              <w:rPr>
                <w:sz w:val="24"/>
                <w:szCs w:val="24"/>
              </w:rPr>
            </w:pPr>
            <w:r>
              <w:rPr>
                <w:rFonts w:hint="eastAsia"/>
                <w:sz w:val="24"/>
                <w:szCs w:val="24"/>
              </w:rPr>
              <w:t>经开区管委会</w:t>
            </w:r>
          </w:p>
        </w:tc>
        <w:tc>
          <w:tcPr>
            <w:tcW w:w="2100" w:type="pct"/>
            <w:tcBorders>
              <w:top w:val="nil"/>
              <w:left w:val="nil"/>
              <w:bottom w:val="single" w:color="auto" w:sz="4" w:space="0"/>
              <w:right w:val="single" w:color="auto" w:sz="4" w:space="0"/>
            </w:tcBorders>
            <w:vAlign w:val="center"/>
          </w:tcPr>
          <w:p>
            <w:pPr>
              <w:pStyle w:val="64"/>
              <w:rPr>
                <w:sz w:val="24"/>
                <w:szCs w:val="24"/>
              </w:rPr>
            </w:pPr>
            <w:r>
              <w:rPr>
                <w:rFonts w:hint="eastAsia"/>
                <w:sz w:val="24"/>
                <w:szCs w:val="24"/>
              </w:rPr>
              <w:t>(0519)</w:t>
            </w:r>
            <w:r>
              <w:rPr>
                <w:sz w:val="24"/>
                <w:szCs w:val="24"/>
              </w:rPr>
              <w:t>89863000</w:t>
            </w:r>
          </w:p>
        </w:tc>
      </w:tr>
      <w:tr>
        <w:tblPrEx>
          <w:tblCellMar>
            <w:top w:w="0" w:type="dxa"/>
            <w:left w:w="108" w:type="dxa"/>
            <w:bottom w:w="0" w:type="dxa"/>
            <w:right w:w="108" w:type="dxa"/>
          </w:tblCellMar>
        </w:tblPrEx>
        <w:trPr>
          <w:trHeight w:val="454" w:hRule="atLeast"/>
          <w:jc w:val="center"/>
        </w:trPr>
        <w:tc>
          <w:tcPr>
            <w:tcW w:w="652" w:type="pct"/>
            <w:tcBorders>
              <w:top w:val="nil"/>
              <w:left w:val="single" w:color="auto" w:sz="4" w:space="0"/>
              <w:bottom w:val="single" w:color="auto" w:sz="4" w:space="0"/>
              <w:right w:val="single" w:color="auto" w:sz="4" w:space="0"/>
            </w:tcBorders>
            <w:vAlign w:val="center"/>
          </w:tcPr>
          <w:p>
            <w:pPr>
              <w:pStyle w:val="64"/>
              <w:numPr>
                <w:ilvl w:val="0"/>
                <w:numId w:val="5"/>
              </w:numPr>
              <w:rPr>
                <w:sz w:val="24"/>
                <w:szCs w:val="24"/>
              </w:rPr>
            </w:pPr>
          </w:p>
        </w:tc>
        <w:tc>
          <w:tcPr>
            <w:tcW w:w="2248" w:type="pct"/>
            <w:tcBorders>
              <w:top w:val="nil"/>
              <w:left w:val="nil"/>
              <w:bottom w:val="single" w:color="auto" w:sz="4" w:space="0"/>
              <w:right w:val="single" w:color="auto" w:sz="4" w:space="0"/>
            </w:tcBorders>
            <w:vAlign w:val="center"/>
          </w:tcPr>
          <w:p>
            <w:pPr>
              <w:pStyle w:val="64"/>
              <w:rPr>
                <w:sz w:val="24"/>
                <w:szCs w:val="24"/>
              </w:rPr>
            </w:pPr>
            <w:r>
              <w:rPr>
                <w:rFonts w:hint="eastAsia"/>
                <w:sz w:val="24"/>
                <w:szCs w:val="24"/>
              </w:rPr>
              <w:t>常州</w:t>
            </w:r>
            <w:r>
              <w:rPr>
                <w:sz w:val="24"/>
                <w:szCs w:val="24"/>
              </w:rPr>
              <w:t>新奥燃气</w:t>
            </w:r>
            <w:r>
              <w:rPr>
                <w:rFonts w:hint="eastAsia"/>
                <w:sz w:val="24"/>
                <w:szCs w:val="24"/>
              </w:rPr>
              <w:t>24小时</w:t>
            </w:r>
            <w:r>
              <w:rPr>
                <w:sz w:val="24"/>
                <w:szCs w:val="24"/>
              </w:rPr>
              <w:t>服务热线</w:t>
            </w:r>
          </w:p>
        </w:tc>
        <w:tc>
          <w:tcPr>
            <w:tcW w:w="2100" w:type="pct"/>
            <w:tcBorders>
              <w:top w:val="nil"/>
              <w:left w:val="nil"/>
              <w:bottom w:val="single" w:color="auto" w:sz="4" w:space="0"/>
              <w:right w:val="single" w:color="auto" w:sz="4" w:space="0"/>
            </w:tcBorders>
            <w:vAlign w:val="center"/>
          </w:tcPr>
          <w:p>
            <w:pPr>
              <w:pStyle w:val="64"/>
              <w:rPr>
                <w:sz w:val="24"/>
                <w:szCs w:val="24"/>
              </w:rPr>
            </w:pPr>
            <w:r>
              <w:rPr>
                <w:sz w:val="24"/>
                <w:szCs w:val="24"/>
              </w:rPr>
              <w:t>(0519)86322733</w:t>
            </w:r>
          </w:p>
        </w:tc>
      </w:tr>
      <w:tr>
        <w:tblPrEx>
          <w:tblCellMar>
            <w:top w:w="0" w:type="dxa"/>
            <w:left w:w="108" w:type="dxa"/>
            <w:bottom w:w="0" w:type="dxa"/>
            <w:right w:w="108" w:type="dxa"/>
          </w:tblCellMar>
        </w:tblPrEx>
        <w:trPr>
          <w:trHeight w:val="454" w:hRule="atLeast"/>
          <w:jc w:val="center"/>
        </w:trPr>
        <w:tc>
          <w:tcPr>
            <w:tcW w:w="652" w:type="pct"/>
            <w:tcBorders>
              <w:top w:val="nil"/>
              <w:left w:val="single" w:color="auto" w:sz="4" w:space="0"/>
              <w:bottom w:val="single" w:color="auto" w:sz="4" w:space="0"/>
              <w:right w:val="single" w:color="auto" w:sz="4" w:space="0"/>
            </w:tcBorders>
            <w:vAlign w:val="center"/>
          </w:tcPr>
          <w:p>
            <w:pPr>
              <w:pStyle w:val="64"/>
              <w:numPr>
                <w:ilvl w:val="0"/>
                <w:numId w:val="5"/>
              </w:numPr>
              <w:rPr>
                <w:sz w:val="24"/>
                <w:szCs w:val="24"/>
              </w:rPr>
            </w:pPr>
          </w:p>
        </w:tc>
        <w:tc>
          <w:tcPr>
            <w:tcW w:w="2248" w:type="pct"/>
            <w:tcBorders>
              <w:top w:val="nil"/>
              <w:left w:val="nil"/>
              <w:bottom w:val="single" w:color="auto" w:sz="4" w:space="0"/>
              <w:right w:val="single" w:color="auto" w:sz="4" w:space="0"/>
            </w:tcBorders>
            <w:vAlign w:val="center"/>
          </w:tcPr>
          <w:p>
            <w:pPr>
              <w:pStyle w:val="64"/>
              <w:rPr>
                <w:sz w:val="24"/>
                <w:szCs w:val="24"/>
              </w:rPr>
            </w:pPr>
            <w:r>
              <w:rPr>
                <w:rFonts w:hint="eastAsia"/>
                <w:sz w:val="24"/>
                <w:szCs w:val="24"/>
              </w:rPr>
              <w:t>湖塘镇政府</w:t>
            </w:r>
          </w:p>
        </w:tc>
        <w:tc>
          <w:tcPr>
            <w:tcW w:w="2100" w:type="pct"/>
            <w:tcBorders>
              <w:top w:val="nil"/>
              <w:left w:val="nil"/>
              <w:bottom w:val="single" w:color="auto" w:sz="4" w:space="0"/>
              <w:right w:val="single" w:color="auto" w:sz="4" w:space="0"/>
            </w:tcBorders>
            <w:vAlign w:val="center"/>
          </w:tcPr>
          <w:p>
            <w:pPr>
              <w:pStyle w:val="64"/>
              <w:rPr>
                <w:sz w:val="24"/>
                <w:szCs w:val="24"/>
              </w:rPr>
            </w:pPr>
            <w:r>
              <w:rPr>
                <w:sz w:val="24"/>
                <w:szCs w:val="24"/>
              </w:rPr>
              <w:t>(0519)86552285</w:t>
            </w:r>
          </w:p>
        </w:tc>
      </w:tr>
      <w:tr>
        <w:tblPrEx>
          <w:tblCellMar>
            <w:top w:w="0" w:type="dxa"/>
            <w:left w:w="108" w:type="dxa"/>
            <w:bottom w:w="0" w:type="dxa"/>
            <w:right w:w="108" w:type="dxa"/>
          </w:tblCellMar>
        </w:tblPrEx>
        <w:trPr>
          <w:trHeight w:val="454" w:hRule="atLeast"/>
          <w:jc w:val="center"/>
        </w:trPr>
        <w:tc>
          <w:tcPr>
            <w:tcW w:w="652" w:type="pct"/>
            <w:tcBorders>
              <w:top w:val="nil"/>
              <w:left w:val="single" w:color="auto" w:sz="4" w:space="0"/>
              <w:bottom w:val="single" w:color="auto" w:sz="4" w:space="0"/>
              <w:right w:val="single" w:color="auto" w:sz="4" w:space="0"/>
            </w:tcBorders>
            <w:vAlign w:val="center"/>
          </w:tcPr>
          <w:p>
            <w:pPr>
              <w:pStyle w:val="64"/>
              <w:numPr>
                <w:ilvl w:val="0"/>
                <w:numId w:val="5"/>
              </w:numPr>
              <w:rPr>
                <w:sz w:val="24"/>
                <w:szCs w:val="24"/>
              </w:rPr>
            </w:pPr>
          </w:p>
        </w:tc>
        <w:tc>
          <w:tcPr>
            <w:tcW w:w="2248" w:type="pct"/>
            <w:tcBorders>
              <w:top w:val="nil"/>
              <w:left w:val="nil"/>
              <w:bottom w:val="single" w:color="auto" w:sz="4" w:space="0"/>
              <w:right w:val="single" w:color="auto" w:sz="4" w:space="0"/>
            </w:tcBorders>
            <w:vAlign w:val="center"/>
          </w:tcPr>
          <w:p>
            <w:pPr>
              <w:pStyle w:val="64"/>
              <w:rPr>
                <w:sz w:val="24"/>
                <w:szCs w:val="24"/>
              </w:rPr>
            </w:pPr>
            <w:r>
              <w:rPr>
                <w:rFonts w:hint="eastAsia"/>
                <w:sz w:val="24"/>
                <w:szCs w:val="24"/>
              </w:rPr>
              <w:t>横林</w:t>
            </w:r>
            <w:r>
              <w:rPr>
                <w:sz w:val="24"/>
                <w:szCs w:val="24"/>
              </w:rPr>
              <w:t>镇政府</w:t>
            </w:r>
          </w:p>
        </w:tc>
        <w:tc>
          <w:tcPr>
            <w:tcW w:w="2100" w:type="pct"/>
            <w:tcBorders>
              <w:top w:val="nil"/>
              <w:left w:val="nil"/>
              <w:bottom w:val="single" w:color="auto" w:sz="4" w:space="0"/>
              <w:right w:val="single" w:color="auto" w:sz="4" w:space="0"/>
            </w:tcBorders>
            <w:vAlign w:val="center"/>
          </w:tcPr>
          <w:p>
            <w:pPr>
              <w:pStyle w:val="64"/>
              <w:rPr>
                <w:sz w:val="24"/>
                <w:szCs w:val="24"/>
              </w:rPr>
            </w:pPr>
            <w:r>
              <w:rPr>
                <w:sz w:val="24"/>
                <w:szCs w:val="24"/>
              </w:rPr>
              <w:t>(0519)88781001</w:t>
            </w:r>
          </w:p>
        </w:tc>
      </w:tr>
      <w:tr>
        <w:tblPrEx>
          <w:tblCellMar>
            <w:top w:w="0" w:type="dxa"/>
            <w:left w:w="108" w:type="dxa"/>
            <w:bottom w:w="0" w:type="dxa"/>
            <w:right w:w="108" w:type="dxa"/>
          </w:tblCellMar>
        </w:tblPrEx>
        <w:trPr>
          <w:trHeight w:val="454" w:hRule="atLeast"/>
          <w:jc w:val="center"/>
        </w:trPr>
        <w:tc>
          <w:tcPr>
            <w:tcW w:w="652" w:type="pct"/>
            <w:tcBorders>
              <w:top w:val="nil"/>
              <w:left w:val="single" w:color="auto" w:sz="4" w:space="0"/>
              <w:bottom w:val="single" w:color="auto" w:sz="4" w:space="0"/>
              <w:right w:val="single" w:color="auto" w:sz="4" w:space="0"/>
            </w:tcBorders>
            <w:vAlign w:val="center"/>
          </w:tcPr>
          <w:p>
            <w:pPr>
              <w:pStyle w:val="64"/>
              <w:numPr>
                <w:ilvl w:val="0"/>
                <w:numId w:val="5"/>
              </w:numPr>
              <w:rPr>
                <w:sz w:val="24"/>
                <w:szCs w:val="24"/>
              </w:rPr>
            </w:pPr>
          </w:p>
        </w:tc>
        <w:tc>
          <w:tcPr>
            <w:tcW w:w="2248" w:type="pct"/>
            <w:tcBorders>
              <w:top w:val="nil"/>
              <w:left w:val="nil"/>
              <w:bottom w:val="single" w:color="auto" w:sz="4" w:space="0"/>
              <w:right w:val="single" w:color="auto" w:sz="4" w:space="0"/>
            </w:tcBorders>
            <w:vAlign w:val="center"/>
          </w:tcPr>
          <w:p>
            <w:pPr>
              <w:pStyle w:val="64"/>
              <w:rPr>
                <w:sz w:val="24"/>
                <w:szCs w:val="24"/>
              </w:rPr>
            </w:pPr>
            <w:r>
              <w:rPr>
                <w:rFonts w:hint="eastAsia"/>
                <w:sz w:val="24"/>
                <w:szCs w:val="24"/>
              </w:rPr>
              <w:t>横山桥镇</w:t>
            </w:r>
            <w:r>
              <w:rPr>
                <w:sz w:val="24"/>
                <w:szCs w:val="24"/>
              </w:rPr>
              <w:t>政府</w:t>
            </w:r>
          </w:p>
        </w:tc>
        <w:tc>
          <w:tcPr>
            <w:tcW w:w="2100" w:type="pct"/>
            <w:tcBorders>
              <w:top w:val="nil"/>
              <w:left w:val="nil"/>
              <w:bottom w:val="single" w:color="auto" w:sz="4" w:space="0"/>
              <w:right w:val="single" w:color="auto" w:sz="4" w:space="0"/>
            </w:tcBorders>
            <w:vAlign w:val="center"/>
          </w:tcPr>
          <w:p>
            <w:pPr>
              <w:pStyle w:val="64"/>
              <w:rPr>
                <w:sz w:val="24"/>
                <w:szCs w:val="24"/>
              </w:rPr>
            </w:pPr>
            <w:r>
              <w:rPr>
                <w:rFonts w:hint="eastAsia"/>
                <w:sz w:val="24"/>
                <w:szCs w:val="24"/>
              </w:rPr>
              <w:t>(0519)88618000</w:t>
            </w:r>
          </w:p>
        </w:tc>
      </w:tr>
      <w:tr>
        <w:tblPrEx>
          <w:tblCellMar>
            <w:top w:w="0" w:type="dxa"/>
            <w:left w:w="108" w:type="dxa"/>
            <w:bottom w:w="0" w:type="dxa"/>
            <w:right w:w="108" w:type="dxa"/>
          </w:tblCellMar>
        </w:tblPrEx>
        <w:trPr>
          <w:trHeight w:val="454" w:hRule="atLeast"/>
          <w:jc w:val="center"/>
        </w:trPr>
        <w:tc>
          <w:tcPr>
            <w:tcW w:w="652" w:type="pct"/>
            <w:tcBorders>
              <w:top w:val="nil"/>
              <w:left w:val="single" w:color="auto" w:sz="4" w:space="0"/>
              <w:bottom w:val="single" w:color="auto" w:sz="4" w:space="0"/>
              <w:right w:val="single" w:color="auto" w:sz="4" w:space="0"/>
            </w:tcBorders>
            <w:vAlign w:val="center"/>
          </w:tcPr>
          <w:p>
            <w:pPr>
              <w:pStyle w:val="64"/>
              <w:numPr>
                <w:ilvl w:val="0"/>
                <w:numId w:val="5"/>
              </w:numPr>
              <w:rPr>
                <w:sz w:val="24"/>
                <w:szCs w:val="24"/>
              </w:rPr>
            </w:pPr>
          </w:p>
        </w:tc>
        <w:tc>
          <w:tcPr>
            <w:tcW w:w="2248" w:type="pct"/>
            <w:tcBorders>
              <w:top w:val="nil"/>
              <w:left w:val="nil"/>
              <w:bottom w:val="single" w:color="auto" w:sz="4" w:space="0"/>
              <w:right w:val="single" w:color="auto" w:sz="4" w:space="0"/>
            </w:tcBorders>
            <w:vAlign w:val="center"/>
          </w:tcPr>
          <w:p>
            <w:pPr>
              <w:pStyle w:val="64"/>
              <w:rPr>
                <w:sz w:val="24"/>
                <w:szCs w:val="24"/>
              </w:rPr>
            </w:pPr>
            <w:r>
              <w:rPr>
                <w:rFonts w:hint="eastAsia"/>
                <w:sz w:val="24"/>
                <w:szCs w:val="24"/>
              </w:rPr>
              <w:t>嘉泽镇政府</w:t>
            </w:r>
          </w:p>
        </w:tc>
        <w:tc>
          <w:tcPr>
            <w:tcW w:w="2100" w:type="pct"/>
            <w:tcBorders>
              <w:top w:val="nil"/>
              <w:left w:val="nil"/>
              <w:bottom w:val="single" w:color="auto" w:sz="4" w:space="0"/>
              <w:right w:val="single" w:color="auto" w:sz="4" w:space="0"/>
            </w:tcBorders>
            <w:vAlign w:val="center"/>
          </w:tcPr>
          <w:p>
            <w:pPr>
              <w:pStyle w:val="64"/>
              <w:rPr>
                <w:sz w:val="24"/>
                <w:szCs w:val="24"/>
              </w:rPr>
            </w:pPr>
            <w:r>
              <w:rPr>
                <w:sz w:val="24"/>
                <w:szCs w:val="24"/>
              </w:rPr>
              <w:t>(0519)83801001</w:t>
            </w:r>
          </w:p>
        </w:tc>
      </w:tr>
      <w:tr>
        <w:tblPrEx>
          <w:tblCellMar>
            <w:top w:w="0" w:type="dxa"/>
            <w:left w:w="108" w:type="dxa"/>
            <w:bottom w:w="0" w:type="dxa"/>
            <w:right w:w="108" w:type="dxa"/>
          </w:tblCellMar>
        </w:tblPrEx>
        <w:trPr>
          <w:trHeight w:val="454" w:hRule="atLeast"/>
          <w:jc w:val="center"/>
        </w:trPr>
        <w:tc>
          <w:tcPr>
            <w:tcW w:w="652" w:type="pct"/>
            <w:tcBorders>
              <w:top w:val="nil"/>
              <w:left w:val="single" w:color="auto" w:sz="4" w:space="0"/>
              <w:bottom w:val="single" w:color="auto" w:sz="4" w:space="0"/>
              <w:right w:val="single" w:color="auto" w:sz="4" w:space="0"/>
            </w:tcBorders>
            <w:vAlign w:val="center"/>
          </w:tcPr>
          <w:p>
            <w:pPr>
              <w:pStyle w:val="64"/>
              <w:numPr>
                <w:ilvl w:val="0"/>
                <w:numId w:val="5"/>
              </w:numPr>
              <w:rPr>
                <w:sz w:val="24"/>
                <w:szCs w:val="24"/>
              </w:rPr>
            </w:pPr>
          </w:p>
        </w:tc>
        <w:tc>
          <w:tcPr>
            <w:tcW w:w="2248" w:type="pct"/>
            <w:tcBorders>
              <w:top w:val="nil"/>
              <w:left w:val="nil"/>
              <w:bottom w:val="single" w:color="auto" w:sz="4" w:space="0"/>
              <w:right w:val="single" w:color="auto" w:sz="4" w:space="0"/>
            </w:tcBorders>
            <w:vAlign w:val="center"/>
          </w:tcPr>
          <w:p>
            <w:pPr>
              <w:pStyle w:val="64"/>
              <w:rPr>
                <w:sz w:val="24"/>
                <w:szCs w:val="24"/>
              </w:rPr>
            </w:pPr>
            <w:r>
              <w:rPr>
                <w:rFonts w:hint="eastAsia"/>
                <w:sz w:val="24"/>
                <w:szCs w:val="24"/>
              </w:rPr>
              <w:t>牛塘镇政府</w:t>
            </w:r>
          </w:p>
        </w:tc>
        <w:tc>
          <w:tcPr>
            <w:tcW w:w="2100" w:type="pct"/>
            <w:tcBorders>
              <w:top w:val="nil"/>
              <w:left w:val="nil"/>
              <w:bottom w:val="single" w:color="auto" w:sz="4" w:space="0"/>
              <w:right w:val="single" w:color="auto" w:sz="4" w:space="0"/>
            </w:tcBorders>
            <w:vAlign w:val="center"/>
          </w:tcPr>
          <w:p>
            <w:pPr>
              <w:pStyle w:val="64"/>
              <w:rPr>
                <w:sz w:val="24"/>
                <w:szCs w:val="24"/>
              </w:rPr>
            </w:pPr>
            <w:r>
              <w:rPr>
                <w:sz w:val="24"/>
                <w:szCs w:val="24"/>
              </w:rPr>
              <w:t>(0519)69870800</w:t>
            </w:r>
          </w:p>
        </w:tc>
      </w:tr>
      <w:tr>
        <w:tblPrEx>
          <w:tblCellMar>
            <w:top w:w="0" w:type="dxa"/>
            <w:left w:w="108" w:type="dxa"/>
            <w:bottom w:w="0" w:type="dxa"/>
            <w:right w:w="108" w:type="dxa"/>
          </w:tblCellMar>
        </w:tblPrEx>
        <w:trPr>
          <w:trHeight w:val="454" w:hRule="atLeast"/>
          <w:jc w:val="center"/>
        </w:trPr>
        <w:tc>
          <w:tcPr>
            <w:tcW w:w="652" w:type="pct"/>
            <w:tcBorders>
              <w:top w:val="nil"/>
              <w:left w:val="single" w:color="auto" w:sz="4" w:space="0"/>
              <w:bottom w:val="single" w:color="auto" w:sz="4" w:space="0"/>
              <w:right w:val="single" w:color="auto" w:sz="4" w:space="0"/>
            </w:tcBorders>
            <w:vAlign w:val="center"/>
          </w:tcPr>
          <w:p>
            <w:pPr>
              <w:pStyle w:val="64"/>
              <w:numPr>
                <w:ilvl w:val="0"/>
                <w:numId w:val="5"/>
              </w:numPr>
              <w:rPr>
                <w:sz w:val="24"/>
                <w:szCs w:val="24"/>
              </w:rPr>
            </w:pPr>
          </w:p>
        </w:tc>
        <w:tc>
          <w:tcPr>
            <w:tcW w:w="2248" w:type="pct"/>
            <w:tcBorders>
              <w:top w:val="nil"/>
              <w:left w:val="nil"/>
              <w:bottom w:val="single" w:color="auto" w:sz="4" w:space="0"/>
              <w:right w:val="single" w:color="auto" w:sz="4" w:space="0"/>
            </w:tcBorders>
            <w:vAlign w:val="center"/>
          </w:tcPr>
          <w:p>
            <w:pPr>
              <w:pStyle w:val="64"/>
              <w:rPr>
                <w:sz w:val="24"/>
                <w:szCs w:val="24"/>
              </w:rPr>
            </w:pPr>
            <w:r>
              <w:rPr>
                <w:rFonts w:hint="eastAsia"/>
                <w:sz w:val="24"/>
                <w:szCs w:val="24"/>
              </w:rPr>
              <w:t>洛阳镇政府</w:t>
            </w:r>
          </w:p>
        </w:tc>
        <w:tc>
          <w:tcPr>
            <w:tcW w:w="2100" w:type="pct"/>
            <w:tcBorders>
              <w:top w:val="nil"/>
              <w:left w:val="nil"/>
              <w:bottom w:val="single" w:color="auto" w:sz="4" w:space="0"/>
              <w:right w:val="single" w:color="auto" w:sz="4" w:space="0"/>
            </w:tcBorders>
            <w:vAlign w:val="center"/>
          </w:tcPr>
          <w:p>
            <w:pPr>
              <w:pStyle w:val="64"/>
              <w:rPr>
                <w:sz w:val="24"/>
                <w:szCs w:val="24"/>
              </w:rPr>
            </w:pPr>
            <w:r>
              <w:rPr>
                <w:sz w:val="24"/>
                <w:szCs w:val="24"/>
              </w:rPr>
              <w:t>(0519)88791001</w:t>
            </w:r>
          </w:p>
        </w:tc>
      </w:tr>
      <w:tr>
        <w:tblPrEx>
          <w:tblCellMar>
            <w:top w:w="0" w:type="dxa"/>
            <w:left w:w="108" w:type="dxa"/>
            <w:bottom w:w="0" w:type="dxa"/>
            <w:right w:w="108" w:type="dxa"/>
          </w:tblCellMar>
        </w:tblPrEx>
        <w:trPr>
          <w:trHeight w:val="454" w:hRule="atLeast"/>
          <w:jc w:val="center"/>
        </w:trPr>
        <w:tc>
          <w:tcPr>
            <w:tcW w:w="652" w:type="pct"/>
            <w:tcBorders>
              <w:top w:val="nil"/>
              <w:left w:val="single" w:color="auto" w:sz="4" w:space="0"/>
              <w:bottom w:val="single" w:color="auto" w:sz="4" w:space="0"/>
              <w:right w:val="single" w:color="auto" w:sz="4" w:space="0"/>
            </w:tcBorders>
            <w:vAlign w:val="center"/>
          </w:tcPr>
          <w:p>
            <w:pPr>
              <w:pStyle w:val="64"/>
              <w:numPr>
                <w:ilvl w:val="0"/>
                <w:numId w:val="5"/>
              </w:numPr>
              <w:rPr>
                <w:sz w:val="24"/>
                <w:szCs w:val="24"/>
              </w:rPr>
            </w:pPr>
          </w:p>
        </w:tc>
        <w:tc>
          <w:tcPr>
            <w:tcW w:w="2248" w:type="pct"/>
            <w:tcBorders>
              <w:top w:val="nil"/>
              <w:left w:val="nil"/>
              <w:bottom w:val="single" w:color="auto" w:sz="4" w:space="0"/>
              <w:right w:val="single" w:color="auto" w:sz="4" w:space="0"/>
            </w:tcBorders>
            <w:vAlign w:val="center"/>
          </w:tcPr>
          <w:p>
            <w:pPr>
              <w:pStyle w:val="64"/>
              <w:rPr>
                <w:sz w:val="24"/>
                <w:szCs w:val="24"/>
              </w:rPr>
            </w:pPr>
            <w:r>
              <w:rPr>
                <w:rFonts w:hint="eastAsia"/>
                <w:sz w:val="24"/>
                <w:szCs w:val="24"/>
              </w:rPr>
              <w:t>前黄镇政府</w:t>
            </w:r>
          </w:p>
        </w:tc>
        <w:tc>
          <w:tcPr>
            <w:tcW w:w="2100" w:type="pct"/>
            <w:tcBorders>
              <w:top w:val="nil"/>
              <w:left w:val="nil"/>
              <w:bottom w:val="single" w:color="auto" w:sz="4" w:space="0"/>
              <w:right w:val="single" w:color="auto" w:sz="4" w:space="0"/>
            </w:tcBorders>
            <w:vAlign w:val="center"/>
          </w:tcPr>
          <w:p>
            <w:pPr>
              <w:pStyle w:val="64"/>
              <w:rPr>
                <w:sz w:val="24"/>
                <w:szCs w:val="24"/>
              </w:rPr>
            </w:pPr>
            <w:r>
              <w:rPr>
                <w:sz w:val="24"/>
                <w:szCs w:val="24"/>
              </w:rPr>
              <w:t>(0519)86511005</w:t>
            </w:r>
          </w:p>
        </w:tc>
      </w:tr>
      <w:tr>
        <w:tblPrEx>
          <w:tblCellMar>
            <w:top w:w="0" w:type="dxa"/>
            <w:left w:w="108" w:type="dxa"/>
            <w:bottom w:w="0" w:type="dxa"/>
            <w:right w:w="108" w:type="dxa"/>
          </w:tblCellMar>
        </w:tblPrEx>
        <w:trPr>
          <w:trHeight w:val="454" w:hRule="atLeast"/>
          <w:jc w:val="center"/>
        </w:trPr>
        <w:tc>
          <w:tcPr>
            <w:tcW w:w="652" w:type="pct"/>
            <w:tcBorders>
              <w:top w:val="nil"/>
              <w:left w:val="single" w:color="auto" w:sz="4" w:space="0"/>
              <w:bottom w:val="single" w:color="auto" w:sz="4" w:space="0"/>
              <w:right w:val="single" w:color="auto" w:sz="4" w:space="0"/>
            </w:tcBorders>
            <w:vAlign w:val="center"/>
          </w:tcPr>
          <w:p>
            <w:pPr>
              <w:pStyle w:val="64"/>
              <w:numPr>
                <w:ilvl w:val="0"/>
                <w:numId w:val="5"/>
              </w:numPr>
              <w:rPr>
                <w:sz w:val="24"/>
                <w:szCs w:val="24"/>
              </w:rPr>
            </w:pPr>
          </w:p>
        </w:tc>
        <w:tc>
          <w:tcPr>
            <w:tcW w:w="2248" w:type="pct"/>
            <w:tcBorders>
              <w:top w:val="nil"/>
              <w:left w:val="nil"/>
              <w:bottom w:val="single" w:color="auto" w:sz="4" w:space="0"/>
              <w:right w:val="single" w:color="auto" w:sz="4" w:space="0"/>
            </w:tcBorders>
            <w:vAlign w:val="center"/>
          </w:tcPr>
          <w:p>
            <w:pPr>
              <w:pStyle w:val="64"/>
              <w:rPr>
                <w:sz w:val="24"/>
                <w:szCs w:val="24"/>
              </w:rPr>
            </w:pPr>
            <w:r>
              <w:rPr>
                <w:rFonts w:hint="eastAsia"/>
                <w:sz w:val="24"/>
                <w:szCs w:val="24"/>
              </w:rPr>
              <w:t>遥观镇政府</w:t>
            </w:r>
          </w:p>
        </w:tc>
        <w:tc>
          <w:tcPr>
            <w:tcW w:w="2100" w:type="pct"/>
            <w:tcBorders>
              <w:top w:val="nil"/>
              <w:left w:val="nil"/>
              <w:bottom w:val="single" w:color="auto" w:sz="4" w:space="0"/>
              <w:right w:val="single" w:color="auto" w:sz="4" w:space="0"/>
            </w:tcBorders>
            <w:vAlign w:val="center"/>
          </w:tcPr>
          <w:p>
            <w:pPr>
              <w:pStyle w:val="64"/>
              <w:rPr>
                <w:sz w:val="24"/>
                <w:szCs w:val="24"/>
              </w:rPr>
            </w:pPr>
            <w:r>
              <w:rPr>
                <w:sz w:val="24"/>
                <w:szCs w:val="24"/>
              </w:rPr>
              <w:t>(0519)88701828</w:t>
            </w:r>
          </w:p>
        </w:tc>
      </w:tr>
      <w:tr>
        <w:tblPrEx>
          <w:tblCellMar>
            <w:top w:w="0" w:type="dxa"/>
            <w:left w:w="108" w:type="dxa"/>
            <w:bottom w:w="0" w:type="dxa"/>
            <w:right w:w="108" w:type="dxa"/>
          </w:tblCellMar>
        </w:tblPrEx>
        <w:trPr>
          <w:trHeight w:val="454" w:hRule="atLeast"/>
          <w:jc w:val="center"/>
        </w:trPr>
        <w:tc>
          <w:tcPr>
            <w:tcW w:w="652" w:type="pct"/>
            <w:tcBorders>
              <w:top w:val="nil"/>
              <w:left w:val="single" w:color="auto" w:sz="4" w:space="0"/>
              <w:bottom w:val="single" w:color="auto" w:sz="4" w:space="0"/>
              <w:right w:val="single" w:color="auto" w:sz="4" w:space="0"/>
            </w:tcBorders>
            <w:vAlign w:val="center"/>
          </w:tcPr>
          <w:p>
            <w:pPr>
              <w:pStyle w:val="64"/>
              <w:numPr>
                <w:ilvl w:val="0"/>
                <w:numId w:val="5"/>
              </w:numPr>
              <w:rPr>
                <w:sz w:val="24"/>
                <w:szCs w:val="24"/>
              </w:rPr>
            </w:pPr>
          </w:p>
        </w:tc>
        <w:tc>
          <w:tcPr>
            <w:tcW w:w="2248" w:type="pct"/>
            <w:tcBorders>
              <w:top w:val="nil"/>
              <w:left w:val="nil"/>
              <w:bottom w:val="single" w:color="auto" w:sz="4" w:space="0"/>
              <w:right w:val="single" w:color="auto" w:sz="4" w:space="0"/>
            </w:tcBorders>
            <w:vAlign w:val="center"/>
          </w:tcPr>
          <w:p>
            <w:pPr>
              <w:pStyle w:val="64"/>
              <w:rPr>
                <w:sz w:val="24"/>
                <w:szCs w:val="24"/>
              </w:rPr>
            </w:pPr>
            <w:r>
              <w:rPr>
                <w:rFonts w:hint="eastAsia"/>
                <w:sz w:val="24"/>
                <w:szCs w:val="24"/>
              </w:rPr>
              <w:t>礼嘉镇政府</w:t>
            </w:r>
          </w:p>
        </w:tc>
        <w:tc>
          <w:tcPr>
            <w:tcW w:w="2100" w:type="pct"/>
            <w:tcBorders>
              <w:top w:val="nil"/>
              <w:left w:val="nil"/>
              <w:bottom w:val="single" w:color="auto" w:sz="4" w:space="0"/>
              <w:right w:val="single" w:color="auto" w:sz="4" w:space="0"/>
            </w:tcBorders>
            <w:vAlign w:val="center"/>
          </w:tcPr>
          <w:p>
            <w:pPr>
              <w:pStyle w:val="64"/>
              <w:rPr>
                <w:sz w:val="24"/>
                <w:szCs w:val="24"/>
              </w:rPr>
            </w:pPr>
            <w:r>
              <w:rPr>
                <w:sz w:val="24"/>
                <w:szCs w:val="24"/>
              </w:rPr>
              <w:t>(0519)81230000</w:t>
            </w:r>
          </w:p>
        </w:tc>
      </w:tr>
      <w:tr>
        <w:tblPrEx>
          <w:tblCellMar>
            <w:top w:w="0" w:type="dxa"/>
            <w:left w:w="108" w:type="dxa"/>
            <w:bottom w:w="0" w:type="dxa"/>
            <w:right w:w="108" w:type="dxa"/>
          </w:tblCellMar>
        </w:tblPrEx>
        <w:trPr>
          <w:trHeight w:val="454" w:hRule="atLeast"/>
          <w:jc w:val="center"/>
        </w:trPr>
        <w:tc>
          <w:tcPr>
            <w:tcW w:w="652" w:type="pct"/>
            <w:tcBorders>
              <w:top w:val="nil"/>
              <w:left w:val="single" w:color="auto" w:sz="4" w:space="0"/>
              <w:bottom w:val="single" w:color="auto" w:sz="4" w:space="0"/>
              <w:right w:val="single" w:color="auto" w:sz="4" w:space="0"/>
            </w:tcBorders>
            <w:vAlign w:val="center"/>
          </w:tcPr>
          <w:p>
            <w:pPr>
              <w:pStyle w:val="64"/>
              <w:numPr>
                <w:ilvl w:val="0"/>
                <w:numId w:val="5"/>
              </w:numPr>
              <w:rPr>
                <w:sz w:val="24"/>
                <w:szCs w:val="24"/>
              </w:rPr>
            </w:pPr>
          </w:p>
        </w:tc>
        <w:tc>
          <w:tcPr>
            <w:tcW w:w="2248" w:type="pct"/>
            <w:tcBorders>
              <w:top w:val="nil"/>
              <w:left w:val="nil"/>
              <w:bottom w:val="single" w:color="auto" w:sz="4" w:space="0"/>
              <w:right w:val="single" w:color="auto" w:sz="4" w:space="0"/>
            </w:tcBorders>
            <w:vAlign w:val="center"/>
          </w:tcPr>
          <w:p>
            <w:pPr>
              <w:pStyle w:val="64"/>
              <w:rPr>
                <w:sz w:val="24"/>
                <w:szCs w:val="24"/>
              </w:rPr>
            </w:pPr>
            <w:r>
              <w:rPr>
                <w:rFonts w:hint="eastAsia"/>
                <w:sz w:val="24"/>
                <w:szCs w:val="24"/>
              </w:rPr>
              <w:t>湟里镇政府</w:t>
            </w:r>
          </w:p>
        </w:tc>
        <w:tc>
          <w:tcPr>
            <w:tcW w:w="2100" w:type="pct"/>
            <w:tcBorders>
              <w:top w:val="nil"/>
              <w:left w:val="nil"/>
              <w:bottom w:val="single" w:color="auto" w:sz="4" w:space="0"/>
              <w:right w:val="single" w:color="auto" w:sz="4" w:space="0"/>
            </w:tcBorders>
            <w:vAlign w:val="center"/>
          </w:tcPr>
          <w:p>
            <w:pPr>
              <w:pStyle w:val="64"/>
              <w:rPr>
                <w:sz w:val="24"/>
                <w:szCs w:val="24"/>
              </w:rPr>
            </w:pPr>
            <w:r>
              <w:rPr>
                <w:sz w:val="24"/>
                <w:szCs w:val="24"/>
              </w:rPr>
              <w:t>(0519)83341002</w:t>
            </w:r>
          </w:p>
        </w:tc>
      </w:tr>
      <w:tr>
        <w:tblPrEx>
          <w:tblCellMar>
            <w:top w:w="0" w:type="dxa"/>
            <w:left w:w="108" w:type="dxa"/>
            <w:bottom w:w="0" w:type="dxa"/>
            <w:right w:w="108" w:type="dxa"/>
          </w:tblCellMar>
        </w:tblPrEx>
        <w:trPr>
          <w:trHeight w:val="454" w:hRule="atLeast"/>
          <w:jc w:val="center"/>
        </w:trPr>
        <w:tc>
          <w:tcPr>
            <w:tcW w:w="652" w:type="pct"/>
            <w:tcBorders>
              <w:top w:val="nil"/>
              <w:left w:val="single" w:color="auto" w:sz="4" w:space="0"/>
              <w:bottom w:val="single" w:color="auto" w:sz="4" w:space="0"/>
              <w:right w:val="single" w:color="auto" w:sz="4" w:space="0"/>
            </w:tcBorders>
            <w:vAlign w:val="center"/>
          </w:tcPr>
          <w:p>
            <w:pPr>
              <w:pStyle w:val="64"/>
              <w:numPr>
                <w:ilvl w:val="0"/>
                <w:numId w:val="5"/>
              </w:numPr>
              <w:rPr>
                <w:sz w:val="24"/>
                <w:szCs w:val="24"/>
              </w:rPr>
            </w:pPr>
          </w:p>
        </w:tc>
        <w:tc>
          <w:tcPr>
            <w:tcW w:w="2248" w:type="pct"/>
            <w:tcBorders>
              <w:top w:val="nil"/>
              <w:left w:val="nil"/>
              <w:bottom w:val="single" w:color="auto" w:sz="4" w:space="0"/>
              <w:right w:val="single" w:color="auto" w:sz="4" w:space="0"/>
            </w:tcBorders>
            <w:vAlign w:val="center"/>
          </w:tcPr>
          <w:p>
            <w:pPr>
              <w:pStyle w:val="64"/>
              <w:rPr>
                <w:sz w:val="24"/>
                <w:szCs w:val="24"/>
              </w:rPr>
            </w:pPr>
            <w:r>
              <w:rPr>
                <w:rFonts w:hint="eastAsia"/>
                <w:sz w:val="24"/>
                <w:szCs w:val="24"/>
              </w:rPr>
              <w:t>雪堰镇政府</w:t>
            </w:r>
          </w:p>
        </w:tc>
        <w:tc>
          <w:tcPr>
            <w:tcW w:w="2100" w:type="pct"/>
            <w:tcBorders>
              <w:top w:val="nil"/>
              <w:left w:val="nil"/>
              <w:bottom w:val="single" w:color="auto" w:sz="4" w:space="0"/>
              <w:right w:val="single" w:color="auto" w:sz="4" w:space="0"/>
            </w:tcBorders>
            <w:vAlign w:val="center"/>
          </w:tcPr>
          <w:p>
            <w:pPr>
              <w:pStyle w:val="64"/>
              <w:rPr>
                <w:sz w:val="24"/>
                <w:szCs w:val="24"/>
              </w:rPr>
            </w:pPr>
            <w:r>
              <w:rPr>
                <w:sz w:val="24"/>
                <w:szCs w:val="24"/>
              </w:rPr>
              <w:t>(0519)85803081</w:t>
            </w:r>
          </w:p>
        </w:tc>
      </w:tr>
    </w:tbl>
    <w:p>
      <w:pPr>
        <w:pStyle w:val="64"/>
        <w:rPr>
          <w:rFonts w:hint="eastAsia"/>
        </w:rPr>
      </w:pPr>
    </w:p>
    <w:p>
      <w:pPr>
        <w:ind w:firstLine="560"/>
      </w:pPr>
    </w:p>
    <w:p>
      <w:pPr>
        <w:spacing w:line="700" w:lineRule="exact"/>
        <w:rPr>
          <w:rFonts w:hint="eastAsia" w:ascii="仿宋_GB2312" w:eastAsia="仿宋_GB2312"/>
          <w:color w:val="000000"/>
          <w:sz w:val="32"/>
          <w:szCs w:val="32"/>
        </w:rPr>
      </w:pPr>
    </w:p>
    <w:p>
      <w:pPr>
        <w:jc w:val="distribute"/>
        <w:rPr>
          <w:rFonts w:hint="eastAsia" w:ascii="方正小标宋简体" w:eastAsia="方正小标宋简体"/>
          <w:color w:val="FF0000"/>
          <w:w w:val="56"/>
          <w:sz w:val="28"/>
          <w:szCs w:val="28"/>
        </w:rPr>
      </w:pPr>
    </w:p>
    <w:p>
      <w:pPr>
        <w:jc w:val="distribute"/>
        <w:rPr>
          <w:rFonts w:hint="eastAsia" w:ascii="方正小标宋简体" w:eastAsia="方正小标宋简体"/>
          <w:color w:val="FF0000"/>
          <w:w w:val="56"/>
          <w:sz w:val="28"/>
          <w:szCs w:val="28"/>
        </w:rPr>
      </w:pPr>
    </w:p>
    <w:p>
      <w:pPr>
        <w:jc w:val="distribute"/>
        <w:rPr>
          <w:rFonts w:hint="eastAsia" w:ascii="方正小标宋简体" w:eastAsia="方正小标宋简体"/>
          <w:color w:val="FF0000"/>
          <w:w w:val="56"/>
          <w:sz w:val="28"/>
          <w:szCs w:val="28"/>
        </w:rPr>
      </w:pPr>
    </w:p>
    <w:p>
      <w:pPr>
        <w:jc w:val="distribute"/>
        <w:rPr>
          <w:rFonts w:hint="eastAsia" w:ascii="方正小标宋简体" w:eastAsia="方正小标宋简体"/>
          <w:color w:val="FF0000"/>
          <w:w w:val="56"/>
          <w:sz w:val="28"/>
          <w:szCs w:val="28"/>
        </w:rPr>
      </w:pPr>
    </w:p>
    <w:p>
      <w:pPr>
        <w:jc w:val="distribute"/>
        <w:rPr>
          <w:rFonts w:hint="eastAsia" w:ascii="方正小标宋简体" w:eastAsia="方正小标宋简体"/>
          <w:color w:val="FF0000"/>
          <w:w w:val="56"/>
          <w:sz w:val="28"/>
          <w:szCs w:val="28"/>
        </w:rPr>
      </w:pPr>
    </w:p>
    <w:p>
      <w:pPr>
        <w:jc w:val="distribute"/>
        <w:rPr>
          <w:rFonts w:hint="eastAsia" w:ascii="方正小标宋简体" w:eastAsia="方正小标宋简体"/>
          <w:color w:val="FF0000"/>
          <w:w w:val="56"/>
          <w:sz w:val="28"/>
          <w:szCs w:val="28"/>
        </w:rPr>
      </w:pPr>
    </w:p>
    <w:p>
      <w:pPr>
        <w:jc w:val="distribute"/>
        <w:rPr>
          <w:rFonts w:hint="eastAsia" w:ascii="方正小标宋简体" w:eastAsia="方正小标宋简体"/>
          <w:color w:val="FF0000"/>
          <w:w w:val="56"/>
          <w:sz w:val="28"/>
          <w:szCs w:val="28"/>
        </w:rPr>
      </w:pPr>
    </w:p>
    <w:p/>
    <w:sectPr>
      <w:footerReference r:id="rId5" w:type="default"/>
      <w:footerReference r:id="rId6" w:type="even"/>
      <w:pgSz w:w="11906" w:h="16838"/>
      <w:pgMar w:top="2098" w:right="1531" w:bottom="1985" w:left="1531" w:header="709" w:footer="1361" w:gutter="0"/>
      <w:pgNumType w:fmt="numberInDash" w:start="1"/>
      <w:cols w:space="425"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71EBBC41-179B-4A3D-B3C4-A2E7DA58852D}"/>
  </w:font>
  <w:font w:name="仿宋_GB2312">
    <w:panose1 w:val="02010609030101010101"/>
    <w:charset w:val="86"/>
    <w:family w:val="modern"/>
    <w:pitch w:val="default"/>
    <w:sig w:usb0="00000001" w:usb1="080E0000" w:usb2="00000000" w:usb3="00000000" w:csb0="00040000" w:csb1="00000000"/>
  </w:font>
  <w:font w:name="Dotum">
    <w:altName w:val="Malgun Gothic"/>
    <w:panose1 w:val="020B0600000101010101"/>
    <w:charset w:val="81"/>
    <w:family w:val="swiss"/>
    <w:pitch w:val="default"/>
    <w:sig w:usb0="00000000" w:usb1="00000000" w:usb2="00000030" w:usb3="00000000" w:csb0="0008009F" w:csb1="00000000"/>
  </w:font>
  <w:font w:name="Courier New">
    <w:panose1 w:val="02070309020205020404"/>
    <w:charset w:val="00"/>
    <w:family w:val="modern"/>
    <w:pitch w:val="default"/>
    <w:sig w:usb0="E0002EFF" w:usb1="C0007843" w:usb2="00000009" w:usb3="00000000" w:csb0="400001FF" w:csb1="FFFF0000"/>
  </w:font>
  <w:font w:name="PMingLiU">
    <w:altName w:val="PMingLiU-ExtB"/>
    <w:panose1 w:val="02020500000000000000"/>
    <w:charset w:val="88"/>
    <w:family w:val="roman"/>
    <w:pitch w:val="default"/>
    <w:sig w:usb0="00000000" w:usb1="00000000" w:usb2="00000016" w:usb3="00000000" w:csb0="0010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2" w:fontKey="{10E3D47C-FB41-4842-9D1E-4E8C0E34C2B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2"/>
        <w:sz w:val="28"/>
        <w:szCs w:val="28"/>
      </w:rPr>
    </w:pPr>
    <w:r>
      <w:rPr>
        <w:rStyle w:val="22"/>
        <w:sz w:val="28"/>
        <w:szCs w:val="28"/>
      </w:rPr>
      <w:fldChar w:fldCharType="begin"/>
    </w:r>
    <w:r>
      <w:rPr>
        <w:rStyle w:val="22"/>
        <w:sz w:val="28"/>
        <w:szCs w:val="28"/>
      </w:rPr>
      <w:instrText xml:space="preserve">PAGE  </w:instrText>
    </w:r>
    <w:r>
      <w:rPr>
        <w:rStyle w:val="22"/>
        <w:sz w:val="28"/>
        <w:szCs w:val="28"/>
      </w:rPr>
      <w:fldChar w:fldCharType="separate"/>
    </w:r>
    <w:r>
      <w:rPr>
        <w:rStyle w:val="22"/>
        <w:sz w:val="28"/>
        <w:szCs w:val="28"/>
      </w:rPr>
      <w:t>- 1 -</w:t>
    </w:r>
    <w:r>
      <w:rPr>
        <w:rStyle w:val="22"/>
        <w:sz w:val="28"/>
        <w:szCs w:val="28"/>
      </w:rPr>
      <w:fldChar w:fldCharType="end"/>
    </w:r>
  </w:p>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2"/>
        <w:sz w:val="28"/>
        <w:szCs w:val="28"/>
      </w:rPr>
    </w:pPr>
    <w:r>
      <w:rPr>
        <w:rStyle w:val="22"/>
        <w:sz w:val="28"/>
        <w:szCs w:val="28"/>
      </w:rPr>
      <w:fldChar w:fldCharType="begin"/>
    </w:r>
    <w:r>
      <w:rPr>
        <w:rStyle w:val="22"/>
        <w:sz w:val="28"/>
        <w:szCs w:val="28"/>
      </w:rPr>
      <w:instrText xml:space="preserve">PAGE  </w:instrText>
    </w:r>
    <w:r>
      <w:rPr>
        <w:rStyle w:val="22"/>
        <w:sz w:val="28"/>
        <w:szCs w:val="28"/>
      </w:rPr>
      <w:fldChar w:fldCharType="separate"/>
    </w:r>
    <w:r>
      <w:rPr>
        <w:rStyle w:val="22"/>
        <w:sz w:val="28"/>
        <w:szCs w:val="28"/>
      </w:rPr>
      <w:t>- 22 -</w:t>
    </w:r>
    <w:r>
      <w:rPr>
        <w:rStyle w:val="22"/>
        <w:sz w:val="28"/>
        <w:szCs w:val="28"/>
      </w:rPr>
      <w:fldChar w:fldCharType="end"/>
    </w:r>
  </w:p>
  <w:p>
    <w:pPr>
      <w:pStyle w:val="12"/>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256C2B"/>
    <w:multiLevelType w:val="multilevel"/>
    <w:tmpl w:val="0A256C2B"/>
    <w:lvl w:ilvl="0" w:tentative="0">
      <w:start w:val="1"/>
      <w:numFmt w:val="decimal"/>
      <w:suff w:val="nothing"/>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132368B0"/>
    <w:multiLevelType w:val="multilevel"/>
    <w:tmpl w:val="132368B0"/>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D01036F"/>
    <w:multiLevelType w:val="multilevel"/>
    <w:tmpl w:val="3D01036F"/>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BE62CFC"/>
    <w:multiLevelType w:val="multilevel"/>
    <w:tmpl w:val="6BE62CFC"/>
    <w:lvl w:ilvl="0" w:tentative="0">
      <w:start w:val="1"/>
      <w:numFmt w:val="decimal"/>
      <w:pStyle w:val="2"/>
      <w:suff w:val="space"/>
      <w:lvlText w:val="%1"/>
      <w:lvlJc w:val="left"/>
      <w:pPr>
        <w:ind w:left="425" w:hanging="425"/>
      </w:pPr>
      <w:rPr>
        <w:rFonts w:hint="eastAsia"/>
      </w:rPr>
    </w:lvl>
    <w:lvl w:ilvl="1" w:tentative="0">
      <w:start w:val="1"/>
      <w:numFmt w:val="decimal"/>
      <w:pStyle w:val="3"/>
      <w:suff w:val="space"/>
      <w:lvlText w:val="%1.%2"/>
      <w:lvlJc w:val="left"/>
      <w:pPr>
        <w:ind w:left="0" w:firstLine="0"/>
      </w:pPr>
      <w:rPr>
        <w:rFonts w:hint="eastAsia"/>
      </w:rPr>
    </w:lvl>
    <w:lvl w:ilvl="2" w:tentative="0">
      <w:start w:val="1"/>
      <w:numFmt w:val="decimal"/>
      <w:pStyle w:val="4"/>
      <w:suff w:val="space"/>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7C5E7356"/>
    <w:multiLevelType w:val="multilevel"/>
    <w:tmpl w:val="7C5E7356"/>
    <w:lvl w:ilvl="0" w:tentative="0">
      <w:start w:val="1"/>
      <w:numFmt w:val="decimal"/>
      <w:suff w:val="space"/>
      <w:lvlText w:val="（%1）"/>
      <w:lvlJc w:val="left"/>
      <w:pPr>
        <w:ind w:left="980" w:hanging="420"/>
      </w:pPr>
      <w:rPr>
        <w:rFonts w:hint="eastAsia"/>
        <w:lang w:val="en-US"/>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zM2Y1OTFlN2IzYjhiNDJmZjQyNGJhMTAxZjc4MDUifQ=="/>
  </w:docVars>
  <w:rsids>
    <w:rsidRoot w:val="0052370B"/>
    <w:rsid w:val="000022A7"/>
    <w:rsid w:val="0000342E"/>
    <w:rsid w:val="00005A43"/>
    <w:rsid w:val="0001283C"/>
    <w:rsid w:val="00021BED"/>
    <w:rsid w:val="00023A01"/>
    <w:rsid w:val="00024B0D"/>
    <w:rsid w:val="000277AD"/>
    <w:rsid w:val="000305D9"/>
    <w:rsid w:val="00032A35"/>
    <w:rsid w:val="00040F6C"/>
    <w:rsid w:val="000509D2"/>
    <w:rsid w:val="000552CF"/>
    <w:rsid w:val="000566E2"/>
    <w:rsid w:val="00061AA9"/>
    <w:rsid w:val="00067748"/>
    <w:rsid w:val="000734FC"/>
    <w:rsid w:val="00073AC5"/>
    <w:rsid w:val="000771C2"/>
    <w:rsid w:val="0008244D"/>
    <w:rsid w:val="000833BF"/>
    <w:rsid w:val="00087F29"/>
    <w:rsid w:val="000906CD"/>
    <w:rsid w:val="0009097B"/>
    <w:rsid w:val="00095069"/>
    <w:rsid w:val="000A5F2C"/>
    <w:rsid w:val="000A7C9F"/>
    <w:rsid w:val="000B09B5"/>
    <w:rsid w:val="000B2D30"/>
    <w:rsid w:val="000B37F1"/>
    <w:rsid w:val="000B6ADA"/>
    <w:rsid w:val="000B7A66"/>
    <w:rsid w:val="000C0040"/>
    <w:rsid w:val="000C49D3"/>
    <w:rsid w:val="000C618E"/>
    <w:rsid w:val="000D502A"/>
    <w:rsid w:val="000D7528"/>
    <w:rsid w:val="000E25CF"/>
    <w:rsid w:val="000E27F5"/>
    <w:rsid w:val="000E3891"/>
    <w:rsid w:val="000F3A3D"/>
    <w:rsid w:val="000F41FE"/>
    <w:rsid w:val="000F649E"/>
    <w:rsid w:val="001002CC"/>
    <w:rsid w:val="0011137B"/>
    <w:rsid w:val="00113836"/>
    <w:rsid w:val="00113C22"/>
    <w:rsid w:val="0011421B"/>
    <w:rsid w:val="00120410"/>
    <w:rsid w:val="00121296"/>
    <w:rsid w:val="0012277B"/>
    <w:rsid w:val="001248F6"/>
    <w:rsid w:val="001278D5"/>
    <w:rsid w:val="00130D56"/>
    <w:rsid w:val="00132A91"/>
    <w:rsid w:val="00132AFF"/>
    <w:rsid w:val="00133736"/>
    <w:rsid w:val="00136E1D"/>
    <w:rsid w:val="00140BD9"/>
    <w:rsid w:val="001416C5"/>
    <w:rsid w:val="001425E7"/>
    <w:rsid w:val="001442CC"/>
    <w:rsid w:val="00147E41"/>
    <w:rsid w:val="00150459"/>
    <w:rsid w:val="00150A85"/>
    <w:rsid w:val="00153E68"/>
    <w:rsid w:val="00157706"/>
    <w:rsid w:val="001608BA"/>
    <w:rsid w:val="00162559"/>
    <w:rsid w:val="00166D56"/>
    <w:rsid w:val="001671A4"/>
    <w:rsid w:val="0017070D"/>
    <w:rsid w:val="00176E37"/>
    <w:rsid w:val="001772EC"/>
    <w:rsid w:val="001814D5"/>
    <w:rsid w:val="00182EF9"/>
    <w:rsid w:val="00187D14"/>
    <w:rsid w:val="00191753"/>
    <w:rsid w:val="00192A40"/>
    <w:rsid w:val="001A0A06"/>
    <w:rsid w:val="001A647D"/>
    <w:rsid w:val="001A6AB3"/>
    <w:rsid w:val="001B3B7B"/>
    <w:rsid w:val="001C03ED"/>
    <w:rsid w:val="001C1BC4"/>
    <w:rsid w:val="001C4883"/>
    <w:rsid w:val="001C712A"/>
    <w:rsid w:val="001C7EFD"/>
    <w:rsid w:val="001D21B7"/>
    <w:rsid w:val="001E79AA"/>
    <w:rsid w:val="001F0625"/>
    <w:rsid w:val="0020438A"/>
    <w:rsid w:val="0021288C"/>
    <w:rsid w:val="0021693A"/>
    <w:rsid w:val="0022298E"/>
    <w:rsid w:val="002248C7"/>
    <w:rsid w:val="00225473"/>
    <w:rsid w:val="00230163"/>
    <w:rsid w:val="00232497"/>
    <w:rsid w:val="00234296"/>
    <w:rsid w:val="002400A3"/>
    <w:rsid w:val="002427A9"/>
    <w:rsid w:val="00245689"/>
    <w:rsid w:val="00250644"/>
    <w:rsid w:val="00254FBE"/>
    <w:rsid w:val="002645C5"/>
    <w:rsid w:val="00265B29"/>
    <w:rsid w:val="002669E5"/>
    <w:rsid w:val="00272F46"/>
    <w:rsid w:val="002775CC"/>
    <w:rsid w:val="00277ADF"/>
    <w:rsid w:val="00280507"/>
    <w:rsid w:val="00282AED"/>
    <w:rsid w:val="00287090"/>
    <w:rsid w:val="002958DF"/>
    <w:rsid w:val="002A0A68"/>
    <w:rsid w:val="002B6FF8"/>
    <w:rsid w:val="002C5E2C"/>
    <w:rsid w:val="002C5FBF"/>
    <w:rsid w:val="002C6BC5"/>
    <w:rsid w:val="002D0BA5"/>
    <w:rsid w:val="002D123A"/>
    <w:rsid w:val="002D1DBB"/>
    <w:rsid w:val="002D7A66"/>
    <w:rsid w:val="002E65A5"/>
    <w:rsid w:val="002F20FD"/>
    <w:rsid w:val="002F2498"/>
    <w:rsid w:val="002F27D8"/>
    <w:rsid w:val="002F3F0A"/>
    <w:rsid w:val="002F68C4"/>
    <w:rsid w:val="002F6D0B"/>
    <w:rsid w:val="002F7A45"/>
    <w:rsid w:val="00301495"/>
    <w:rsid w:val="00302E36"/>
    <w:rsid w:val="00310DEA"/>
    <w:rsid w:val="0032720D"/>
    <w:rsid w:val="003275D1"/>
    <w:rsid w:val="003308D8"/>
    <w:rsid w:val="00332F05"/>
    <w:rsid w:val="00335D5D"/>
    <w:rsid w:val="003371FD"/>
    <w:rsid w:val="00337831"/>
    <w:rsid w:val="00337FF0"/>
    <w:rsid w:val="00340915"/>
    <w:rsid w:val="00361549"/>
    <w:rsid w:val="00364C29"/>
    <w:rsid w:val="00365450"/>
    <w:rsid w:val="003809F5"/>
    <w:rsid w:val="00382B1B"/>
    <w:rsid w:val="0038678A"/>
    <w:rsid w:val="003920EF"/>
    <w:rsid w:val="00392D18"/>
    <w:rsid w:val="0039699C"/>
    <w:rsid w:val="00396C7C"/>
    <w:rsid w:val="003A3CAB"/>
    <w:rsid w:val="003A4ADA"/>
    <w:rsid w:val="003A6505"/>
    <w:rsid w:val="003B2D38"/>
    <w:rsid w:val="003C314D"/>
    <w:rsid w:val="003C449D"/>
    <w:rsid w:val="003C64A3"/>
    <w:rsid w:val="003D3348"/>
    <w:rsid w:val="003D3E26"/>
    <w:rsid w:val="003D52FA"/>
    <w:rsid w:val="003E4AD0"/>
    <w:rsid w:val="003E7C0C"/>
    <w:rsid w:val="003F0702"/>
    <w:rsid w:val="003F27C1"/>
    <w:rsid w:val="003F7D40"/>
    <w:rsid w:val="00410C3D"/>
    <w:rsid w:val="004243BF"/>
    <w:rsid w:val="00424811"/>
    <w:rsid w:val="004277D7"/>
    <w:rsid w:val="004307C0"/>
    <w:rsid w:val="004326C2"/>
    <w:rsid w:val="00435043"/>
    <w:rsid w:val="0043794C"/>
    <w:rsid w:val="00441379"/>
    <w:rsid w:val="0044232D"/>
    <w:rsid w:val="00442998"/>
    <w:rsid w:val="00447076"/>
    <w:rsid w:val="00450918"/>
    <w:rsid w:val="004512BF"/>
    <w:rsid w:val="004535E7"/>
    <w:rsid w:val="0045502E"/>
    <w:rsid w:val="004604AE"/>
    <w:rsid w:val="00461527"/>
    <w:rsid w:val="004749F1"/>
    <w:rsid w:val="00477F0F"/>
    <w:rsid w:val="00490C85"/>
    <w:rsid w:val="004910A5"/>
    <w:rsid w:val="004974B6"/>
    <w:rsid w:val="004A15A7"/>
    <w:rsid w:val="004A23C0"/>
    <w:rsid w:val="004B0A08"/>
    <w:rsid w:val="004B3CEA"/>
    <w:rsid w:val="004C0D43"/>
    <w:rsid w:val="004C328C"/>
    <w:rsid w:val="004C3F04"/>
    <w:rsid w:val="004C5E22"/>
    <w:rsid w:val="004C6D7E"/>
    <w:rsid w:val="004D0E09"/>
    <w:rsid w:val="004D3D68"/>
    <w:rsid w:val="004D54AD"/>
    <w:rsid w:val="004E3122"/>
    <w:rsid w:val="004E3742"/>
    <w:rsid w:val="004F2080"/>
    <w:rsid w:val="004F3C14"/>
    <w:rsid w:val="0051155C"/>
    <w:rsid w:val="00515B04"/>
    <w:rsid w:val="00521005"/>
    <w:rsid w:val="0052370B"/>
    <w:rsid w:val="0053249F"/>
    <w:rsid w:val="00532F2E"/>
    <w:rsid w:val="0053351F"/>
    <w:rsid w:val="00534D6F"/>
    <w:rsid w:val="00540280"/>
    <w:rsid w:val="00544A9A"/>
    <w:rsid w:val="0055273E"/>
    <w:rsid w:val="00572974"/>
    <w:rsid w:val="00577E4C"/>
    <w:rsid w:val="00580F40"/>
    <w:rsid w:val="00583942"/>
    <w:rsid w:val="0058685F"/>
    <w:rsid w:val="0058697E"/>
    <w:rsid w:val="00594083"/>
    <w:rsid w:val="005A53EA"/>
    <w:rsid w:val="005B491D"/>
    <w:rsid w:val="005B5E53"/>
    <w:rsid w:val="005B6121"/>
    <w:rsid w:val="005B779F"/>
    <w:rsid w:val="005C1921"/>
    <w:rsid w:val="005C272D"/>
    <w:rsid w:val="005C3568"/>
    <w:rsid w:val="005C7EB5"/>
    <w:rsid w:val="005D72DD"/>
    <w:rsid w:val="005E053E"/>
    <w:rsid w:val="005E0D93"/>
    <w:rsid w:val="005E0E19"/>
    <w:rsid w:val="005F4E21"/>
    <w:rsid w:val="005F7ECD"/>
    <w:rsid w:val="00601789"/>
    <w:rsid w:val="00602E42"/>
    <w:rsid w:val="00602F54"/>
    <w:rsid w:val="00607F82"/>
    <w:rsid w:val="0061454A"/>
    <w:rsid w:val="006149B0"/>
    <w:rsid w:val="00616481"/>
    <w:rsid w:val="006178D2"/>
    <w:rsid w:val="006263ED"/>
    <w:rsid w:val="0062722C"/>
    <w:rsid w:val="00627936"/>
    <w:rsid w:val="00637C76"/>
    <w:rsid w:val="00641CD5"/>
    <w:rsid w:val="00646843"/>
    <w:rsid w:val="00660397"/>
    <w:rsid w:val="00661B6A"/>
    <w:rsid w:val="006677AF"/>
    <w:rsid w:val="0067240B"/>
    <w:rsid w:val="00672C41"/>
    <w:rsid w:val="00675456"/>
    <w:rsid w:val="006811B6"/>
    <w:rsid w:val="0069352D"/>
    <w:rsid w:val="006A3372"/>
    <w:rsid w:val="006A6A63"/>
    <w:rsid w:val="006C3BFC"/>
    <w:rsid w:val="006C3D36"/>
    <w:rsid w:val="006C48EF"/>
    <w:rsid w:val="006C54BF"/>
    <w:rsid w:val="006C64BA"/>
    <w:rsid w:val="006D0239"/>
    <w:rsid w:val="006D38A6"/>
    <w:rsid w:val="006D3910"/>
    <w:rsid w:val="006D5D71"/>
    <w:rsid w:val="006D780B"/>
    <w:rsid w:val="006D7975"/>
    <w:rsid w:val="006E0FB8"/>
    <w:rsid w:val="006E3223"/>
    <w:rsid w:val="006E434E"/>
    <w:rsid w:val="006F0572"/>
    <w:rsid w:val="006F456A"/>
    <w:rsid w:val="00702A7B"/>
    <w:rsid w:val="007066DF"/>
    <w:rsid w:val="007143E0"/>
    <w:rsid w:val="0071582F"/>
    <w:rsid w:val="00723AFC"/>
    <w:rsid w:val="0072488E"/>
    <w:rsid w:val="00725536"/>
    <w:rsid w:val="00725E4E"/>
    <w:rsid w:val="00735141"/>
    <w:rsid w:val="007377EB"/>
    <w:rsid w:val="007431B2"/>
    <w:rsid w:val="007447FC"/>
    <w:rsid w:val="00747F4F"/>
    <w:rsid w:val="007506DC"/>
    <w:rsid w:val="0075118E"/>
    <w:rsid w:val="00756FE1"/>
    <w:rsid w:val="00757583"/>
    <w:rsid w:val="00762D49"/>
    <w:rsid w:val="00765293"/>
    <w:rsid w:val="00766EB9"/>
    <w:rsid w:val="00771256"/>
    <w:rsid w:val="00780335"/>
    <w:rsid w:val="00781660"/>
    <w:rsid w:val="007818BC"/>
    <w:rsid w:val="00782AB3"/>
    <w:rsid w:val="00784C97"/>
    <w:rsid w:val="00784EFF"/>
    <w:rsid w:val="00785F43"/>
    <w:rsid w:val="00795888"/>
    <w:rsid w:val="007A50BD"/>
    <w:rsid w:val="007B1439"/>
    <w:rsid w:val="007B457C"/>
    <w:rsid w:val="007B7B13"/>
    <w:rsid w:val="007C1E64"/>
    <w:rsid w:val="007C223F"/>
    <w:rsid w:val="007C5DCF"/>
    <w:rsid w:val="007C6A6F"/>
    <w:rsid w:val="007D25BE"/>
    <w:rsid w:val="007D477A"/>
    <w:rsid w:val="007D4D3B"/>
    <w:rsid w:val="007D71D2"/>
    <w:rsid w:val="007E4809"/>
    <w:rsid w:val="007E4AA3"/>
    <w:rsid w:val="007F0453"/>
    <w:rsid w:val="007F446F"/>
    <w:rsid w:val="0080230D"/>
    <w:rsid w:val="0080376C"/>
    <w:rsid w:val="00804AEC"/>
    <w:rsid w:val="00806FCB"/>
    <w:rsid w:val="008137D8"/>
    <w:rsid w:val="00813EA0"/>
    <w:rsid w:val="008154AB"/>
    <w:rsid w:val="0081650E"/>
    <w:rsid w:val="00820789"/>
    <w:rsid w:val="00833ADB"/>
    <w:rsid w:val="0084318E"/>
    <w:rsid w:val="00852571"/>
    <w:rsid w:val="0085511A"/>
    <w:rsid w:val="00857DAB"/>
    <w:rsid w:val="00862E39"/>
    <w:rsid w:val="008641EE"/>
    <w:rsid w:val="00865766"/>
    <w:rsid w:val="00866585"/>
    <w:rsid w:val="00872497"/>
    <w:rsid w:val="008725BA"/>
    <w:rsid w:val="00876681"/>
    <w:rsid w:val="008810BA"/>
    <w:rsid w:val="00881C37"/>
    <w:rsid w:val="00883484"/>
    <w:rsid w:val="00886B6C"/>
    <w:rsid w:val="00894705"/>
    <w:rsid w:val="008A753C"/>
    <w:rsid w:val="008A7BDD"/>
    <w:rsid w:val="008B37E4"/>
    <w:rsid w:val="008B76B9"/>
    <w:rsid w:val="008C06B3"/>
    <w:rsid w:val="008C2744"/>
    <w:rsid w:val="008C3F8D"/>
    <w:rsid w:val="008C4994"/>
    <w:rsid w:val="008D5E2A"/>
    <w:rsid w:val="008E2B92"/>
    <w:rsid w:val="008E3414"/>
    <w:rsid w:val="008F1103"/>
    <w:rsid w:val="008F50A8"/>
    <w:rsid w:val="008F7AB2"/>
    <w:rsid w:val="0090113C"/>
    <w:rsid w:val="00901485"/>
    <w:rsid w:val="00903EF9"/>
    <w:rsid w:val="00905216"/>
    <w:rsid w:val="00921658"/>
    <w:rsid w:val="00926025"/>
    <w:rsid w:val="009270A7"/>
    <w:rsid w:val="009276FD"/>
    <w:rsid w:val="00930316"/>
    <w:rsid w:val="00937F42"/>
    <w:rsid w:val="009455BF"/>
    <w:rsid w:val="00947483"/>
    <w:rsid w:val="00950FD8"/>
    <w:rsid w:val="00954E3B"/>
    <w:rsid w:val="00957876"/>
    <w:rsid w:val="009612AD"/>
    <w:rsid w:val="009713EB"/>
    <w:rsid w:val="00972761"/>
    <w:rsid w:val="00973BE1"/>
    <w:rsid w:val="0098191A"/>
    <w:rsid w:val="009848BF"/>
    <w:rsid w:val="0099395B"/>
    <w:rsid w:val="00994927"/>
    <w:rsid w:val="009A0BB8"/>
    <w:rsid w:val="009A0DF8"/>
    <w:rsid w:val="009A7338"/>
    <w:rsid w:val="009B1FDD"/>
    <w:rsid w:val="009B3787"/>
    <w:rsid w:val="009B6B07"/>
    <w:rsid w:val="009C1A99"/>
    <w:rsid w:val="009C1D86"/>
    <w:rsid w:val="009E1F79"/>
    <w:rsid w:val="009F4EF1"/>
    <w:rsid w:val="009F6874"/>
    <w:rsid w:val="00A013CC"/>
    <w:rsid w:val="00A02493"/>
    <w:rsid w:val="00A03DE9"/>
    <w:rsid w:val="00A0473B"/>
    <w:rsid w:val="00A2160F"/>
    <w:rsid w:val="00A241A0"/>
    <w:rsid w:val="00A25D4F"/>
    <w:rsid w:val="00A27849"/>
    <w:rsid w:val="00A31AF0"/>
    <w:rsid w:val="00A3520F"/>
    <w:rsid w:val="00A35AE7"/>
    <w:rsid w:val="00A41338"/>
    <w:rsid w:val="00A465AD"/>
    <w:rsid w:val="00A50FCF"/>
    <w:rsid w:val="00A54F95"/>
    <w:rsid w:val="00A63FC0"/>
    <w:rsid w:val="00A648B1"/>
    <w:rsid w:val="00A654ED"/>
    <w:rsid w:val="00A65CC8"/>
    <w:rsid w:val="00A72665"/>
    <w:rsid w:val="00A74D68"/>
    <w:rsid w:val="00A75180"/>
    <w:rsid w:val="00A77FDF"/>
    <w:rsid w:val="00A8152E"/>
    <w:rsid w:val="00A86459"/>
    <w:rsid w:val="00A8688D"/>
    <w:rsid w:val="00A91D69"/>
    <w:rsid w:val="00A92453"/>
    <w:rsid w:val="00A93C12"/>
    <w:rsid w:val="00A946EE"/>
    <w:rsid w:val="00AA0D30"/>
    <w:rsid w:val="00AA6EF4"/>
    <w:rsid w:val="00AB3EB2"/>
    <w:rsid w:val="00AB70C5"/>
    <w:rsid w:val="00AC0770"/>
    <w:rsid w:val="00AC4ED6"/>
    <w:rsid w:val="00AC5308"/>
    <w:rsid w:val="00AC56E4"/>
    <w:rsid w:val="00AD6DEA"/>
    <w:rsid w:val="00AD790A"/>
    <w:rsid w:val="00AE4A93"/>
    <w:rsid w:val="00AE6492"/>
    <w:rsid w:val="00AF358C"/>
    <w:rsid w:val="00AF4D80"/>
    <w:rsid w:val="00AF58BD"/>
    <w:rsid w:val="00AF6DCF"/>
    <w:rsid w:val="00AF725F"/>
    <w:rsid w:val="00B00301"/>
    <w:rsid w:val="00B0148E"/>
    <w:rsid w:val="00B07BFF"/>
    <w:rsid w:val="00B11702"/>
    <w:rsid w:val="00B13E69"/>
    <w:rsid w:val="00B17302"/>
    <w:rsid w:val="00B17832"/>
    <w:rsid w:val="00B26D71"/>
    <w:rsid w:val="00B41B85"/>
    <w:rsid w:val="00B46CDB"/>
    <w:rsid w:val="00B520CE"/>
    <w:rsid w:val="00B56E7E"/>
    <w:rsid w:val="00B62E19"/>
    <w:rsid w:val="00B67EEE"/>
    <w:rsid w:val="00B73A79"/>
    <w:rsid w:val="00B756DE"/>
    <w:rsid w:val="00B769F0"/>
    <w:rsid w:val="00B84912"/>
    <w:rsid w:val="00B86F93"/>
    <w:rsid w:val="00BA1C5E"/>
    <w:rsid w:val="00BA42F2"/>
    <w:rsid w:val="00BA7F4D"/>
    <w:rsid w:val="00BB2A5F"/>
    <w:rsid w:val="00BB4D62"/>
    <w:rsid w:val="00BB4F19"/>
    <w:rsid w:val="00BC27B9"/>
    <w:rsid w:val="00BC511F"/>
    <w:rsid w:val="00BC6A3C"/>
    <w:rsid w:val="00BD01FB"/>
    <w:rsid w:val="00BE0F26"/>
    <w:rsid w:val="00BE1D50"/>
    <w:rsid w:val="00BE2A6E"/>
    <w:rsid w:val="00BE5D94"/>
    <w:rsid w:val="00BF4C9A"/>
    <w:rsid w:val="00BF4D68"/>
    <w:rsid w:val="00C10590"/>
    <w:rsid w:val="00C20819"/>
    <w:rsid w:val="00C20E90"/>
    <w:rsid w:val="00C3524C"/>
    <w:rsid w:val="00C55440"/>
    <w:rsid w:val="00C6318F"/>
    <w:rsid w:val="00C66948"/>
    <w:rsid w:val="00C72F39"/>
    <w:rsid w:val="00C81408"/>
    <w:rsid w:val="00C9719C"/>
    <w:rsid w:val="00CA02B3"/>
    <w:rsid w:val="00CA0C14"/>
    <w:rsid w:val="00CA1809"/>
    <w:rsid w:val="00CB1EC6"/>
    <w:rsid w:val="00CB7BA3"/>
    <w:rsid w:val="00CC0F79"/>
    <w:rsid w:val="00CC6269"/>
    <w:rsid w:val="00CC73F5"/>
    <w:rsid w:val="00CD2B4C"/>
    <w:rsid w:val="00CD39A9"/>
    <w:rsid w:val="00CD5A6F"/>
    <w:rsid w:val="00CE382B"/>
    <w:rsid w:val="00CE5827"/>
    <w:rsid w:val="00CE621C"/>
    <w:rsid w:val="00CF07C6"/>
    <w:rsid w:val="00CF3822"/>
    <w:rsid w:val="00CF3AAD"/>
    <w:rsid w:val="00CF44B9"/>
    <w:rsid w:val="00CF56A1"/>
    <w:rsid w:val="00CF58CB"/>
    <w:rsid w:val="00CF6758"/>
    <w:rsid w:val="00D06BF8"/>
    <w:rsid w:val="00D159FB"/>
    <w:rsid w:val="00D20BA0"/>
    <w:rsid w:val="00D21E58"/>
    <w:rsid w:val="00D23885"/>
    <w:rsid w:val="00D30BDF"/>
    <w:rsid w:val="00D33519"/>
    <w:rsid w:val="00D47CBB"/>
    <w:rsid w:val="00D50270"/>
    <w:rsid w:val="00D50A38"/>
    <w:rsid w:val="00D542C2"/>
    <w:rsid w:val="00D610DE"/>
    <w:rsid w:val="00D62757"/>
    <w:rsid w:val="00D722E9"/>
    <w:rsid w:val="00D92750"/>
    <w:rsid w:val="00D947D2"/>
    <w:rsid w:val="00D97B12"/>
    <w:rsid w:val="00DA1234"/>
    <w:rsid w:val="00DA2612"/>
    <w:rsid w:val="00DA5CF7"/>
    <w:rsid w:val="00DA7446"/>
    <w:rsid w:val="00DB3BB2"/>
    <w:rsid w:val="00DB40D9"/>
    <w:rsid w:val="00DC3517"/>
    <w:rsid w:val="00DD3773"/>
    <w:rsid w:val="00DD39E8"/>
    <w:rsid w:val="00DF04CD"/>
    <w:rsid w:val="00DF522A"/>
    <w:rsid w:val="00DF686D"/>
    <w:rsid w:val="00E04D99"/>
    <w:rsid w:val="00E07253"/>
    <w:rsid w:val="00E12A15"/>
    <w:rsid w:val="00E140D5"/>
    <w:rsid w:val="00E14163"/>
    <w:rsid w:val="00E156ED"/>
    <w:rsid w:val="00E16279"/>
    <w:rsid w:val="00E277EE"/>
    <w:rsid w:val="00E3062C"/>
    <w:rsid w:val="00E35144"/>
    <w:rsid w:val="00E3638E"/>
    <w:rsid w:val="00E43764"/>
    <w:rsid w:val="00E473C8"/>
    <w:rsid w:val="00E475AD"/>
    <w:rsid w:val="00E5272C"/>
    <w:rsid w:val="00E5681B"/>
    <w:rsid w:val="00E5778F"/>
    <w:rsid w:val="00E578E0"/>
    <w:rsid w:val="00E61642"/>
    <w:rsid w:val="00E67394"/>
    <w:rsid w:val="00E74F06"/>
    <w:rsid w:val="00E74F1B"/>
    <w:rsid w:val="00E77215"/>
    <w:rsid w:val="00E80A4E"/>
    <w:rsid w:val="00E8298B"/>
    <w:rsid w:val="00E979CF"/>
    <w:rsid w:val="00EA2667"/>
    <w:rsid w:val="00EA6A71"/>
    <w:rsid w:val="00EB2589"/>
    <w:rsid w:val="00EC1EF5"/>
    <w:rsid w:val="00EC3D6E"/>
    <w:rsid w:val="00EC62CF"/>
    <w:rsid w:val="00EC659D"/>
    <w:rsid w:val="00ED065F"/>
    <w:rsid w:val="00ED25EA"/>
    <w:rsid w:val="00ED352B"/>
    <w:rsid w:val="00ED4646"/>
    <w:rsid w:val="00ED559D"/>
    <w:rsid w:val="00ED6005"/>
    <w:rsid w:val="00EE50BB"/>
    <w:rsid w:val="00EE5851"/>
    <w:rsid w:val="00EE721B"/>
    <w:rsid w:val="00EF11A9"/>
    <w:rsid w:val="00EF6572"/>
    <w:rsid w:val="00EF70E9"/>
    <w:rsid w:val="00F00CE0"/>
    <w:rsid w:val="00F05645"/>
    <w:rsid w:val="00F0635A"/>
    <w:rsid w:val="00F102E1"/>
    <w:rsid w:val="00F105CC"/>
    <w:rsid w:val="00F13D99"/>
    <w:rsid w:val="00F20538"/>
    <w:rsid w:val="00F22E8E"/>
    <w:rsid w:val="00F24A07"/>
    <w:rsid w:val="00F30DD9"/>
    <w:rsid w:val="00F31939"/>
    <w:rsid w:val="00F374B0"/>
    <w:rsid w:val="00F60FD7"/>
    <w:rsid w:val="00F61318"/>
    <w:rsid w:val="00F6741E"/>
    <w:rsid w:val="00F75F92"/>
    <w:rsid w:val="00F81BAF"/>
    <w:rsid w:val="00F8325E"/>
    <w:rsid w:val="00F865DF"/>
    <w:rsid w:val="00F87F49"/>
    <w:rsid w:val="00FA0161"/>
    <w:rsid w:val="00FA064A"/>
    <w:rsid w:val="00FA410F"/>
    <w:rsid w:val="00FB123C"/>
    <w:rsid w:val="00FB50AD"/>
    <w:rsid w:val="00FB7D3D"/>
    <w:rsid w:val="00FC2580"/>
    <w:rsid w:val="00FC5D0F"/>
    <w:rsid w:val="00FC6458"/>
    <w:rsid w:val="00FC6C2F"/>
    <w:rsid w:val="00FD098C"/>
    <w:rsid w:val="00FD11AC"/>
    <w:rsid w:val="00FD166D"/>
    <w:rsid w:val="00FD7079"/>
    <w:rsid w:val="00FE1E7A"/>
    <w:rsid w:val="00FE2306"/>
    <w:rsid w:val="00FF21D9"/>
    <w:rsid w:val="00FF7F2B"/>
    <w:rsid w:val="4BAA1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numPr>
        <w:ilvl w:val="0"/>
        <w:numId w:val="1"/>
      </w:numPr>
      <w:spacing w:before="80" w:after="80" w:line="480" w:lineRule="auto"/>
      <w:jc w:val="left"/>
      <w:outlineLvl w:val="0"/>
    </w:pPr>
    <w:rPr>
      <w:rFonts w:ascii="黑体" w:hAnsi="黑体" w:eastAsia="黑体"/>
      <w:b/>
      <w:bCs/>
      <w:kern w:val="44"/>
      <w:sz w:val="32"/>
      <w:szCs w:val="44"/>
    </w:rPr>
  </w:style>
  <w:style w:type="paragraph" w:styleId="3">
    <w:name w:val="heading 2"/>
    <w:basedOn w:val="1"/>
    <w:next w:val="1"/>
    <w:link w:val="26"/>
    <w:autoRedefine/>
    <w:qFormat/>
    <w:uiPriority w:val="9"/>
    <w:pPr>
      <w:keepNext/>
      <w:keepLines/>
      <w:numPr>
        <w:ilvl w:val="1"/>
        <w:numId w:val="1"/>
      </w:numPr>
      <w:spacing w:before="40" w:after="40" w:line="360" w:lineRule="auto"/>
      <w:jc w:val="left"/>
      <w:outlineLvl w:val="1"/>
    </w:pPr>
    <w:rPr>
      <w:rFonts w:ascii="仿宋_GB2312" w:hAnsi="仿宋_GB2312" w:eastAsia="仿宋_GB2312"/>
      <w:b/>
      <w:bCs/>
      <w:sz w:val="28"/>
      <w:szCs w:val="32"/>
    </w:rPr>
  </w:style>
  <w:style w:type="paragraph" w:styleId="4">
    <w:name w:val="heading 3"/>
    <w:basedOn w:val="1"/>
    <w:next w:val="1"/>
    <w:link w:val="27"/>
    <w:qFormat/>
    <w:uiPriority w:val="9"/>
    <w:pPr>
      <w:keepNext/>
      <w:keepLines/>
      <w:numPr>
        <w:ilvl w:val="2"/>
        <w:numId w:val="1"/>
      </w:numPr>
      <w:spacing w:line="360" w:lineRule="auto"/>
      <w:ind w:left="0" w:firstLine="200" w:firstLineChars="200"/>
      <w:jc w:val="left"/>
      <w:outlineLvl w:val="2"/>
    </w:pPr>
    <w:rPr>
      <w:rFonts w:ascii="仿宋_GB2312" w:hAnsi="仿宋_GB2312" w:eastAsia="仿宋_GB2312"/>
      <w:bCs/>
      <w:sz w:val="28"/>
      <w:szCs w:val="32"/>
    </w:rPr>
  </w:style>
  <w:style w:type="character" w:default="1" w:styleId="20">
    <w:name w:val="Default Paragraph Font"/>
    <w:autoRedefine/>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35"/>
    <w:autoRedefine/>
    <w:unhideWhenUsed/>
    <w:qFormat/>
    <w:uiPriority w:val="99"/>
    <w:pPr>
      <w:spacing w:line="360" w:lineRule="auto"/>
      <w:ind w:firstLine="200" w:firstLineChars="200"/>
    </w:pPr>
    <w:rPr>
      <w:rFonts w:ascii="宋体" w:hAnsiTheme="minorHAnsi" w:eastAsiaTheme="minorEastAsia" w:cstheme="minorBidi"/>
      <w:sz w:val="18"/>
      <w:szCs w:val="18"/>
    </w:rPr>
  </w:style>
  <w:style w:type="paragraph" w:styleId="6">
    <w:name w:val="annotation text"/>
    <w:basedOn w:val="1"/>
    <w:link w:val="33"/>
    <w:autoRedefine/>
    <w:unhideWhenUsed/>
    <w:qFormat/>
    <w:uiPriority w:val="99"/>
    <w:pPr>
      <w:spacing w:line="360" w:lineRule="auto"/>
      <w:ind w:firstLine="200" w:firstLineChars="200"/>
      <w:jc w:val="left"/>
    </w:pPr>
    <w:rPr>
      <w:rFonts w:eastAsia="仿宋_GB2312" w:asciiTheme="minorHAnsi" w:hAnsiTheme="minorHAnsi" w:cstheme="minorBidi"/>
      <w:sz w:val="24"/>
      <w:szCs w:val="22"/>
    </w:rPr>
  </w:style>
  <w:style w:type="paragraph" w:styleId="7">
    <w:name w:val="Body Text Indent"/>
    <w:basedOn w:val="1"/>
    <w:link w:val="44"/>
    <w:autoRedefine/>
    <w:unhideWhenUsed/>
    <w:qFormat/>
    <w:uiPriority w:val="99"/>
    <w:pPr>
      <w:spacing w:after="120" w:line="360" w:lineRule="auto"/>
      <w:ind w:left="420" w:leftChars="200" w:firstLine="200" w:firstLineChars="200"/>
    </w:pPr>
    <w:rPr>
      <w:rFonts w:ascii="仿宋_GB2312" w:hAnsi="仿宋_GB2312" w:eastAsia="仿宋_GB2312" w:cstheme="minorBidi"/>
      <w:sz w:val="24"/>
      <w:szCs w:val="22"/>
    </w:rPr>
  </w:style>
  <w:style w:type="paragraph" w:styleId="8">
    <w:name w:val="Plain Text"/>
    <w:basedOn w:val="1"/>
    <w:link w:val="46"/>
    <w:autoRedefine/>
    <w:unhideWhenUsed/>
    <w:qFormat/>
    <w:uiPriority w:val="99"/>
    <w:pPr>
      <w:spacing w:line="360" w:lineRule="auto"/>
      <w:ind w:firstLine="200" w:firstLineChars="200"/>
    </w:pPr>
    <w:rPr>
      <w:rFonts w:ascii="宋体" w:hAnsi="Courier New" w:cs="Courier New" w:eastAsiaTheme="minorEastAsia"/>
      <w:szCs w:val="21"/>
    </w:rPr>
  </w:style>
  <w:style w:type="paragraph" w:styleId="9">
    <w:name w:val="Date"/>
    <w:basedOn w:val="1"/>
    <w:next w:val="1"/>
    <w:link w:val="63"/>
    <w:autoRedefine/>
    <w:unhideWhenUsed/>
    <w:qFormat/>
    <w:uiPriority w:val="99"/>
    <w:pPr>
      <w:spacing w:line="360" w:lineRule="auto"/>
      <w:ind w:left="100" w:leftChars="2500" w:firstLine="200" w:firstLineChars="200"/>
    </w:pPr>
    <w:rPr>
      <w:rFonts w:ascii="仿宋_GB2312" w:hAnsi="仿宋_GB2312" w:eastAsia="仿宋_GB2312" w:cstheme="minorBidi"/>
      <w:sz w:val="24"/>
      <w:szCs w:val="22"/>
    </w:rPr>
  </w:style>
  <w:style w:type="paragraph" w:styleId="10">
    <w:name w:val="Body Text Indent 2"/>
    <w:basedOn w:val="1"/>
    <w:link w:val="28"/>
    <w:autoRedefine/>
    <w:qFormat/>
    <w:uiPriority w:val="0"/>
    <w:pPr>
      <w:spacing w:after="120" w:line="480" w:lineRule="auto"/>
      <w:ind w:left="420" w:leftChars="200"/>
    </w:pPr>
    <w:rPr>
      <w:sz w:val="32"/>
    </w:rPr>
  </w:style>
  <w:style w:type="paragraph" w:styleId="11">
    <w:name w:val="Balloon Text"/>
    <w:basedOn w:val="1"/>
    <w:link w:val="29"/>
    <w:qFormat/>
    <w:uiPriority w:val="99"/>
    <w:rPr>
      <w:sz w:val="18"/>
      <w:szCs w:val="18"/>
    </w:rPr>
  </w:style>
  <w:style w:type="paragraph" w:styleId="12">
    <w:name w:val="footer"/>
    <w:basedOn w:val="1"/>
    <w:link w:val="30"/>
    <w:qFormat/>
    <w:uiPriority w:val="99"/>
    <w:pPr>
      <w:tabs>
        <w:tab w:val="center" w:pos="4153"/>
        <w:tab w:val="right" w:pos="8306"/>
      </w:tabs>
      <w:snapToGrid w:val="0"/>
      <w:jc w:val="left"/>
    </w:pPr>
    <w:rPr>
      <w:sz w:val="18"/>
      <w:szCs w:val="18"/>
    </w:rPr>
  </w:style>
  <w:style w:type="paragraph" w:styleId="13">
    <w:name w:val="header"/>
    <w:basedOn w:val="1"/>
    <w:link w:val="31"/>
    <w:autoRedefine/>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unhideWhenUsed/>
    <w:qFormat/>
    <w:uiPriority w:val="39"/>
    <w:pPr>
      <w:tabs>
        <w:tab w:val="right" w:leader="dot" w:pos="8296"/>
      </w:tabs>
      <w:spacing w:line="360" w:lineRule="auto"/>
      <w:jc w:val="left"/>
    </w:pPr>
    <w:rPr>
      <w:rFonts w:ascii="黑体" w:hAnsi="黑体" w:eastAsia="黑体"/>
      <w:b/>
      <w:sz w:val="28"/>
      <w:szCs w:val="32"/>
    </w:rPr>
  </w:style>
  <w:style w:type="paragraph" w:styleId="15">
    <w:name w:val="toc 2"/>
    <w:basedOn w:val="1"/>
    <w:next w:val="1"/>
    <w:autoRedefine/>
    <w:unhideWhenUsed/>
    <w:qFormat/>
    <w:uiPriority w:val="39"/>
    <w:pPr>
      <w:tabs>
        <w:tab w:val="right" w:leader="dot" w:pos="8296"/>
      </w:tabs>
      <w:spacing w:line="360" w:lineRule="auto"/>
      <w:ind w:firstLine="200" w:firstLineChars="200"/>
    </w:pPr>
    <w:rPr>
      <w:rFonts w:ascii="仿宋_GB2312" w:hAnsi="仿宋_GB2312" w:eastAsia="仿宋_GB2312"/>
      <w:sz w:val="28"/>
      <w:szCs w:val="22"/>
    </w:rPr>
  </w:style>
  <w:style w:type="paragraph" w:styleId="16">
    <w:name w:val="Body Text 2"/>
    <w:basedOn w:val="1"/>
    <w:link w:val="42"/>
    <w:autoRedefine/>
    <w:uiPriority w:val="0"/>
    <w:pPr>
      <w:spacing w:after="120" w:line="480" w:lineRule="auto"/>
    </w:pPr>
    <w:rPr>
      <w:rFonts w:asciiTheme="minorHAnsi" w:hAnsiTheme="minorHAnsi" w:eastAsiaTheme="minorEastAsia" w:cstheme="minorBidi"/>
    </w:rPr>
  </w:style>
  <w:style w:type="paragraph" w:styleId="17">
    <w:name w:val="Title"/>
    <w:basedOn w:val="1"/>
    <w:next w:val="1"/>
    <w:link w:val="67"/>
    <w:autoRedefine/>
    <w:qFormat/>
    <w:uiPriority w:val="10"/>
    <w:pPr>
      <w:spacing w:before="240" w:after="60" w:line="360" w:lineRule="auto"/>
      <w:ind w:firstLine="200" w:firstLineChars="200"/>
      <w:jc w:val="center"/>
      <w:outlineLvl w:val="0"/>
    </w:pPr>
    <w:rPr>
      <w:rFonts w:ascii="Cambria" w:hAnsi="Cambria"/>
      <w:b/>
      <w:bCs/>
      <w:kern w:val="0"/>
      <w:sz w:val="32"/>
      <w:szCs w:val="32"/>
    </w:rPr>
  </w:style>
  <w:style w:type="paragraph" w:styleId="18">
    <w:name w:val="annotation subject"/>
    <w:basedOn w:val="6"/>
    <w:next w:val="6"/>
    <w:link w:val="37"/>
    <w:unhideWhenUsed/>
    <w:qFormat/>
    <w:uiPriority w:val="99"/>
    <w:rPr>
      <w:rFonts w:ascii="仿宋_GB2312" w:hAnsi="仿宋_GB2312"/>
      <w:b/>
      <w:bCs/>
    </w:rPr>
  </w:style>
  <w:style w:type="character" w:styleId="21">
    <w:name w:val="Strong"/>
    <w:autoRedefine/>
    <w:qFormat/>
    <w:uiPriority w:val="22"/>
    <w:rPr>
      <w:b/>
    </w:rPr>
  </w:style>
  <w:style w:type="character" w:styleId="22">
    <w:name w:val="page number"/>
    <w:basedOn w:val="20"/>
    <w:qFormat/>
    <w:uiPriority w:val="0"/>
  </w:style>
  <w:style w:type="character" w:styleId="23">
    <w:name w:val="Hyperlink"/>
    <w:autoRedefine/>
    <w:unhideWhenUsed/>
    <w:qFormat/>
    <w:uiPriority w:val="99"/>
    <w:rPr>
      <w:color w:val="0000FF"/>
      <w:u w:val="single"/>
    </w:rPr>
  </w:style>
  <w:style w:type="character" w:styleId="24">
    <w:name w:val="annotation reference"/>
    <w:autoRedefine/>
    <w:unhideWhenUsed/>
    <w:qFormat/>
    <w:uiPriority w:val="99"/>
    <w:rPr>
      <w:sz w:val="21"/>
      <w:szCs w:val="21"/>
    </w:rPr>
  </w:style>
  <w:style w:type="character" w:customStyle="1" w:styleId="25">
    <w:name w:val="标题 1 Char"/>
    <w:basedOn w:val="20"/>
    <w:link w:val="2"/>
    <w:autoRedefine/>
    <w:qFormat/>
    <w:uiPriority w:val="9"/>
    <w:rPr>
      <w:rFonts w:ascii="黑体" w:hAnsi="黑体" w:eastAsia="黑体" w:cs="Times New Roman"/>
      <w:b/>
      <w:bCs/>
      <w:kern w:val="44"/>
      <w:sz w:val="32"/>
      <w:szCs w:val="44"/>
    </w:rPr>
  </w:style>
  <w:style w:type="character" w:customStyle="1" w:styleId="26">
    <w:name w:val="标题 2 Char"/>
    <w:basedOn w:val="20"/>
    <w:link w:val="3"/>
    <w:qFormat/>
    <w:uiPriority w:val="9"/>
    <w:rPr>
      <w:rFonts w:ascii="仿宋_GB2312" w:hAnsi="仿宋_GB2312" w:eastAsia="仿宋_GB2312" w:cs="Times New Roman"/>
      <w:b/>
      <w:bCs/>
      <w:sz w:val="28"/>
      <w:szCs w:val="32"/>
    </w:rPr>
  </w:style>
  <w:style w:type="character" w:customStyle="1" w:styleId="27">
    <w:name w:val="标题 3 Char"/>
    <w:basedOn w:val="20"/>
    <w:link w:val="4"/>
    <w:qFormat/>
    <w:uiPriority w:val="9"/>
    <w:rPr>
      <w:rFonts w:ascii="仿宋_GB2312" w:hAnsi="仿宋_GB2312" w:eastAsia="仿宋_GB2312" w:cs="Times New Roman"/>
      <w:bCs/>
      <w:sz w:val="28"/>
      <w:szCs w:val="32"/>
    </w:rPr>
  </w:style>
  <w:style w:type="character" w:customStyle="1" w:styleId="28">
    <w:name w:val="正文文本缩进 2 Char"/>
    <w:basedOn w:val="20"/>
    <w:link w:val="10"/>
    <w:qFormat/>
    <w:uiPriority w:val="0"/>
    <w:rPr>
      <w:rFonts w:ascii="Times New Roman" w:hAnsi="Times New Roman" w:eastAsia="宋体" w:cs="Times New Roman"/>
      <w:sz w:val="32"/>
      <w:szCs w:val="24"/>
    </w:rPr>
  </w:style>
  <w:style w:type="character" w:customStyle="1" w:styleId="29">
    <w:name w:val="批注框文本 Char"/>
    <w:basedOn w:val="20"/>
    <w:link w:val="11"/>
    <w:autoRedefine/>
    <w:qFormat/>
    <w:uiPriority w:val="99"/>
    <w:rPr>
      <w:rFonts w:ascii="Times New Roman" w:hAnsi="Times New Roman" w:eastAsia="宋体" w:cs="Times New Roman"/>
      <w:sz w:val="18"/>
      <w:szCs w:val="18"/>
    </w:rPr>
  </w:style>
  <w:style w:type="character" w:customStyle="1" w:styleId="30">
    <w:name w:val="页脚 Char"/>
    <w:basedOn w:val="20"/>
    <w:link w:val="12"/>
    <w:autoRedefine/>
    <w:qFormat/>
    <w:uiPriority w:val="99"/>
    <w:rPr>
      <w:rFonts w:ascii="Times New Roman" w:hAnsi="Times New Roman" w:eastAsia="宋体" w:cs="Times New Roman"/>
      <w:sz w:val="18"/>
      <w:szCs w:val="18"/>
    </w:rPr>
  </w:style>
  <w:style w:type="character" w:customStyle="1" w:styleId="31">
    <w:name w:val="页眉 Char"/>
    <w:basedOn w:val="20"/>
    <w:link w:val="13"/>
    <w:autoRedefine/>
    <w:qFormat/>
    <w:uiPriority w:val="99"/>
    <w:rPr>
      <w:rFonts w:ascii="Times New Roman" w:hAnsi="Times New Roman" w:eastAsia="宋体" w:cs="Times New Roman"/>
      <w:sz w:val="18"/>
      <w:szCs w:val="18"/>
    </w:rPr>
  </w:style>
  <w:style w:type="character" w:customStyle="1" w:styleId="32">
    <w:name w:val="批注文字 Char"/>
    <w:link w:val="6"/>
    <w:autoRedefine/>
    <w:qFormat/>
    <w:uiPriority w:val="99"/>
    <w:rPr>
      <w:rFonts w:eastAsia="仿宋_GB2312"/>
      <w:sz w:val="24"/>
    </w:rPr>
  </w:style>
  <w:style w:type="character" w:customStyle="1" w:styleId="33">
    <w:name w:val="批注文字 Char1"/>
    <w:basedOn w:val="20"/>
    <w:link w:val="6"/>
    <w:autoRedefine/>
    <w:qFormat/>
    <w:uiPriority w:val="99"/>
    <w:rPr>
      <w:rFonts w:ascii="Times New Roman" w:hAnsi="Times New Roman" w:eastAsia="宋体" w:cs="Times New Roman"/>
      <w:szCs w:val="24"/>
    </w:rPr>
  </w:style>
  <w:style w:type="character" w:customStyle="1" w:styleId="34">
    <w:name w:val="文档结构图 Char"/>
    <w:link w:val="5"/>
    <w:autoRedefine/>
    <w:qFormat/>
    <w:uiPriority w:val="99"/>
    <w:rPr>
      <w:rFonts w:ascii="宋体"/>
      <w:sz w:val="18"/>
      <w:szCs w:val="18"/>
    </w:rPr>
  </w:style>
  <w:style w:type="character" w:customStyle="1" w:styleId="35">
    <w:name w:val="文档结构图 Char1"/>
    <w:basedOn w:val="20"/>
    <w:link w:val="5"/>
    <w:autoRedefine/>
    <w:qFormat/>
    <w:uiPriority w:val="99"/>
    <w:rPr>
      <w:rFonts w:ascii="宋体" w:hAnsi="Times New Roman" w:eastAsia="宋体" w:cs="Times New Roman"/>
      <w:sz w:val="18"/>
      <w:szCs w:val="18"/>
    </w:rPr>
  </w:style>
  <w:style w:type="character" w:customStyle="1" w:styleId="36">
    <w:name w:val="批注主题 Char"/>
    <w:link w:val="18"/>
    <w:autoRedefine/>
    <w:qFormat/>
    <w:uiPriority w:val="99"/>
    <w:rPr>
      <w:rFonts w:ascii="仿宋_GB2312" w:hAnsi="仿宋_GB2312" w:eastAsia="仿宋_GB2312"/>
      <w:b/>
      <w:bCs/>
      <w:sz w:val="24"/>
    </w:rPr>
  </w:style>
  <w:style w:type="character" w:customStyle="1" w:styleId="37">
    <w:name w:val="批注主题 Char1"/>
    <w:basedOn w:val="33"/>
    <w:link w:val="18"/>
    <w:autoRedefine/>
    <w:qFormat/>
    <w:uiPriority w:val="99"/>
    <w:rPr>
      <w:b/>
      <w:bCs/>
    </w:rPr>
  </w:style>
  <w:style w:type="character" w:customStyle="1" w:styleId="38">
    <w:name w:val="zw Char"/>
    <w:link w:val="39"/>
    <w:autoRedefine/>
    <w:qFormat/>
    <w:uiPriority w:val="0"/>
    <w:rPr>
      <w:rFonts w:ascii="Dotum" w:hAnsi="Dotum" w:eastAsia="仿宋_GB2312"/>
      <w:sz w:val="24"/>
    </w:rPr>
  </w:style>
  <w:style w:type="paragraph" w:customStyle="1" w:styleId="39">
    <w:name w:val="zw"/>
    <w:link w:val="38"/>
    <w:autoRedefine/>
    <w:qFormat/>
    <w:uiPriority w:val="0"/>
    <w:pPr>
      <w:spacing w:line="400" w:lineRule="exact"/>
      <w:jc w:val="both"/>
    </w:pPr>
    <w:rPr>
      <w:rFonts w:ascii="Dotum" w:hAnsi="Dotum" w:eastAsia="仿宋_GB2312" w:cstheme="minorBidi"/>
      <w:kern w:val="2"/>
      <w:sz w:val="24"/>
      <w:szCs w:val="22"/>
      <w:lang w:val="en-US" w:eastAsia="zh-CN" w:bidi="ar-SA"/>
    </w:rPr>
  </w:style>
  <w:style w:type="character" w:customStyle="1" w:styleId="40">
    <w:name w:val="正文文本 2 Char1"/>
    <w:autoRedefine/>
    <w:semiHidden/>
    <w:qFormat/>
    <w:uiPriority w:val="99"/>
    <w:rPr>
      <w:rFonts w:ascii="仿宋_GB2312" w:hAnsi="仿宋_GB2312" w:eastAsia="仿宋_GB2312"/>
      <w:sz w:val="24"/>
    </w:rPr>
  </w:style>
  <w:style w:type="character" w:customStyle="1" w:styleId="41">
    <w:name w:val="正文文本 2 Char"/>
    <w:link w:val="16"/>
    <w:autoRedefine/>
    <w:qFormat/>
    <w:uiPriority w:val="0"/>
    <w:rPr>
      <w:szCs w:val="24"/>
    </w:rPr>
  </w:style>
  <w:style w:type="character" w:customStyle="1" w:styleId="42">
    <w:name w:val="正文文本 2 Char2"/>
    <w:basedOn w:val="20"/>
    <w:link w:val="16"/>
    <w:autoRedefine/>
    <w:uiPriority w:val="99"/>
    <w:rPr>
      <w:rFonts w:ascii="Times New Roman" w:hAnsi="Times New Roman" w:eastAsia="宋体" w:cs="Times New Roman"/>
      <w:szCs w:val="24"/>
    </w:rPr>
  </w:style>
  <w:style w:type="character" w:customStyle="1" w:styleId="43">
    <w:name w:val="正文文本缩进 Char"/>
    <w:link w:val="7"/>
    <w:autoRedefine/>
    <w:qFormat/>
    <w:uiPriority w:val="99"/>
    <w:rPr>
      <w:rFonts w:ascii="仿宋_GB2312" w:hAnsi="仿宋_GB2312" w:eastAsia="仿宋_GB2312"/>
      <w:sz w:val="24"/>
    </w:rPr>
  </w:style>
  <w:style w:type="character" w:customStyle="1" w:styleId="44">
    <w:name w:val="正文文本缩进 Char1"/>
    <w:basedOn w:val="20"/>
    <w:link w:val="7"/>
    <w:autoRedefine/>
    <w:uiPriority w:val="99"/>
    <w:rPr>
      <w:rFonts w:ascii="Times New Roman" w:hAnsi="Times New Roman" w:eastAsia="宋体" w:cs="Times New Roman"/>
      <w:szCs w:val="24"/>
    </w:rPr>
  </w:style>
  <w:style w:type="character" w:customStyle="1" w:styleId="45">
    <w:name w:val="纯文本 Char"/>
    <w:link w:val="8"/>
    <w:autoRedefine/>
    <w:qFormat/>
    <w:uiPriority w:val="99"/>
    <w:rPr>
      <w:rFonts w:ascii="宋体" w:hAnsi="Courier New" w:cs="Courier New"/>
      <w:szCs w:val="21"/>
    </w:rPr>
  </w:style>
  <w:style w:type="character" w:customStyle="1" w:styleId="46">
    <w:name w:val="纯文本 Char1"/>
    <w:basedOn w:val="20"/>
    <w:link w:val="8"/>
    <w:autoRedefine/>
    <w:qFormat/>
    <w:uiPriority w:val="99"/>
    <w:rPr>
      <w:rFonts w:ascii="宋体" w:hAnsi="Courier New" w:eastAsia="宋体" w:cs="Courier New"/>
      <w:szCs w:val="21"/>
    </w:rPr>
  </w:style>
  <w:style w:type="character" w:customStyle="1" w:styleId="47">
    <w:name w:val="表格内容 Char"/>
    <w:link w:val="48"/>
    <w:qFormat/>
    <w:uiPriority w:val="0"/>
    <w:rPr>
      <w:rFonts w:ascii="Dotum" w:hAnsi="Dotum" w:eastAsia="仿宋_GB2312"/>
      <w:sz w:val="24"/>
    </w:rPr>
  </w:style>
  <w:style w:type="paragraph" w:customStyle="1" w:styleId="48">
    <w:name w:val="表格内容"/>
    <w:basedOn w:val="1"/>
    <w:link w:val="47"/>
    <w:autoRedefine/>
    <w:qFormat/>
    <w:uiPriority w:val="0"/>
    <w:pPr>
      <w:spacing w:line="360" w:lineRule="auto"/>
      <w:jc w:val="center"/>
    </w:pPr>
    <w:rPr>
      <w:rFonts w:ascii="Dotum" w:hAnsi="Dotum" w:eastAsia="仿宋_GB2312" w:cstheme="minorBidi"/>
      <w:sz w:val="24"/>
      <w:szCs w:val="22"/>
    </w:rPr>
  </w:style>
  <w:style w:type="character" w:customStyle="1" w:styleId="49">
    <w:name w:val="font01"/>
    <w:qFormat/>
    <w:uiPriority w:val="0"/>
    <w:rPr>
      <w:rFonts w:hint="eastAsia" w:ascii="黑体" w:hAnsi="宋体" w:eastAsia="黑体" w:cs="黑体"/>
      <w:color w:val="000000"/>
      <w:sz w:val="20"/>
      <w:szCs w:val="20"/>
      <w:u w:val="none"/>
      <w:vertAlign w:val="superscript"/>
    </w:rPr>
  </w:style>
  <w:style w:type="character" w:customStyle="1" w:styleId="50">
    <w:name w:val="样式 正文 仿宋小四 1.5倍行距 + 四号 首行缩进:  0.96 厘米 Char Char"/>
    <w:link w:val="51"/>
    <w:autoRedefine/>
    <w:qFormat/>
    <w:uiPriority w:val="0"/>
    <w:rPr>
      <w:rFonts w:ascii="Dotum" w:hAnsi="Dotum" w:eastAsia="仿宋_GB2312" w:cs="宋体"/>
      <w:sz w:val="28"/>
    </w:rPr>
  </w:style>
  <w:style w:type="paragraph" w:customStyle="1" w:styleId="51">
    <w:name w:val="样式 正文 仿宋小四 1.5倍行距 + 四号 首行缩进:  0.96 厘米"/>
    <w:basedOn w:val="52"/>
    <w:link w:val="50"/>
    <w:autoRedefine/>
    <w:qFormat/>
    <w:uiPriority w:val="0"/>
    <w:pPr>
      <w:ind w:firstLine="200"/>
    </w:pPr>
    <w:rPr>
      <w:rFonts w:cs="宋体"/>
      <w:kern w:val="2"/>
      <w:sz w:val="28"/>
      <w:szCs w:val="22"/>
      <w:lang w:val="en-US" w:eastAsia="zh-CN"/>
    </w:rPr>
  </w:style>
  <w:style w:type="paragraph" w:customStyle="1" w:styleId="52">
    <w:name w:val="正文 仿宋小四 1.5倍行距"/>
    <w:basedOn w:val="1"/>
    <w:link w:val="53"/>
    <w:autoRedefine/>
    <w:qFormat/>
    <w:uiPriority w:val="0"/>
    <w:pPr>
      <w:snapToGrid w:val="0"/>
      <w:spacing w:line="360" w:lineRule="auto"/>
      <w:ind w:firstLine="525" w:firstLineChars="200"/>
    </w:pPr>
    <w:rPr>
      <w:rFonts w:ascii="Dotum" w:hAnsi="Dotum" w:eastAsia="仿宋_GB2312"/>
      <w:kern w:val="0"/>
      <w:sz w:val="24"/>
    </w:rPr>
  </w:style>
  <w:style w:type="character" w:customStyle="1" w:styleId="53">
    <w:name w:val="正文 仿宋小四 1.5倍行距 Char"/>
    <w:link w:val="52"/>
    <w:autoRedefine/>
    <w:qFormat/>
    <w:uiPriority w:val="0"/>
    <w:rPr>
      <w:rFonts w:ascii="Dotum" w:hAnsi="Dotum" w:eastAsia="仿宋_GB2312" w:cs="Times New Roman"/>
      <w:kern w:val="0"/>
      <w:sz w:val="24"/>
      <w:szCs w:val="24"/>
    </w:rPr>
  </w:style>
  <w:style w:type="character" w:customStyle="1" w:styleId="54">
    <w:name w:val="0文成正文 Char Char Char"/>
    <w:link w:val="55"/>
    <w:autoRedefine/>
    <w:qFormat/>
    <w:uiPriority w:val="0"/>
    <w:rPr>
      <w:rFonts w:ascii="宋体" w:hAnsi="宋体" w:cs="宋体"/>
      <w:color w:val="000000"/>
      <w:sz w:val="24"/>
      <w:szCs w:val="24"/>
    </w:rPr>
  </w:style>
  <w:style w:type="paragraph" w:customStyle="1" w:styleId="55">
    <w:name w:val="0文成正文 Char Char"/>
    <w:basedOn w:val="8"/>
    <w:link w:val="54"/>
    <w:autoRedefine/>
    <w:qFormat/>
    <w:uiPriority w:val="0"/>
    <w:pPr>
      <w:jc w:val="left"/>
    </w:pPr>
    <w:rPr>
      <w:rFonts w:hAnsi="宋体" w:cs="宋体"/>
      <w:color w:val="000000"/>
      <w:sz w:val="24"/>
      <w:szCs w:val="24"/>
    </w:rPr>
  </w:style>
  <w:style w:type="character" w:customStyle="1" w:styleId="56">
    <w:name w:val="表格标题 Char"/>
    <w:link w:val="57"/>
    <w:autoRedefine/>
    <w:qFormat/>
    <w:uiPriority w:val="0"/>
    <w:rPr>
      <w:rFonts w:ascii="PMingLiU" w:hAnsi="PMingLiU" w:eastAsia="仿宋_GB2312"/>
      <w:b/>
      <w:bCs/>
      <w:sz w:val="24"/>
      <w:szCs w:val="24"/>
    </w:rPr>
  </w:style>
  <w:style w:type="paragraph" w:customStyle="1" w:styleId="57">
    <w:name w:val="表格标题"/>
    <w:basedOn w:val="7"/>
    <w:link w:val="56"/>
    <w:autoRedefine/>
    <w:qFormat/>
    <w:uiPriority w:val="0"/>
    <w:pPr>
      <w:spacing w:after="0"/>
      <w:ind w:left="0" w:leftChars="0" w:firstLine="0" w:firstLineChars="0"/>
      <w:jc w:val="center"/>
    </w:pPr>
    <w:rPr>
      <w:rFonts w:ascii="PMingLiU" w:hAnsi="PMingLiU"/>
      <w:b/>
      <w:bCs/>
      <w:szCs w:val="24"/>
    </w:rPr>
  </w:style>
  <w:style w:type="character" w:customStyle="1" w:styleId="58">
    <w:name w:val="页脚 Char1"/>
    <w:autoRedefine/>
    <w:semiHidden/>
    <w:qFormat/>
    <w:uiPriority w:val="99"/>
    <w:rPr>
      <w:rFonts w:ascii="仿宋_GB2312" w:hAnsi="仿宋_GB2312" w:eastAsia="仿宋_GB2312" w:cs="Times New Roman"/>
      <w:sz w:val="18"/>
      <w:szCs w:val="18"/>
    </w:rPr>
  </w:style>
  <w:style w:type="character" w:customStyle="1" w:styleId="59">
    <w:name w:val="批注框文本 Char1"/>
    <w:autoRedefine/>
    <w:semiHidden/>
    <w:qFormat/>
    <w:uiPriority w:val="99"/>
    <w:rPr>
      <w:rFonts w:ascii="仿宋_GB2312" w:hAnsi="仿宋_GB2312" w:eastAsia="仿宋_GB2312" w:cs="Times New Roman"/>
      <w:sz w:val="18"/>
      <w:szCs w:val="18"/>
    </w:rPr>
  </w:style>
  <w:style w:type="character" w:customStyle="1" w:styleId="60">
    <w:name w:val="页眉 Char1"/>
    <w:autoRedefine/>
    <w:semiHidden/>
    <w:qFormat/>
    <w:uiPriority w:val="99"/>
    <w:rPr>
      <w:rFonts w:ascii="仿宋_GB2312" w:hAnsi="仿宋_GB2312" w:eastAsia="仿宋_GB2312" w:cs="Times New Roman"/>
      <w:sz w:val="18"/>
      <w:szCs w:val="18"/>
    </w:rPr>
  </w:style>
  <w:style w:type="paragraph" w:customStyle="1" w:styleId="61">
    <w:name w:val="Revision"/>
    <w:autoRedefine/>
    <w:unhideWhenUsed/>
    <w:qFormat/>
    <w:uiPriority w:val="99"/>
    <w:pPr>
      <w:spacing w:line="240" w:lineRule="auto"/>
    </w:pPr>
    <w:rPr>
      <w:rFonts w:ascii="仿宋_GB2312" w:hAnsi="仿宋_GB2312" w:eastAsia="仿宋_GB2312" w:cs="Times New Roman"/>
      <w:kern w:val="2"/>
      <w:sz w:val="24"/>
      <w:szCs w:val="22"/>
      <w:lang w:val="en-US" w:eastAsia="zh-CN" w:bidi="ar-SA"/>
    </w:rPr>
  </w:style>
  <w:style w:type="character" w:customStyle="1" w:styleId="62">
    <w:name w:val="日期 Char"/>
    <w:link w:val="9"/>
    <w:autoRedefine/>
    <w:qFormat/>
    <w:uiPriority w:val="99"/>
    <w:rPr>
      <w:rFonts w:ascii="仿宋_GB2312" w:hAnsi="仿宋_GB2312" w:eastAsia="仿宋_GB2312"/>
      <w:sz w:val="24"/>
    </w:rPr>
  </w:style>
  <w:style w:type="character" w:customStyle="1" w:styleId="63">
    <w:name w:val="日期 Char1"/>
    <w:basedOn w:val="20"/>
    <w:link w:val="9"/>
    <w:autoRedefine/>
    <w:qFormat/>
    <w:uiPriority w:val="0"/>
    <w:rPr>
      <w:rFonts w:ascii="Times New Roman" w:hAnsi="Times New Roman" w:eastAsia="宋体" w:cs="Times New Roman"/>
      <w:szCs w:val="24"/>
    </w:rPr>
  </w:style>
  <w:style w:type="paragraph" w:customStyle="1" w:styleId="64">
    <w:name w:val="表格文字"/>
    <w:basedOn w:val="1"/>
    <w:autoRedefine/>
    <w:qFormat/>
    <w:uiPriority w:val="0"/>
    <w:pPr>
      <w:jc w:val="center"/>
    </w:pPr>
    <w:rPr>
      <w:rFonts w:ascii="仿宋_GB2312" w:hAnsi="仿宋_GB2312" w:eastAsia="仿宋_GB2312"/>
      <w:sz w:val="28"/>
      <w:szCs w:val="22"/>
    </w:rPr>
  </w:style>
  <w:style w:type="character" w:customStyle="1" w:styleId="65">
    <w:name w:val="正文 仿宋小四 1.5倍行距 Char Char"/>
    <w:autoRedefine/>
    <w:qFormat/>
    <w:uiPriority w:val="0"/>
    <w:rPr>
      <w:rFonts w:ascii="Dotum" w:hAnsi="Dotum" w:eastAsia="仿宋_GB2312"/>
      <w:sz w:val="24"/>
      <w:szCs w:val="24"/>
    </w:rPr>
  </w:style>
  <w:style w:type="character" w:customStyle="1" w:styleId="66">
    <w:name w:val="标题 Char"/>
    <w:basedOn w:val="20"/>
    <w:link w:val="17"/>
    <w:autoRedefine/>
    <w:qFormat/>
    <w:uiPriority w:val="10"/>
    <w:rPr>
      <w:rFonts w:eastAsia="宋体" w:asciiTheme="majorHAnsi" w:hAnsiTheme="majorHAnsi" w:cstheme="majorBidi"/>
      <w:b/>
      <w:bCs/>
      <w:sz w:val="32"/>
      <w:szCs w:val="32"/>
    </w:rPr>
  </w:style>
  <w:style w:type="character" w:customStyle="1" w:styleId="67">
    <w:name w:val="标题 字符"/>
    <w:link w:val="17"/>
    <w:autoRedefine/>
    <w:qFormat/>
    <w:uiPriority w:val="10"/>
    <w:rPr>
      <w:rFonts w:ascii="Cambria" w:hAnsi="Cambria" w:eastAsia="宋体" w:cs="Times New Roman"/>
      <w:b/>
      <w:bCs/>
      <w:kern w:val="0"/>
      <w:sz w:val="32"/>
      <w:szCs w:val="32"/>
    </w:rPr>
  </w:style>
  <w:style w:type="character" w:customStyle="1" w:styleId="68">
    <w:name w:val="页脚 字符"/>
    <w:autoRedefine/>
    <w:qFormat/>
    <w:uiPriority w:val="99"/>
  </w:style>
  <w:style w:type="paragraph" w:styleId="69">
    <w:name w:val="No Spacing"/>
    <w:autoRedefine/>
    <w:qFormat/>
    <w:uiPriority w:val="1"/>
    <w:pPr>
      <w:widowControl w:val="0"/>
      <w:spacing w:line="240" w:lineRule="auto"/>
      <w:jc w:val="both"/>
    </w:pPr>
    <w:rPr>
      <w:rFonts w:ascii="仿宋_GB2312" w:hAnsi="仿宋_GB2312" w:eastAsia="仿宋_GB2312"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3.emf"/><Relationship Id="rId11" Type="http://schemas.openxmlformats.org/officeDocument/2006/relationships/oleObject" Target="embeddings/oleObject2.bin"/><Relationship Id="rId10" Type="http://schemas.openxmlformats.org/officeDocument/2006/relationships/image" Target="media/image2.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26</Pages>
  <Words>2828</Words>
  <Characters>16124</Characters>
  <Lines>134</Lines>
  <Paragraphs>37</Paragraphs>
  <TotalTime>0</TotalTime>
  <ScaleCrop>false</ScaleCrop>
  <LinksUpToDate>false</LinksUpToDate>
  <CharactersWithSpaces>18915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2021-09-17T02:51:00Z</dcterms:created>
  <dc:creator>徐亚芬</dc:creator>
  <cp:lastModifiedBy>王妍</cp:lastModifiedBy>
  <dcterms:modified xsi:type="dcterms:W3CDTF">2024-04-22T07:30:44Z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67B13C94A3D84FE88CDCC3504D35DA61_13</vt:lpwstr>
  </property>
</Properties>
</file>