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ˎ̥" w:eastAsia="黑体" w:cs="宋体"/>
          <w:kern w:val="0"/>
          <w:sz w:val="32"/>
          <w:szCs w:val="32"/>
        </w:rPr>
      </w:pPr>
      <w:bookmarkStart w:id="0" w:name="_GoBack"/>
      <w:r>
        <w:rPr>
          <w:rFonts w:hint="eastAsia" w:ascii="黑体" w:hAnsi="ˎ̥" w:eastAsia="黑体" w:cs="宋体"/>
          <w:kern w:val="0"/>
          <w:sz w:val="32"/>
          <w:szCs w:val="32"/>
        </w:rPr>
        <w:t>附件4：</w:t>
      </w:r>
    </w:p>
    <w:p>
      <w:pPr>
        <w:spacing w:line="360" w:lineRule="auto"/>
        <w:jc w:val="center"/>
        <w:rPr>
          <w:rFonts w:hint="eastAsia" w:ascii="方正小标宋简体" w:eastAsia="方正小标宋简体"/>
          <w:b/>
          <w:sz w:val="36"/>
          <w:szCs w:val="36"/>
        </w:rPr>
      </w:pPr>
      <w:r>
        <w:rPr>
          <w:rFonts w:hint="eastAsia" w:ascii="方正小标宋简体" w:eastAsia="方正小标宋简体"/>
          <w:b/>
          <w:sz w:val="36"/>
          <w:szCs w:val="36"/>
        </w:rPr>
        <w:t>2015年武进区地方病防治工作方案</w:t>
      </w:r>
    </w:p>
    <w:bookmarkEnd w:id="0"/>
    <w:p>
      <w:pPr>
        <w:spacing w:line="360" w:lineRule="auto"/>
        <w:ind w:firstLine="643" w:firstLineChars="200"/>
        <w:rPr>
          <w:rFonts w:hint="eastAsia" w:ascii="仿宋_GB2312" w:eastAsia="仿宋_GB2312"/>
          <w:b/>
          <w:sz w:val="32"/>
          <w:szCs w:val="32"/>
        </w:rPr>
      </w:pPr>
    </w:p>
    <w:p>
      <w:pPr>
        <w:spacing w:line="360" w:lineRule="auto"/>
        <w:ind w:firstLine="640" w:firstLineChars="200"/>
        <w:rPr>
          <w:rFonts w:hint="eastAsia" w:ascii="黑体" w:eastAsia="黑体"/>
          <w:sz w:val="32"/>
          <w:szCs w:val="32"/>
        </w:rPr>
      </w:pPr>
      <w:r>
        <w:rPr>
          <w:rFonts w:hint="eastAsia" w:ascii="黑体" w:eastAsia="黑体"/>
          <w:sz w:val="32"/>
          <w:szCs w:val="32"/>
        </w:rPr>
        <w:t>一、地方病评估、评价的技术准备工作</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按照《全国地方病防治“十二五”规划终期考核评估方案》和《重点地方病控制和消除评价办法》相关要求，开展我区地方病防治“十二五”规划完成情况终期评估，同时调查我区重点地方病控制和消除的进度和现有防治状况。按照上述方案在规定时间内完成区级自查、市级复核等技术工作，做好省级抽查和国家级抽查各项准备工作。</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区级自查的盐样、尿样留样至2015年8月底。</w:t>
      </w:r>
    </w:p>
    <w:p>
      <w:pPr>
        <w:spacing w:line="360" w:lineRule="auto"/>
        <w:ind w:firstLine="640" w:firstLineChars="200"/>
        <w:rPr>
          <w:rFonts w:hint="eastAsia" w:ascii="黑体" w:eastAsia="黑体"/>
          <w:sz w:val="32"/>
          <w:szCs w:val="32"/>
        </w:rPr>
      </w:pPr>
      <w:r>
        <w:rPr>
          <w:rFonts w:hint="eastAsia" w:ascii="黑体" w:eastAsia="黑体"/>
          <w:sz w:val="32"/>
          <w:szCs w:val="32"/>
        </w:rPr>
        <w:t>二、居民户食用盐碘监测</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（一）采样方法</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在本区按东、西、南、北、中划分5个抽样片区，在每个片区各随机抽取1个镇，在每个被抽中的乡镇中，随机抽取4个行政村（居委会），在每个被抽中的行政村（居委会）中，再随机抽检15户居民家中食盐样品，结合重点地方病控制和消除评价中碘缺乏病区级自评工作进行（含学龄儿童和孕妇家庭户每镇各为40户和20户）。</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（二）盐碘检测方法</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在居民户采集食盐后，即在现场进行半定量检测，现场登记盐品种，若是海藻碘盐或是强化盐，应在采样表中予以标注（若在检测中发现有非碘盐，应查找并登记非碘盐的来源渠道，在采样表备注中予以说明）；随后将盐样送到实验室定量检测，按照GB/T13025.7-2012直接滴定法（川盐、海藻碘盐及其它强化食用盐采用同一国标的仲裁法）测定盐中碘含量。盐碘半定量检测要采用可检测海藻盐、强化盐的试剂，以免现场半定量测定产生假阴性结果。</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（三）居民户合格碘盐的判定标准</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2015年3月15日后，按新碘盐含量标准判定，盐碘含量平均水平为25mg/kg，范围18～33mg/kg。</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（四）监测时限</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各镇配合区疾控中心于3月30日前完成抽样工作，区疾控中心于4月30日前完成监测数据的录入和传送，并向常州市疾控中心和同级卫生行政部门报送监测分析报告。</w:t>
      </w:r>
    </w:p>
    <w:p>
      <w:pPr>
        <w:spacing w:line="360" w:lineRule="auto"/>
        <w:ind w:firstLine="640" w:firstLineChars="200"/>
        <w:rPr>
          <w:rFonts w:hint="eastAsia" w:ascii="黑体" w:eastAsia="黑体"/>
          <w:sz w:val="32"/>
          <w:szCs w:val="32"/>
        </w:rPr>
      </w:pPr>
      <w:r>
        <w:rPr>
          <w:rFonts w:hint="eastAsia" w:ascii="黑体" w:eastAsia="黑体"/>
          <w:sz w:val="32"/>
          <w:szCs w:val="32"/>
        </w:rPr>
        <w:t>三、碘盐零售层次食盐碘含量监测</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2015年9月开始，抽取辖区内有代表性的超市（食盐零售店）3-4个，各购买3份不同的食盐总共9份盐样（尽可能不同品种，新、旧标准的食盐均要抽，有旧标准食盐要抽保质期最长、生产日期最旧的盐，海藻碘盐、强化盐要予以注明），定量检测其食盐碘含量，每个单月监测一次，监测结果于次月5日前上报市疾控中心。</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合格碘盐的判定标准：2015年3月15日后，省级定点生产层次生产供应我省的碘盐、全省批发层次、零售层次和居民户层次其合格碘盐均以新碘盐含量标准判定，即盐碘含量平均水平为25mg/kg，范围18～33mg/kg。</w:t>
      </w:r>
    </w:p>
    <w:p>
      <w:pPr>
        <w:spacing w:line="360" w:lineRule="auto"/>
        <w:ind w:firstLine="640" w:firstLineChars="200"/>
        <w:rPr>
          <w:rFonts w:hint="eastAsia" w:ascii="黑体" w:eastAsia="黑体"/>
          <w:sz w:val="32"/>
          <w:szCs w:val="32"/>
        </w:rPr>
      </w:pPr>
      <w:r>
        <w:rPr>
          <w:rFonts w:hint="eastAsia" w:ascii="黑体" w:eastAsia="黑体"/>
          <w:sz w:val="32"/>
          <w:szCs w:val="32"/>
        </w:rPr>
        <w:t>四、人群碘营养监测及病情监测</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（一）区级监测工作</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1、监测范围</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结合《全国地方病防治“十二五”规划终期考核评估方案》和《重点地方病控制和消除评价办法》中碘缺乏病县级自评工作，开展人群碘营养监测及病情监测。在全区东、西、南、北、中5个方位各随机抽取1个镇开展调查。</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2、监测时限</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各镇配合区疾控中心于3月30日前完成抽样工作，区疾控中心于4月30日前将监测数据和报告上报常州市疾控中心。 </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3、监测方法和内容</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（1）居民户合格碘盐食用率。</w:t>
      </w:r>
      <w:r>
        <w:rPr>
          <w:rFonts w:hint="eastAsia" w:ascii="方正仿宋简体" w:eastAsia="方正仿宋简体"/>
          <w:sz w:val="32"/>
          <w:szCs w:val="32"/>
        </w:rPr>
        <w:t>同居民户食用盐碘监测，每镇各为学龄儿童40户和孕妇家庭20户，总计300份盐样。</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（2）8-10岁儿童尿碘水平和甲状腺肿大率。</w:t>
      </w:r>
      <w:r>
        <w:rPr>
          <w:rFonts w:hint="eastAsia" w:ascii="方正仿宋简体" w:eastAsia="方正仿宋简体"/>
          <w:sz w:val="32"/>
          <w:szCs w:val="32"/>
        </w:rPr>
        <w:t>在所抽取的每个镇各随机抽取1所村小学（无村小学时，抽取镇中心小学）；在所抽取小学中各随机抽检40名8-10周岁儿童（8、9、10岁分别12、14、14人，男、女各半）的尿样，同时采集家中食盐样品，定量检测尿中碘含量和家中食盐碘含量。并用触诊法检查儿童甲状腺肿大情况。计算儿童甲状腺肿大率、尿碘中位数和尿碘低于50</w:t>
      </w:r>
      <w:r>
        <w:rPr>
          <w:rFonts w:eastAsia="方正仿宋简体"/>
          <w:sz w:val="32"/>
          <w:szCs w:val="32"/>
        </w:rPr>
        <w:t>µ</w:t>
      </w:r>
      <w:r>
        <w:rPr>
          <w:rFonts w:hint="eastAsia" w:ascii="方正仿宋简体" w:eastAsia="方正仿宋简体"/>
          <w:sz w:val="32"/>
          <w:szCs w:val="32"/>
        </w:rPr>
        <w:t>g/L的比例。</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（3）孕妇尿碘水平及其家中盐碘含量。</w:t>
      </w:r>
      <w:r>
        <w:rPr>
          <w:rFonts w:hint="eastAsia" w:ascii="方正仿宋简体" w:eastAsia="方正仿宋简体"/>
          <w:sz w:val="32"/>
          <w:szCs w:val="32"/>
        </w:rPr>
        <w:t>在所抽取的每个镇各随机抽检20名孕妇的尿样，计算尿碘中位数。孕妇应避开腹部B超检测时采尿，以防止B超检测前大量饮水稀释尿液造成尿碘含量偏低。同时采集孕妇家中食盐样品，定量检测盐碘含量。</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（4）健康教育状况。</w:t>
      </w:r>
      <w:r>
        <w:rPr>
          <w:rFonts w:hint="eastAsia" w:ascii="方正仿宋简体" w:eastAsia="方正仿宋简体"/>
          <w:sz w:val="32"/>
          <w:szCs w:val="32"/>
        </w:rPr>
        <w:t>在所抽取的每个镇开展尿碘含量检测的孕妇中，各随机抽取10人进行问卷调查，了解孕妇健康教育知晓情况。</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（5）注意事项。</w:t>
      </w:r>
      <w:r>
        <w:rPr>
          <w:rFonts w:hint="eastAsia" w:ascii="方正仿宋简体" w:eastAsia="方正仿宋简体"/>
          <w:sz w:val="32"/>
          <w:szCs w:val="32"/>
        </w:rPr>
        <w:t>上述调查同一对象的盐碘、尿碘要求一一对应。孕妇调查镇需与学龄儿童调查的五个镇完全一致。</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（二）市级监测工作</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1、监测范围及内容</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在本区随机抽取2个镇，从每个镇随机抽取2个村（居委会），调查、检测以下指标。</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（1）居民户合格碘盐食用率。</w:t>
      </w:r>
      <w:r>
        <w:rPr>
          <w:rFonts w:hint="eastAsia" w:ascii="方正仿宋简体" w:eastAsia="方正仿宋简体"/>
          <w:sz w:val="32"/>
          <w:szCs w:val="32"/>
        </w:rPr>
        <w:t>每个镇各随机抽检学龄儿童50户和孕妇家庭20户，全区总计140份盐样。</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（2）8-10岁儿童尿碘水平和甲状腺肿大率。</w:t>
      </w:r>
      <w:r>
        <w:rPr>
          <w:rFonts w:hint="eastAsia" w:ascii="方正仿宋简体" w:eastAsia="方正仿宋简体"/>
          <w:sz w:val="32"/>
          <w:szCs w:val="32"/>
        </w:rPr>
        <w:t>在每个抽取村（居委会）的小学（无村小学时，抽取镇中心小学）各随机抽检25名8-10周岁儿童（男、女均衡）的尿样检测尿碘含量，即每个镇各随机抽检50名8-10周岁儿童（8、9、10岁分别16、16、18人，男女各半），同时采集家中食盐样品，定量检测尿中碘含量和家中食盐碘含量（2乡镇*每乡2村*25学生=100学生）。并用触诊或B超法检查甲状腺肿大情况，计算甲状腺肿大率、尿碘中位数和尿碘</w:t>
      </w:r>
    </w:p>
    <w:p>
      <w:pPr>
        <w:spacing w:line="360" w:lineRule="auto"/>
        <w:rPr>
          <w:rFonts w:hint="eastAsia" w:ascii="方正仿宋简体" w:eastAsia="方正仿宋简体"/>
          <w:sz w:val="32"/>
          <w:szCs w:val="32"/>
        </w:rPr>
      </w:pPr>
      <w:r>
        <w:rPr>
          <w:rFonts w:hint="eastAsia" w:ascii="方正仿宋简体" w:eastAsia="方正仿宋简体"/>
          <w:sz w:val="32"/>
          <w:szCs w:val="32"/>
        </w:rPr>
        <w:t>低于50</w:t>
      </w:r>
      <w:r>
        <w:rPr>
          <w:rFonts w:eastAsia="方正仿宋简体"/>
          <w:sz w:val="32"/>
          <w:szCs w:val="32"/>
        </w:rPr>
        <w:t>µ</w:t>
      </w:r>
      <w:r>
        <w:rPr>
          <w:rFonts w:hint="eastAsia" w:ascii="方正仿宋简体" w:eastAsia="方正仿宋简体"/>
          <w:sz w:val="32"/>
          <w:szCs w:val="32"/>
        </w:rPr>
        <w:t>g/L的比例。</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（3）孕妇尿碘水平及其家中盐碘含量。</w:t>
      </w:r>
      <w:r>
        <w:rPr>
          <w:rFonts w:hint="eastAsia" w:ascii="方正仿宋简体" w:eastAsia="方正仿宋简体"/>
          <w:sz w:val="32"/>
          <w:szCs w:val="32"/>
        </w:rPr>
        <w:t>在所抽取的每个镇各随机抽检20名孕妇的尿样（全区尿样40份），计算尿碘中位数。同时采集孕妇家中食盐样品，定量检测盐碘含量。</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（4）健康教育状况。</w:t>
      </w:r>
      <w:r>
        <w:rPr>
          <w:rFonts w:hint="eastAsia" w:ascii="方正仿宋简体" w:eastAsia="方正仿宋简体"/>
          <w:sz w:val="32"/>
          <w:szCs w:val="32"/>
        </w:rPr>
        <w:t>在所抽取的每个镇开展尿碘含量检测的孕妇中，各随机抽取10人进行问卷调查（全区20人），了解孕妇健康教育知晓情况。</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2、监测时限。</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抽检镇配合区疾控中心采样于4月30日前送至市级疾控中心。</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（三）数据报表</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各单位正确填写各类监测表并按要求上报。</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（四）检测方法及判定标准</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1、尿碘浓度。</w:t>
      </w:r>
      <w:r>
        <w:rPr>
          <w:rFonts w:hint="eastAsia" w:ascii="方正仿宋简体" w:eastAsia="方正仿宋简体"/>
          <w:sz w:val="32"/>
          <w:szCs w:val="32"/>
        </w:rPr>
        <w:t>采用砷铈催化分光光度测定法（WS/T 107-2006）。</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2、盐碘含量。</w:t>
      </w:r>
      <w:r>
        <w:rPr>
          <w:rFonts w:hint="eastAsia" w:ascii="方正仿宋简体" w:eastAsia="方正仿宋简体"/>
          <w:sz w:val="32"/>
          <w:szCs w:val="32"/>
        </w:rPr>
        <w:t>采用直接滴定法，川盐、海藻碘盐及其它强化食用盐采用仲裁法（GB/T13025.7-2012）。</w:t>
      </w:r>
    </w:p>
    <w:p>
      <w:pPr>
        <w:spacing w:line="360" w:lineRule="auto"/>
        <w:ind w:firstLine="643" w:firstLineChars="200"/>
        <w:rPr>
          <w:rFonts w:hint="eastAsia" w:ascii="方正仿宋简体" w:eastAsia="方正仿宋简体"/>
          <w:sz w:val="32"/>
          <w:szCs w:val="32"/>
        </w:rPr>
      </w:pPr>
      <w:r>
        <w:rPr>
          <w:rFonts w:hint="eastAsia" w:ascii="方正仿宋简体" w:eastAsia="方正仿宋简体"/>
          <w:b/>
          <w:sz w:val="32"/>
          <w:szCs w:val="32"/>
        </w:rPr>
        <w:t>3、甲状腺肿大情况。</w:t>
      </w:r>
      <w:r>
        <w:rPr>
          <w:rFonts w:hint="eastAsia" w:ascii="方正仿宋简体" w:eastAsia="方正仿宋简体"/>
          <w:sz w:val="32"/>
          <w:szCs w:val="32"/>
        </w:rPr>
        <w:t>采用触诊和/或B超法，按地方性甲状腺肿的诊断标准（WS 276-2007）判定。</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4、判定标准</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（1）8-10周岁儿童尿碘中位数大于或等于100</w:t>
      </w:r>
      <w:r>
        <w:rPr>
          <w:rFonts w:eastAsia="方正仿宋简体"/>
          <w:sz w:val="32"/>
          <w:szCs w:val="32"/>
        </w:rPr>
        <w:t>µ</w:t>
      </w:r>
      <w:r>
        <w:rPr>
          <w:rFonts w:hint="eastAsia" w:ascii="方正仿宋简体" w:eastAsia="方正仿宋简体"/>
          <w:sz w:val="32"/>
          <w:szCs w:val="32"/>
        </w:rPr>
        <w:t>g/L，且尿碘水平低于50</w:t>
      </w:r>
      <w:r>
        <w:rPr>
          <w:rFonts w:eastAsia="方正仿宋简体"/>
          <w:sz w:val="32"/>
          <w:szCs w:val="32"/>
        </w:rPr>
        <w:t>µ</w:t>
      </w:r>
      <w:r>
        <w:rPr>
          <w:rFonts w:hint="eastAsia" w:ascii="方正仿宋简体" w:eastAsia="方正仿宋简体"/>
          <w:sz w:val="32"/>
          <w:szCs w:val="32"/>
        </w:rPr>
        <w:t>g/L的比例不超过20%；孕妇尿碘中位数大于或等于150</w:t>
      </w:r>
      <w:r>
        <w:rPr>
          <w:rFonts w:eastAsia="方正仿宋简体"/>
          <w:sz w:val="32"/>
          <w:szCs w:val="32"/>
        </w:rPr>
        <w:t>µ</w:t>
      </w:r>
      <w:r>
        <w:rPr>
          <w:rFonts w:hint="eastAsia" w:ascii="方正仿宋简体" w:eastAsia="方正仿宋简体"/>
          <w:sz w:val="32"/>
          <w:szCs w:val="32"/>
        </w:rPr>
        <w:t>g/L。</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（2）8-10岁儿童甲状腺肿大率小于5%。</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（3）居民户合格碘盐食用率大于90%。</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（五）质量控制</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使用有密封盖的聚乙烯塑料瓶采集尿样。先用水和洗涤剂清洗，以除去灰尘、油垢，再用自来水冲洗干净，用10% HCL浸泡8小时，取出沥干，先用自来水漂洗干净，用蒸馏水充分荡洗三次，最后用去离子水冲洗干净。尿碘检测和试剂配置用水要求较高，必须采用去离子水。</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尿样和盐样分别由专人采集并分开存放，防止采样及运输过程中盐样对尿样的污染，绝不能用采集盐样的器具或手触摸尿样采集瓶（尤其是瓶口）。尿样采集后实验室应放在4°C冰箱保存，在1个月内检测完毕。盐样采集后在室温干燥避光处保存，不能放在冰箱里以防碘挥发和盐样潮解。</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检测实验室需通过中国疾控中心国家碘缺乏病参照实验室和江苏省疾控中心组织的尿碘、盐碘质控考核，不具备尿碘、盐碘检测能力的单位其检测任务由常州市疾控中心根据实际情况统筹安排。在实验检测过程中，推荐使用标准品加强实验室内部质量控制。尿碘值超过标准线性范围的应稀释后重新测定。</w:t>
      </w:r>
    </w:p>
    <w:p>
      <w:pPr>
        <w:spacing w:line="360" w:lineRule="auto"/>
        <w:ind w:firstLine="640" w:firstLineChars="200"/>
        <w:rPr>
          <w:rFonts w:hint="eastAsia" w:ascii="黑体" w:eastAsia="黑体"/>
          <w:sz w:val="32"/>
          <w:szCs w:val="32"/>
        </w:rPr>
      </w:pPr>
      <w:r>
        <w:rPr>
          <w:rFonts w:hint="eastAsia" w:ascii="黑体" w:eastAsia="黑体"/>
          <w:sz w:val="32"/>
          <w:szCs w:val="32"/>
        </w:rPr>
        <w:t>五、地方病防治健康教育</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积极开展5.15全国碘缺乏病宣传日活动、学校健康教育“五个一”专项宣传活动，以及孕妇、哺乳妇女等特需人群碘缺乏病防治专项宣传活动。各镇地方病宣传教育工作（包括5.15全国碘缺乏病宣传日活动）开展情况，宣传结束后及时通过振邦软件系统上报区疾控中心（9月30号前完成所有地方病健康教育上报工作）。区疾控中心于10月10日前汇总各辖乡镇面上地方病宣传教育工作，撰写工作报告，并上报市疾控中心。</w:t>
      </w:r>
    </w:p>
    <w:p>
      <w:pPr>
        <w:spacing w:line="360" w:lineRule="auto"/>
        <w:ind w:firstLine="640" w:firstLineChars="200"/>
        <w:rPr>
          <w:rFonts w:hint="eastAsia" w:ascii="黑体" w:eastAsia="黑体"/>
          <w:sz w:val="32"/>
          <w:szCs w:val="32"/>
        </w:rPr>
      </w:pPr>
      <w:r>
        <w:rPr>
          <w:rFonts w:hint="eastAsia" w:ascii="黑体" w:eastAsia="黑体"/>
          <w:sz w:val="32"/>
          <w:szCs w:val="32"/>
        </w:rPr>
        <w:t>六、地方病统计报表年度汇审</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结合当年工作情况，区疾控中心认真填报、审核地方病报表，以准确反映当年工作实绩，于2015年11月</w:t>
      </w:r>
      <w:r>
        <w:rPr>
          <w:rFonts w:hint="eastAsia" w:ascii="方正仿宋简体" w:eastAsia="方正仿宋简体"/>
          <w:sz w:val="32"/>
          <w:szCs w:val="32"/>
          <w:lang w:val="en-US" w:eastAsia="zh-CN"/>
        </w:rPr>
        <w:t>30</w:t>
      </w:r>
      <w:r>
        <w:rPr>
          <w:rFonts w:hint="eastAsia" w:ascii="方正仿宋简体" w:eastAsia="方正仿宋简体"/>
          <w:sz w:val="32"/>
          <w:szCs w:val="32"/>
        </w:rPr>
        <w:t>日前上报常州市疾控中心。</w:t>
      </w:r>
    </w:p>
    <w:p>
      <w:pPr>
        <w:spacing w:line="360" w:lineRule="auto"/>
        <w:ind w:firstLine="640" w:firstLineChars="200"/>
        <w:rPr>
          <w:rFonts w:hint="eastAsia" w:ascii="黑体" w:eastAsia="黑体"/>
          <w:sz w:val="32"/>
          <w:szCs w:val="32"/>
        </w:rPr>
      </w:pPr>
      <w:r>
        <w:rPr>
          <w:rFonts w:hint="eastAsia" w:ascii="黑体" w:eastAsia="黑体"/>
          <w:sz w:val="32"/>
          <w:szCs w:val="32"/>
        </w:rPr>
        <w:t>七、实验室规范化管理</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要加强实验室能力建设，区疾控中心要完成盐碘、尿碘外质控考核。</w:t>
      </w:r>
    </w:p>
    <w:p>
      <w:pPr>
        <w:spacing w:line="360" w:lineRule="auto"/>
        <w:ind w:firstLine="640" w:firstLineChars="200"/>
        <w:rPr>
          <w:rFonts w:hint="eastAsia" w:ascii="黑体" w:eastAsia="黑体"/>
          <w:sz w:val="32"/>
          <w:szCs w:val="32"/>
        </w:rPr>
      </w:pPr>
      <w:r>
        <w:rPr>
          <w:rFonts w:hint="eastAsia" w:ascii="黑体" w:eastAsia="黑体"/>
          <w:sz w:val="32"/>
          <w:szCs w:val="32"/>
        </w:rPr>
        <w:t>八、质量控制</w:t>
      </w:r>
      <w:r>
        <w:rPr>
          <w:rFonts w:hint="eastAsia" w:ascii="黑体" w:eastAsia="黑体"/>
          <w:sz w:val="32"/>
          <w:szCs w:val="32"/>
        </w:rPr>
        <w:tab/>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（一）人员培训</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1、监测方案培训</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对各级监测相关人员进行逐级培训，确保监测方法统一、技术规范和协调有序。</w:t>
      </w:r>
    </w:p>
    <w:p>
      <w:pPr>
        <w:spacing w:line="360" w:lineRule="auto"/>
        <w:ind w:firstLine="643" w:firstLineChars="200"/>
        <w:rPr>
          <w:rFonts w:hint="eastAsia" w:ascii="方正仿宋简体" w:eastAsia="方正仿宋简体"/>
          <w:b/>
          <w:sz w:val="32"/>
          <w:szCs w:val="32"/>
        </w:rPr>
      </w:pPr>
      <w:r>
        <w:rPr>
          <w:rFonts w:hint="eastAsia" w:ascii="方正仿宋简体" w:eastAsia="方正仿宋简体"/>
          <w:b/>
          <w:sz w:val="32"/>
          <w:szCs w:val="32"/>
        </w:rPr>
        <w:t>2、监测技术培训</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从事甲状腺B超检查的专业人员，须经国家级专家培训或经国家级专家认可的省级师资培训，受训人员经考核取得合格资质后，方可上岗；甲状腺触诊、尿碘检测、盐碘、水碘检测、数据录入技术统一由省级组织培训，受训人员考核合格后，方可上岗。</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（二）督导评估</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接受常州市疾控中心现场督导，评估监测质量，及时发现和纠正存在的问题。</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督导评估的重点：执行方案的一致性、样本采集和抽样方法的规范性、检测技术的准确性、资料收集的可靠性和完整性、报告与反馈的及时性、信息利用的有效性。</w:t>
      </w:r>
    </w:p>
    <w:p>
      <w:pPr>
        <w:spacing w:line="360" w:lineRule="auto"/>
        <w:ind w:firstLine="630" w:firstLineChars="196"/>
        <w:rPr>
          <w:rFonts w:hint="eastAsia" w:ascii="楷体_GB2312" w:eastAsia="楷体_GB2312"/>
          <w:b/>
          <w:sz w:val="32"/>
          <w:szCs w:val="32"/>
        </w:rPr>
      </w:pPr>
      <w:r>
        <w:rPr>
          <w:rFonts w:hint="eastAsia" w:ascii="楷体_GB2312" w:eastAsia="楷体_GB2312"/>
          <w:b/>
          <w:sz w:val="32"/>
          <w:szCs w:val="32"/>
        </w:rPr>
        <w:t>（三）实验室检测</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1、承担尿碘和盐碘检测任务的实验室，须经外质控考核合格后，方可开展实验室检测工作。</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2、区疾控中心所备份的尿样和盐样应存放3个月以上，省级现场督导时，会对至少5％的盐样、尿样、水样检测结果进行随机抽检复核。</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（四）数据管理</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1、区疾控中心应设专人负责碘缺乏病监测信息管理，确保监测数据在收集、管理、分析和上报过程的及时性、准确性和完整性；对新上岗的监测信息管理人员要统一安排岗位培训。</w:t>
      </w:r>
    </w:p>
    <w:p>
      <w:pPr>
        <w:spacing w:line="360" w:lineRule="auto"/>
        <w:ind w:firstLine="640" w:firstLineChars="200"/>
        <w:rPr>
          <w:rFonts w:hint="eastAsia" w:ascii="方正仿宋简体" w:eastAsia="方正仿宋简体"/>
          <w:sz w:val="32"/>
          <w:szCs w:val="32"/>
        </w:rPr>
      </w:pPr>
      <w:r>
        <w:rPr>
          <w:rFonts w:hint="eastAsia" w:ascii="方正仿宋简体" w:eastAsia="方正仿宋简体"/>
          <w:sz w:val="32"/>
          <w:szCs w:val="32"/>
        </w:rPr>
        <w:t>2、各种原始资料要及时分类、归档和备份光盘。</w:t>
      </w:r>
    </w:p>
    <w:p>
      <w:pPr>
        <w:spacing w:line="360" w:lineRule="auto"/>
        <w:ind w:firstLine="640" w:firstLineChars="200"/>
        <w:rPr>
          <w:rFonts w:hint="eastAsia" w:ascii="黑体" w:eastAsia="黑体"/>
          <w:sz w:val="32"/>
          <w:szCs w:val="32"/>
        </w:rPr>
      </w:pPr>
      <w:r>
        <w:rPr>
          <w:rFonts w:hint="eastAsia" w:ascii="黑体" w:eastAsia="黑体"/>
          <w:sz w:val="32"/>
          <w:szCs w:val="32"/>
        </w:rPr>
        <w:t>九、2015年人群碘营养监测采样计划表</w:t>
      </w:r>
    </w:p>
    <w:tbl>
      <w:tblPr>
        <w:tblStyle w:val="2"/>
        <w:tblW w:w="4781" w:type="pct"/>
        <w:jc w:val="center"/>
        <w:tblLayout w:type="autofit"/>
        <w:tblCellMar>
          <w:top w:w="0" w:type="dxa"/>
          <w:left w:w="108" w:type="dxa"/>
          <w:bottom w:w="0" w:type="dxa"/>
          <w:right w:w="108" w:type="dxa"/>
        </w:tblCellMar>
      </w:tblPr>
      <w:tblGrid>
        <w:gridCol w:w="797"/>
        <w:gridCol w:w="1491"/>
        <w:gridCol w:w="1209"/>
        <w:gridCol w:w="1024"/>
        <w:gridCol w:w="1363"/>
        <w:gridCol w:w="1121"/>
        <w:gridCol w:w="1144"/>
      </w:tblGrid>
      <w:tr>
        <w:tblPrEx>
          <w:tblCellMar>
            <w:top w:w="0" w:type="dxa"/>
            <w:left w:w="108" w:type="dxa"/>
            <w:bottom w:w="0" w:type="dxa"/>
            <w:right w:w="108" w:type="dxa"/>
          </w:tblCellMar>
        </w:tblPrEx>
        <w:trPr>
          <w:trHeight w:val="437" w:hRule="atLeast"/>
          <w:jc w:val="center"/>
        </w:trPr>
        <w:tc>
          <w:tcPr>
            <w:tcW w:w="489" w:type="pct"/>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乡镇</w:t>
            </w:r>
          </w:p>
        </w:tc>
        <w:tc>
          <w:tcPr>
            <w:tcW w:w="2285" w:type="pct"/>
            <w:gridSpan w:val="3"/>
            <w:tcBorders>
              <w:top w:val="single" w:color="auto" w:sz="4" w:space="0"/>
              <w:left w:val="nil"/>
              <w:bottom w:val="single" w:color="auto" w:sz="4" w:space="0"/>
              <w:right w:val="single" w:color="000000"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区       级</w:t>
            </w:r>
          </w:p>
        </w:tc>
        <w:tc>
          <w:tcPr>
            <w:tcW w:w="2226" w:type="pct"/>
            <w:gridSpan w:val="3"/>
            <w:tcBorders>
              <w:top w:val="single" w:color="auto" w:sz="4" w:space="0"/>
              <w:left w:val="nil"/>
              <w:bottom w:val="single" w:color="auto" w:sz="4" w:space="0"/>
              <w:right w:val="single" w:color="000000"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市     级</w:t>
            </w:r>
          </w:p>
        </w:tc>
      </w:tr>
      <w:tr>
        <w:tblPrEx>
          <w:tblCellMar>
            <w:top w:w="0" w:type="dxa"/>
            <w:left w:w="108" w:type="dxa"/>
            <w:bottom w:w="0" w:type="dxa"/>
            <w:right w:w="108" w:type="dxa"/>
          </w:tblCellMar>
        </w:tblPrEx>
        <w:trPr>
          <w:trHeight w:val="1047"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eastAsia="仿宋_GB2312"/>
                <w:kern w:val="0"/>
                <w:sz w:val="28"/>
                <w:szCs w:val="28"/>
              </w:rPr>
            </w:pP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学生盐样、尿样、甲状腺肿大率</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孕妇盐样、尿样</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孕妇健康教育</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学生盐样、尿样、甲状腺肿大率</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孕妇盐样、尿样</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孕妇健康教育</w:t>
            </w:r>
          </w:p>
        </w:tc>
      </w:tr>
      <w:tr>
        <w:tblPrEx>
          <w:tblCellMar>
            <w:top w:w="0" w:type="dxa"/>
            <w:left w:w="108" w:type="dxa"/>
            <w:bottom w:w="0" w:type="dxa"/>
            <w:right w:w="108" w:type="dxa"/>
          </w:tblCellMar>
        </w:tblPrEx>
        <w:trPr>
          <w:trHeight w:val="437" w:hRule="atLeast"/>
          <w:jc w:val="center"/>
        </w:trPr>
        <w:tc>
          <w:tcPr>
            <w:tcW w:w="48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前黄</w:t>
            </w: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40</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50</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r>
      <w:tr>
        <w:tblPrEx>
          <w:tblCellMar>
            <w:top w:w="0" w:type="dxa"/>
            <w:left w:w="108" w:type="dxa"/>
            <w:bottom w:w="0" w:type="dxa"/>
            <w:right w:w="108" w:type="dxa"/>
          </w:tblCellMar>
        </w:tblPrEx>
        <w:trPr>
          <w:trHeight w:val="437" w:hRule="atLeast"/>
          <w:jc w:val="center"/>
        </w:trPr>
        <w:tc>
          <w:tcPr>
            <w:tcW w:w="48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礼嘉</w:t>
            </w: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40</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50</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r>
      <w:tr>
        <w:tblPrEx>
          <w:tblCellMar>
            <w:top w:w="0" w:type="dxa"/>
            <w:left w:w="108" w:type="dxa"/>
            <w:bottom w:w="0" w:type="dxa"/>
            <w:right w:w="108" w:type="dxa"/>
          </w:tblCellMar>
        </w:tblPrEx>
        <w:trPr>
          <w:trHeight w:val="437" w:hRule="atLeast"/>
          <w:jc w:val="center"/>
        </w:trPr>
        <w:tc>
          <w:tcPr>
            <w:tcW w:w="48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横林</w:t>
            </w: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40</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r>
      <w:tr>
        <w:tblPrEx>
          <w:tblCellMar>
            <w:top w:w="0" w:type="dxa"/>
            <w:left w:w="108" w:type="dxa"/>
            <w:bottom w:w="0" w:type="dxa"/>
            <w:right w:w="108" w:type="dxa"/>
          </w:tblCellMar>
        </w:tblPrEx>
        <w:trPr>
          <w:trHeight w:val="437" w:hRule="atLeast"/>
          <w:jc w:val="center"/>
        </w:trPr>
        <w:tc>
          <w:tcPr>
            <w:tcW w:w="48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奔牛</w:t>
            </w: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40</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r>
      <w:tr>
        <w:tblPrEx>
          <w:tblCellMar>
            <w:top w:w="0" w:type="dxa"/>
            <w:left w:w="108" w:type="dxa"/>
            <w:bottom w:w="0" w:type="dxa"/>
            <w:right w:w="108" w:type="dxa"/>
          </w:tblCellMar>
        </w:tblPrEx>
        <w:trPr>
          <w:trHeight w:val="437" w:hRule="atLeast"/>
          <w:jc w:val="center"/>
        </w:trPr>
        <w:tc>
          <w:tcPr>
            <w:tcW w:w="48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礼河</w:t>
            </w: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40</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w:t>
            </w:r>
          </w:p>
        </w:tc>
      </w:tr>
      <w:tr>
        <w:tblPrEx>
          <w:tblCellMar>
            <w:top w:w="0" w:type="dxa"/>
            <w:left w:w="108" w:type="dxa"/>
            <w:bottom w:w="0" w:type="dxa"/>
            <w:right w:w="108" w:type="dxa"/>
          </w:tblCellMar>
        </w:tblPrEx>
        <w:trPr>
          <w:trHeight w:val="437" w:hRule="atLeast"/>
          <w:jc w:val="center"/>
        </w:trPr>
        <w:tc>
          <w:tcPr>
            <w:tcW w:w="48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合计</w:t>
            </w:r>
          </w:p>
        </w:tc>
        <w:tc>
          <w:tcPr>
            <w:tcW w:w="915"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200</w:t>
            </w:r>
          </w:p>
        </w:tc>
        <w:tc>
          <w:tcPr>
            <w:tcW w:w="74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100</w:t>
            </w:r>
          </w:p>
        </w:tc>
        <w:tc>
          <w:tcPr>
            <w:tcW w:w="62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50</w:t>
            </w:r>
          </w:p>
        </w:tc>
        <w:tc>
          <w:tcPr>
            <w:tcW w:w="836"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100</w:t>
            </w:r>
          </w:p>
        </w:tc>
        <w:tc>
          <w:tcPr>
            <w:tcW w:w="688"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40</w:t>
            </w:r>
          </w:p>
        </w:tc>
        <w:tc>
          <w:tcPr>
            <w:tcW w:w="702" w:type="pct"/>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kern w:val="0"/>
                <w:szCs w:val="21"/>
              </w:rPr>
            </w:pPr>
            <w:r>
              <w:rPr>
                <w:rFonts w:hint="eastAsia" w:ascii="仿宋_GB2312" w:eastAsia="仿宋_GB2312"/>
                <w:kern w:val="0"/>
                <w:szCs w:val="21"/>
              </w:rPr>
              <w:t>20</w:t>
            </w:r>
          </w:p>
        </w:tc>
      </w:tr>
    </w:tbl>
    <w:p>
      <w:pPr>
        <w:rPr>
          <w:rFonts w:hint="eastAsia" w:ascii="仿宋_GB2312" w:eastAsia="仿宋_GB2312"/>
          <w:sz w:val="30"/>
          <w:szCs w:val="30"/>
        </w:rPr>
      </w:pPr>
    </w:p>
    <w:p>
      <w:pPr>
        <w:spacing w:line="600" w:lineRule="exact"/>
        <w:ind w:firstLine="800" w:firstLineChars="250"/>
        <w:rPr>
          <w:rFonts w:hint="eastAsia" w:ascii="方正仿宋简体" w:hAnsi="宋体" w:eastAsia="方正仿宋简体"/>
          <w:bCs/>
          <w:sz w:val="32"/>
          <w:szCs w:val="32"/>
        </w:rPr>
      </w:pPr>
    </w:p>
    <w:p>
      <w:pPr>
        <w:spacing w:line="600" w:lineRule="exact"/>
        <w:ind w:firstLine="800" w:firstLineChars="250"/>
        <w:rPr>
          <w:rFonts w:hint="eastAsia" w:ascii="方正仿宋简体" w:hAnsi="宋体" w:eastAsia="方正仿宋简体"/>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adjustRightInd w:val="0"/>
        <w:snapToGrid w:val="0"/>
        <w:spacing w:line="360" w:lineRule="auto"/>
        <w:rPr>
          <w:rFonts w:hint="eastAsia" w:ascii="黑体" w:hAnsi="仿宋" w:eastAsia="黑体"/>
          <w:snapToGrid w:val="0"/>
          <w:sz w:val="30"/>
          <w:szCs w:val="30"/>
          <w:lang w:val="zh-CN"/>
        </w:rPr>
      </w:pPr>
      <w:r>
        <w:rPr>
          <w:rFonts w:hint="eastAsia" w:ascii="黑体" w:hAnsi="仿宋" w:eastAsia="黑体"/>
          <w:snapToGrid w:val="0"/>
          <w:sz w:val="30"/>
          <w:szCs w:val="30"/>
          <w:lang w:val="zh-CN"/>
        </w:rPr>
        <w:t>附表：</w:t>
      </w:r>
    </w:p>
    <w:tbl>
      <w:tblPr>
        <w:tblStyle w:val="2"/>
        <w:tblW w:w="8900" w:type="dxa"/>
        <w:tblInd w:w="93" w:type="dxa"/>
        <w:tblLayout w:type="autofit"/>
        <w:tblCellMar>
          <w:top w:w="0" w:type="dxa"/>
          <w:left w:w="108" w:type="dxa"/>
          <w:bottom w:w="0" w:type="dxa"/>
          <w:right w:w="108" w:type="dxa"/>
        </w:tblCellMar>
      </w:tblPr>
      <w:tblGrid>
        <w:gridCol w:w="915"/>
        <w:gridCol w:w="546"/>
        <w:gridCol w:w="714"/>
        <w:gridCol w:w="720"/>
        <w:gridCol w:w="720"/>
        <w:gridCol w:w="706"/>
        <w:gridCol w:w="576"/>
        <w:gridCol w:w="580"/>
        <w:gridCol w:w="656"/>
        <w:gridCol w:w="693"/>
        <w:gridCol w:w="766"/>
        <w:gridCol w:w="436"/>
        <w:gridCol w:w="436"/>
        <w:gridCol w:w="436"/>
      </w:tblGrid>
      <w:tr>
        <w:tblPrEx>
          <w:tblCellMar>
            <w:top w:w="0" w:type="dxa"/>
            <w:left w:w="108" w:type="dxa"/>
            <w:bottom w:w="0" w:type="dxa"/>
            <w:right w:w="108" w:type="dxa"/>
          </w:tblCellMar>
        </w:tblPrEx>
        <w:trPr>
          <w:trHeight w:val="515" w:hRule="atLeast"/>
        </w:trPr>
        <w:tc>
          <w:tcPr>
            <w:tcW w:w="8900" w:type="dxa"/>
            <w:gridSpan w:val="14"/>
            <w:tcBorders>
              <w:top w:val="nil"/>
              <w:left w:val="nil"/>
              <w:bottom w:val="nil"/>
              <w:right w:val="nil"/>
            </w:tcBorders>
            <w:shd w:val="clear" w:color="auto" w:fill="auto"/>
            <w:vAlign w:val="center"/>
          </w:tcPr>
          <w:p>
            <w:pPr>
              <w:widowControl/>
              <w:tabs>
                <w:tab w:val="left" w:pos="3762"/>
              </w:tabs>
              <w:jc w:val="center"/>
              <w:rPr>
                <w:rFonts w:hint="eastAsia" w:ascii="方正小标宋简体" w:hAnsi="宋体" w:eastAsia="方正小标宋简体" w:cs="宋体"/>
                <w:b/>
                <w:kern w:val="0"/>
                <w:sz w:val="28"/>
                <w:szCs w:val="28"/>
              </w:rPr>
            </w:pPr>
            <w:r>
              <w:rPr>
                <w:rFonts w:hint="eastAsia" w:ascii="方正小标宋简体" w:hAnsi="宋体" w:eastAsia="方正小标宋简体" w:cs="宋体"/>
                <w:b/>
                <w:kern w:val="0"/>
                <w:sz w:val="28"/>
                <w:szCs w:val="28"/>
              </w:rPr>
              <w:t>武进区二○一五年血寄地防治主要工作任务分解表</w:t>
            </w:r>
          </w:p>
        </w:tc>
      </w:tr>
      <w:tr>
        <w:tblPrEx>
          <w:tblCellMar>
            <w:top w:w="0" w:type="dxa"/>
            <w:left w:w="108" w:type="dxa"/>
            <w:bottom w:w="0" w:type="dxa"/>
            <w:right w:w="108" w:type="dxa"/>
          </w:tblCellMar>
        </w:tblPrEx>
        <w:trPr>
          <w:trHeight w:val="456" w:hRule="atLeast"/>
        </w:trPr>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范</w:t>
            </w:r>
            <w:r>
              <w:rPr>
                <w:kern w:val="0"/>
                <w:sz w:val="22"/>
                <w:szCs w:val="22"/>
              </w:rPr>
              <w:t xml:space="preserve">    </w:t>
            </w:r>
            <w:r>
              <w:rPr>
                <w:rFonts w:hint="eastAsia" w:ascii="宋体" w:hAnsi="宋体" w:cs="宋体"/>
                <w:kern w:val="0"/>
                <w:sz w:val="22"/>
                <w:szCs w:val="22"/>
              </w:rPr>
              <w:t>围</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历史流行村数</w:t>
            </w:r>
          </w:p>
        </w:tc>
        <w:tc>
          <w:tcPr>
            <w:tcW w:w="14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螺情监测</w:t>
            </w:r>
          </w:p>
        </w:tc>
        <w:tc>
          <w:tcPr>
            <w:tcW w:w="323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病情监测</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地防</w:t>
            </w:r>
          </w:p>
        </w:tc>
        <w:tc>
          <w:tcPr>
            <w:tcW w:w="12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疟防</w:t>
            </w:r>
          </w:p>
        </w:tc>
        <w:tc>
          <w:tcPr>
            <w:tcW w:w="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寄防</w:t>
            </w:r>
          </w:p>
        </w:tc>
      </w:tr>
      <w:tr>
        <w:tblPrEx>
          <w:tblCellMar>
            <w:top w:w="0" w:type="dxa"/>
            <w:left w:w="108" w:type="dxa"/>
            <w:bottom w:w="0" w:type="dxa"/>
            <w:right w:w="108" w:type="dxa"/>
          </w:tblCellMar>
        </w:tblPrEx>
        <w:trPr>
          <w:trHeight w:val="1424"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查螺面积（万㎡</w:t>
            </w:r>
            <w:r>
              <w:rPr>
                <w:kern w:val="0"/>
                <w:sz w:val="18"/>
                <w:szCs w:val="18"/>
              </w:rPr>
              <w:t>)</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螺情监测点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晚血病人管理</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渔船民监测</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整村查病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流动人口查病</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门诊查病</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碘营养监测</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血检任务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疟疾监测</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监测调查</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慢丝照料</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前  黄</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寨  桥</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雪  堰</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潘  家</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漕  桥</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7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礼  嘉</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坂  上</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南夏墅</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鸣  凰</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马  杭</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牛  塘</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礼  河</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横  林</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洛  阳</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遥  观</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440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郑  陆</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850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横山桥</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芙  蓉</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奔  牛</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535</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邹  区</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卜  弋</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湟  里</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东  安</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嘉  泽</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有</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192</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350</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成  章</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中医院</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直  属</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152</w:t>
            </w:r>
          </w:p>
        </w:tc>
        <w:tc>
          <w:tcPr>
            <w:tcW w:w="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645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2472</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10538</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300" w:hRule="atLeast"/>
        </w:trPr>
        <w:tc>
          <w:tcPr>
            <w:tcW w:w="8900" w:type="dxa"/>
            <w:gridSpan w:val="14"/>
            <w:tcBorders>
              <w:top w:val="single" w:color="auto" w:sz="4" w:space="0"/>
              <w:left w:val="nil"/>
              <w:bottom w:val="nil"/>
              <w:right w:val="nil"/>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注：1、为方便工作，2015年血寄地防工作按各卫生院工作范围开展</w:t>
            </w:r>
          </w:p>
        </w:tc>
      </w:tr>
      <w:tr>
        <w:tblPrEx>
          <w:tblCellMar>
            <w:top w:w="0" w:type="dxa"/>
            <w:left w:w="108" w:type="dxa"/>
            <w:bottom w:w="0" w:type="dxa"/>
            <w:right w:w="108" w:type="dxa"/>
          </w:tblCellMar>
        </w:tblPrEx>
        <w:trPr>
          <w:trHeight w:val="300" w:hRule="atLeast"/>
        </w:trPr>
        <w:tc>
          <w:tcPr>
            <w:tcW w:w="8900" w:type="dxa"/>
            <w:gridSpan w:val="14"/>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2、任务分解表不包括各卫生院全年所有工作，仅供各单位参考</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jRlMjUxMDk3NTY2MTI1M2E1ZmQxOTdhNGQ1N2UifQ=="/>
  </w:docVars>
  <w:rsids>
    <w:rsidRoot w:val="00BD13C9"/>
    <w:rsid w:val="00531F93"/>
    <w:rsid w:val="00846215"/>
    <w:rsid w:val="00BD13C9"/>
    <w:rsid w:val="4293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783</Words>
  <Characters>4464</Characters>
  <Lines>37</Lines>
  <Paragraphs>10</Paragraphs>
  <TotalTime>4</TotalTime>
  <ScaleCrop>false</ScaleCrop>
  <LinksUpToDate>false</LinksUpToDate>
  <CharactersWithSpaces>5237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2015-04-30T01:53:00Z</dcterms:created>
  <dc:creator>Sky123.Org</dc:creator>
  <cp:lastModifiedBy>xl</cp:lastModifiedBy>
  <dcterms:modified xsi:type="dcterms:W3CDTF">2024-01-31T06:03:17Z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B2948ED4E8204608960E84E57EE9E925_13</vt:lpwstr>
  </property>
</Properties>
</file>