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>2023年武进区科技</w:t>
      </w:r>
      <w:r>
        <w:rPr>
          <w:rFonts w:hint="eastAsia" w:ascii="方正小标宋简体" w:hAnsi="黑体" w:eastAsia="方正小标宋简体" w:cs="宋体"/>
          <w:bCs/>
          <w:sz w:val="36"/>
          <w:szCs w:val="36"/>
        </w:rPr>
        <w:t>创新发展专项资金</w:t>
      </w:r>
    </w:p>
    <w:p>
      <w:pPr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>（创业孵化载体建设奖励—第一批）项目汇总表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13"/>
        <w:gridCol w:w="2948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区  域</w:t>
            </w:r>
          </w:p>
        </w:tc>
        <w:tc>
          <w:tcPr>
            <w:tcW w:w="294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项目数</w:t>
            </w:r>
          </w:p>
        </w:tc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湖塘镇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牛塘镇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231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科教城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</w:p>
        </w:tc>
      </w:tr>
    </w:tbl>
    <w:p>
      <w:pPr>
        <w:pStyle w:val="8"/>
        <w:sectPr>
          <w:footerReference r:id="rId3" w:type="default"/>
          <w:footerReference r:id="rId4" w:type="even"/>
          <w:pgSz w:w="11906" w:h="16838"/>
          <w:pgMar w:top="1814" w:right="1531" w:bottom="1985" w:left="1531" w:header="851" w:footer="1474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3F50FD7"/>
    <w:rsid w:val="63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11"/>
    <w:basedOn w:val="4"/>
    <w:autoRedefine/>
    <w:qFormat/>
    <w:uiPriority w:val="0"/>
    <w:pPr>
      <w:widowControl w:val="0"/>
      <w:shd w:val="clear" w:color="auto" w:fill="FFFFFF"/>
      <w:spacing w:before="0" w:beforeAutospacing="0" w:after="0" w:afterAutospacing="0"/>
    </w:pPr>
    <w:rPr>
      <w:rFonts w:ascii="仿宋_GB2312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2024-01-09T05:56:00Z</dcterms:created>
  <dc:creator>国家宏观调控</dc:creator>
  <cp:lastModifiedBy>国家宏观调控</cp:lastModifiedBy>
  <dcterms:modified xsi:type="dcterms:W3CDTF">2024-01-09T05:57:05Z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10085C6F66B04E2A982E6D83717B8A26_11</vt:lpwstr>
  </property>
</Properties>
</file>