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52"/>
        </w:rPr>
      </w:pPr>
    </w:p>
    <w:p>
      <w:pPr>
        <w:jc w:val="center"/>
        <w:rPr>
          <w:rFonts w:hint="eastAsia" w:eastAsia="黑体"/>
          <w:sz w:val="52"/>
        </w:rPr>
      </w:pPr>
    </w:p>
    <w:p>
      <w:pPr>
        <w:jc w:val="center"/>
        <w:rPr>
          <w:rFonts w:eastAsia="黑体"/>
          <w:sz w:val="52"/>
        </w:rPr>
      </w:pPr>
    </w:p>
    <w:p>
      <w:pPr>
        <w:jc w:val="center"/>
        <w:rPr>
          <w:rFonts w:eastAsia="方正小标宋_GBK"/>
          <w:b/>
          <w:sz w:val="52"/>
          <w:szCs w:val="52"/>
        </w:rPr>
      </w:pPr>
    </w:p>
    <w:p>
      <w:pPr>
        <w:jc w:val="center"/>
        <w:rPr>
          <w:rFonts w:eastAsia="方正小标宋_GBK"/>
          <w:sz w:val="52"/>
          <w:szCs w:val="52"/>
        </w:rPr>
      </w:pPr>
      <w:r>
        <w:rPr>
          <w:rFonts w:eastAsia="方正小标宋_GBK"/>
          <w:sz w:val="52"/>
          <w:szCs w:val="52"/>
        </w:rPr>
        <w:t>江苏省固体（危险）废物</w:t>
      </w:r>
    </w:p>
    <w:p>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pPr>
    </w:p>
    <w:p/>
    <w:p/>
    <w:p/>
    <w:p/>
    <w:p/>
    <w:p/>
    <w:p>
      <w:pPr>
        <w:pStyle w:val="2"/>
        <w:tabs>
          <w:tab w:val="left" w:pos="5940"/>
        </w:tabs>
        <w:snapToGrid w:val="0"/>
        <w:ind w:firstLine="964" w:firstLineChars="300"/>
        <w:rPr>
          <w:rFonts w:ascii="Times New Roman" w:hAnsi="Times New Roman"/>
          <w:sz w:val="32"/>
          <w:szCs w:val="32"/>
          <w:u w:val="single"/>
        </w:rPr>
      </w:pPr>
      <w:r>
        <w:rPr>
          <w:rFonts w:ascii="Times New Roman" w:hAnsi="宋体"/>
          <w:b/>
          <w:sz w:val="32"/>
        </w:rPr>
        <w:t>申请单位</w:t>
      </w:r>
      <w:r>
        <w:rPr>
          <w:rFonts w:hint="eastAsia" w:ascii="Times New Roman" w:hAnsi="宋体"/>
          <w:b/>
          <w:sz w:val="32"/>
        </w:rPr>
        <w:t>：</w:t>
      </w:r>
      <w:r>
        <w:rPr>
          <w:rFonts w:hint="eastAsia" w:ascii="Times New Roman" w:hAnsi="Times New Roman"/>
          <w:b/>
          <w:sz w:val="32"/>
          <w:szCs w:val="22"/>
          <w:u w:val="single"/>
        </w:rPr>
        <w:t>上海凝瑞粘合剂科技发展有限公司</w:t>
      </w:r>
      <w:r>
        <w:rPr>
          <w:rFonts w:ascii="Times New Roman" w:hAnsi="宋体"/>
          <w:b/>
          <w:sz w:val="32"/>
        </w:rPr>
        <w:t>（公章）</w:t>
      </w:r>
    </w:p>
    <w:p>
      <w:pPr>
        <w:tabs>
          <w:tab w:val="left" w:pos="5940"/>
        </w:tabs>
        <w:snapToGrid w:val="0"/>
        <w:rPr>
          <w:b/>
          <w:sz w:val="32"/>
        </w:rPr>
      </w:pPr>
    </w:p>
    <w:p>
      <w:pPr>
        <w:tabs>
          <w:tab w:val="left" w:pos="5940"/>
        </w:tabs>
        <w:snapToGrid w:val="0"/>
        <w:rPr>
          <w:b/>
          <w:sz w:val="32"/>
        </w:rPr>
      </w:pPr>
    </w:p>
    <w:p>
      <w:pPr>
        <w:tabs>
          <w:tab w:val="left" w:pos="5940"/>
        </w:tabs>
        <w:snapToGrid w:val="0"/>
        <w:ind w:firstLine="964" w:firstLineChars="300"/>
        <w:rPr>
          <w:b/>
          <w:sz w:val="32"/>
        </w:rPr>
      </w:pPr>
      <w:r>
        <w:rPr>
          <w:rFonts w:hAnsi="宋体"/>
          <w:b/>
          <w:sz w:val="32"/>
        </w:rPr>
        <w:t>填报日期：</w:t>
      </w:r>
      <w:r>
        <w:rPr>
          <w:b/>
          <w:sz w:val="32"/>
          <w:u w:val="single"/>
        </w:rPr>
        <w:t xml:space="preserve">   </w:t>
      </w:r>
      <w:r>
        <w:rPr>
          <w:rFonts w:hint="eastAsia"/>
          <w:b/>
          <w:sz w:val="32"/>
          <w:u w:val="single"/>
        </w:rPr>
        <w:t>202</w:t>
      </w:r>
      <w:r>
        <w:rPr>
          <w:rFonts w:hint="eastAsia"/>
          <w:b/>
          <w:sz w:val="32"/>
          <w:u w:val="single"/>
          <w:lang w:val="en-US" w:eastAsia="zh-CN"/>
        </w:rPr>
        <w:t>3</w:t>
      </w:r>
      <w:r>
        <w:rPr>
          <w:rFonts w:hint="eastAsia"/>
          <w:b/>
          <w:sz w:val="32"/>
          <w:u w:val="single"/>
        </w:rPr>
        <w:t>年</w:t>
      </w:r>
      <w:r>
        <w:rPr>
          <w:rFonts w:hint="eastAsia"/>
          <w:b/>
          <w:sz w:val="32"/>
          <w:u w:val="single"/>
          <w:lang w:val="en-US" w:eastAsia="zh-CN"/>
        </w:rPr>
        <w:t>10</w:t>
      </w:r>
      <w:r>
        <w:rPr>
          <w:rFonts w:hint="eastAsia"/>
          <w:b/>
          <w:sz w:val="32"/>
          <w:u w:val="single"/>
        </w:rPr>
        <w:t>月</w:t>
      </w:r>
      <w:r>
        <w:rPr>
          <w:b/>
          <w:sz w:val="32"/>
          <w:u w:val="single"/>
        </w:rPr>
        <w:t>1</w:t>
      </w:r>
      <w:r>
        <w:rPr>
          <w:rFonts w:hint="eastAsia"/>
          <w:b/>
          <w:sz w:val="32"/>
          <w:u w:val="single"/>
          <w:lang w:val="en-US" w:eastAsia="zh-CN"/>
        </w:rPr>
        <w:t>6</w:t>
      </w:r>
      <w:r>
        <w:rPr>
          <w:rFonts w:hint="eastAsia"/>
          <w:b/>
          <w:sz w:val="32"/>
          <w:u w:val="single"/>
        </w:rPr>
        <w:t>日</w:t>
      </w:r>
      <w:r>
        <w:rPr>
          <w:b/>
          <w:sz w:val="32"/>
          <w:u w:val="single"/>
        </w:rPr>
        <w:t xml:space="preserve">     </w:t>
      </w:r>
      <w:r>
        <w:rPr>
          <w:b/>
          <w:sz w:val="32"/>
        </w:rPr>
        <w:t xml:space="preserve">    </w:t>
      </w:r>
    </w:p>
    <w:p>
      <w:pPr>
        <w:tabs>
          <w:tab w:val="left" w:pos="5940"/>
        </w:tabs>
        <w:snapToGrid w:val="0"/>
        <w:spacing w:line="400" w:lineRule="exact"/>
        <w:rPr>
          <w:b/>
          <w:sz w:val="24"/>
        </w:rPr>
      </w:pPr>
    </w:p>
    <w:p>
      <w:pPr>
        <w:tabs>
          <w:tab w:val="left" w:pos="5940"/>
        </w:tabs>
        <w:snapToGrid w:val="0"/>
        <w:spacing w:line="400" w:lineRule="exact"/>
        <w:rPr>
          <w:rFonts w:eastAsia="楷体_GB2312"/>
          <w:spacing w:val="20"/>
          <w:sz w:val="30"/>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jc w:val="center"/>
        <w:rPr>
          <w:sz w:val="24"/>
        </w:rPr>
        <w:sectPr>
          <w:headerReference r:id="rId3" w:type="default"/>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pPr>
        <w:spacing w:line="600" w:lineRule="auto"/>
        <w:jc w:val="center"/>
        <w:rPr>
          <w:sz w:val="44"/>
          <w:szCs w:val="44"/>
        </w:rPr>
      </w:pPr>
    </w:p>
    <w:p>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pPr>
        <w:spacing w:line="600" w:lineRule="auto"/>
        <w:jc w:val="center"/>
        <w:rPr>
          <w:rFonts w:ascii="华文中宋" w:hAnsi="华文中宋" w:eastAsia="华文中宋"/>
          <w:sz w:val="24"/>
        </w:rPr>
      </w:pPr>
    </w:p>
    <w:p>
      <w:pPr>
        <w:spacing w:line="600" w:lineRule="auto"/>
        <w:rPr>
          <w:rFonts w:ascii="仿宋_GB2312" w:eastAsia="仿宋_GB2312"/>
          <w:sz w:val="32"/>
          <w:szCs w:val="32"/>
        </w:rPr>
      </w:pPr>
      <w:r>
        <w:rPr>
          <w:rFonts w:hint="eastAsia"/>
          <w:sz w:val="44"/>
          <w:szCs w:val="44"/>
        </w:rPr>
        <w:t xml:space="preserve">    </w:t>
      </w:r>
      <w:bookmarkStart w:id="0" w:name="_GoBack"/>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p>
    <w:bookmarkEnd w:id="0"/>
    <w:p>
      <w:pPr>
        <w:spacing w:line="600" w:lineRule="auto"/>
        <w:jc w:val="center"/>
        <w:rPr>
          <w:b/>
          <w:sz w:val="44"/>
          <w:szCs w:val="44"/>
        </w:rPr>
      </w:pPr>
    </w:p>
    <w:p>
      <w:pPr>
        <w:spacing w:line="600" w:lineRule="auto"/>
        <w:jc w:val="center"/>
        <w:rPr>
          <w:b/>
          <w:sz w:val="44"/>
          <w:szCs w:val="44"/>
        </w:rPr>
      </w:pPr>
    </w:p>
    <w:p>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pPr>
        <w:spacing w:line="600" w:lineRule="auto"/>
        <w:jc w:val="center"/>
        <w:rPr>
          <w:rFonts w:hint="default" w:ascii="仿宋_GB2312" w:eastAsia="仿宋_GB2312"/>
          <w:sz w:val="32"/>
          <w:szCs w:val="32"/>
          <w:lang w:val="en-US" w:eastAsia="zh-CN"/>
        </w:rPr>
      </w:pPr>
      <w:r>
        <w:rPr>
          <w:rFonts w:hint="eastAsia" w:ascii="仿宋_GB2312" w:eastAsia="仿宋_GB2312"/>
          <w:sz w:val="32"/>
          <w:szCs w:val="32"/>
        </w:rPr>
        <w:t xml:space="preserve">          日期：</w:t>
      </w:r>
      <w:r>
        <w:rPr>
          <w:rFonts w:hint="eastAsia" w:ascii="仿宋_GB2312" w:eastAsia="仿宋_GB2312"/>
          <w:sz w:val="32"/>
          <w:szCs w:val="32"/>
          <w:lang w:val="en-US" w:eastAsia="zh-CN"/>
        </w:rPr>
        <w:t>2023.10.16</w:t>
      </w:r>
    </w:p>
    <w:p>
      <w:pPr>
        <w:spacing w:line="600" w:lineRule="auto"/>
        <w:jc w:val="center"/>
        <w:rPr>
          <w:sz w:val="44"/>
          <w:szCs w:val="44"/>
        </w:rPr>
      </w:pPr>
    </w:p>
    <w:p>
      <w:pPr>
        <w:spacing w:line="600" w:lineRule="auto"/>
        <w:jc w:val="center"/>
        <w:rPr>
          <w:szCs w:val="21"/>
        </w:rPr>
      </w:pPr>
    </w:p>
    <w:p>
      <w:pPr>
        <w:spacing w:line="600" w:lineRule="auto"/>
        <w:jc w:val="center"/>
        <w:rPr>
          <w:szCs w:val="21"/>
        </w:rPr>
      </w:pPr>
    </w:p>
    <w:p>
      <w:pPr>
        <w:spacing w:line="600" w:lineRule="auto"/>
        <w:jc w:val="center"/>
        <w:rPr>
          <w:szCs w:val="21"/>
        </w:rPr>
      </w:pPr>
    </w:p>
    <w:p>
      <w:pPr>
        <w:rPr>
          <w:rFonts w:eastAsia="黑体"/>
          <w:sz w:val="28"/>
          <w:szCs w:val="28"/>
        </w:rPr>
      </w:pPr>
      <w:r>
        <w:rPr>
          <w:rFonts w:eastAsia="黑体"/>
          <w:sz w:val="28"/>
          <w:szCs w:val="28"/>
        </w:rPr>
        <w:t>第一部分：拟转移废物基本情况</w:t>
      </w: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4"/>
        <w:gridCol w:w="167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215" w:type="dxa"/>
            <w:gridSpan w:val="5"/>
          </w:tcPr>
          <w:p>
            <w:pPr>
              <w:rPr>
                <w:rFonts w:eastAsia="黑体"/>
                <w:sz w:val="24"/>
              </w:rPr>
            </w:pPr>
            <w:r>
              <w:rPr>
                <w:rFonts w:eastAsia="黑体"/>
                <w:sz w:val="24"/>
              </w:rPr>
              <w:t>表1 废物产生</w:t>
            </w:r>
            <w:r>
              <w:rPr>
                <w:rFonts w:hint="eastAsia" w:eastAsia="黑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215" w:type="dxa"/>
            <w:gridSpan w:val="5"/>
          </w:tcPr>
          <w:p>
            <w:pPr>
              <w:spacing w:line="300" w:lineRule="exact"/>
              <w:rPr>
                <w:szCs w:val="21"/>
              </w:rPr>
            </w:pPr>
            <w:r>
              <w:rPr>
                <w:szCs w:val="21"/>
              </w:rPr>
              <w:t>企业投产时间、主要经营范围及规模</w:t>
            </w:r>
          </w:p>
          <w:p>
            <w:pPr>
              <w:spacing w:line="300" w:lineRule="exact"/>
              <w:rPr>
                <w:szCs w:val="21"/>
              </w:rPr>
            </w:pPr>
          </w:p>
          <w:p>
            <w:pPr>
              <w:spacing w:line="300" w:lineRule="exact"/>
              <w:rPr>
                <w:szCs w:val="21"/>
              </w:rPr>
            </w:pPr>
            <w:r>
              <w:rPr>
                <w:rFonts w:hint="eastAsia"/>
                <w:szCs w:val="21"/>
              </w:rPr>
              <w:t>上海凝瑞粘合剂科技发展有限公司位于金山区1355号，成立于2009年11月，是一家从事粘合剂科技领域内的技术开发、技术服务、技术咨询、粘合剂、铝塑复合板材料生产、加工，化工原料及产品（除危险化学品、监控化学品、烟花爆竹、民用爆炸品、易制毒化学品）销售。</w:t>
            </w:r>
            <w:r>
              <w:rPr>
                <w:rFonts w:hint="eastAsia" w:ascii="Arial" w:hAnsi="Arial" w:cs="Arial"/>
                <w:color w:val="0D0D0D"/>
                <w:sz w:val="24"/>
              </w:rPr>
              <w:t>主要产品及规模分别为：聚氨酯类胶黏剂18250吨/年、环氧类胶黏剂6450吨/年、水基类胶黏剂3300吨/年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215" w:type="dxa"/>
            <w:gridSpan w:val="5"/>
            <w:tcBorders>
              <w:top w:val="single" w:color="auto" w:sz="4" w:space="0"/>
              <w:left w:val="single" w:color="auto" w:sz="4" w:space="0"/>
              <w:bottom w:val="single" w:color="auto" w:sz="4" w:space="0"/>
              <w:right w:val="single" w:color="auto" w:sz="4" w:space="0"/>
            </w:tcBorders>
          </w:tcPr>
          <w:p>
            <w:pPr>
              <w:spacing w:line="300" w:lineRule="exact"/>
              <w:rPr>
                <w:szCs w:val="21"/>
              </w:rPr>
            </w:pPr>
            <w:r>
              <w:rPr>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104" w:type="dxa"/>
            <w:gridSpan w:val="3"/>
            <w:vAlign w:val="center"/>
          </w:tcPr>
          <w:p>
            <w:pPr>
              <w:spacing w:line="300" w:lineRule="exact"/>
              <w:jc w:val="center"/>
              <w:rPr>
                <w:szCs w:val="21"/>
              </w:rPr>
            </w:pPr>
            <w:r>
              <w:rPr>
                <w:szCs w:val="21"/>
              </w:rPr>
              <w:t>产品情况</w:t>
            </w:r>
          </w:p>
        </w:tc>
        <w:tc>
          <w:tcPr>
            <w:tcW w:w="4111" w:type="dxa"/>
            <w:gridSpan w:val="2"/>
            <w:vAlign w:val="center"/>
          </w:tcPr>
          <w:p>
            <w:pPr>
              <w:spacing w:line="300" w:lineRule="exact"/>
              <w:jc w:val="center"/>
              <w:rPr>
                <w:szCs w:val="21"/>
              </w:rPr>
            </w:pPr>
            <w:r>
              <w:rPr>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dxa"/>
            <w:vAlign w:val="center"/>
          </w:tcPr>
          <w:p>
            <w:pPr>
              <w:spacing w:line="300" w:lineRule="exact"/>
              <w:jc w:val="center"/>
              <w:rPr>
                <w:szCs w:val="21"/>
              </w:rPr>
            </w:pPr>
            <w:r>
              <w:rPr>
                <w:szCs w:val="21"/>
              </w:rPr>
              <w:t>产品名称</w:t>
            </w:r>
          </w:p>
        </w:tc>
        <w:tc>
          <w:tcPr>
            <w:tcW w:w="2014" w:type="dxa"/>
            <w:vAlign w:val="center"/>
          </w:tcPr>
          <w:p>
            <w:pPr>
              <w:spacing w:line="300" w:lineRule="exact"/>
              <w:jc w:val="center"/>
              <w:rPr>
                <w:szCs w:val="21"/>
              </w:rPr>
            </w:pPr>
            <w:r>
              <w:rPr>
                <w:szCs w:val="21"/>
              </w:rPr>
              <w:t>主要成分化学名</w:t>
            </w:r>
          </w:p>
        </w:tc>
        <w:tc>
          <w:tcPr>
            <w:tcW w:w="1671" w:type="dxa"/>
            <w:vAlign w:val="center"/>
          </w:tcPr>
          <w:p>
            <w:pPr>
              <w:spacing w:line="300" w:lineRule="exact"/>
              <w:jc w:val="center"/>
              <w:rPr>
                <w:szCs w:val="21"/>
              </w:rPr>
            </w:pPr>
            <w:r>
              <w:rPr>
                <w:szCs w:val="21"/>
              </w:rPr>
              <w:t>年产量</w:t>
            </w:r>
          </w:p>
        </w:tc>
        <w:tc>
          <w:tcPr>
            <w:tcW w:w="2410" w:type="dxa"/>
            <w:vAlign w:val="center"/>
          </w:tcPr>
          <w:p>
            <w:pPr>
              <w:spacing w:line="300" w:lineRule="exact"/>
              <w:jc w:val="center"/>
              <w:rPr>
                <w:szCs w:val="21"/>
              </w:rPr>
            </w:pPr>
            <w:r>
              <w:rPr>
                <w:szCs w:val="21"/>
              </w:rPr>
              <w:t>废物名称</w:t>
            </w:r>
          </w:p>
        </w:tc>
        <w:tc>
          <w:tcPr>
            <w:tcW w:w="1701" w:type="dxa"/>
            <w:vAlign w:val="center"/>
          </w:tcPr>
          <w:p>
            <w:pPr>
              <w:spacing w:line="300" w:lineRule="exact"/>
              <w:jc w:val="center"/>
              <w:rPr>
                <w:szCs w:val="21"/>
              </w:rPr>
            </w:pPr>
            <w:r>
              <w:rPr>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9" w:type="dxa"/>
            <w:vMerge w:val="restart"/>
            <w:vAlign w:val="center"/>
          </w:tcPr>
          <w:p>
            <w:pPr>
              <w:spacing w:line="300" w:lineRule="exact"/>
              <w:jc w:val="center"/>
              <w:rPr>
                <w:sz w:val="24"/>
              </w:rPr>
            </w:pPr>
          </w:p>
          <w:p>
            <w:pPr>
              <w:spacing w:line="300" w:lineRule="exact"/>
              <w:jc w:val="center"/>
              <w:rPr>
                <w:sz w:val="24"/>
              </w:rPr>
            </w:pPr>
            <w:r>
              <w:rPr>
                <w:rFonts w:hint="eastAsia"/>
                <w:sz w:val="24"/>
              </w:rPr>
              <w:t>胶黏剂</w:t>
            </w:r>
          </w:p>
        </w:tc>
        <w:tc>
          <w:tcPr>
            <w:tcW w:w="2014" w:type="dxa"/>
            <w:vMerge w:val="restart"/>
            <w:vAlign w:val="center"/>
          </w:tcPr>
          <w:p>
            <w:pPr>
              <w:spacing w:line="300" w:lineRule="exact"/>
              <w:jc w:val="center"/>
              <w:rPr>
                <w:sz w:val="24"/>
              </w:rPr>
            </w:pPr>
          </w:p>
          <w:p>
            <w:pPr>
              <w:spacing w:line="300" w:lineRule="exact"/>
              <w:jc w:val="center"/>
              <w:rPr>
                <w:sz w:val="24"/>
              </w:rPr>
            </w:pPr>
            <w:r>
              <w:rPr>
                <w:rFonts w:hint="eastAsia"/>
                <w:sz w:val="24"/>
              </w:rPr>
              <w:t>环氧树脂、聚氨酯等</w:t>
            </w:r>
          </w:p>
        </w:tc>
        <w:tc>
          <w:tcPr>
            <w:tcW w:w="1671" w:type="dxa"/>
            <w:vMerge w:val="restart"/>
            <w:vAlign w:val="center"/>
          </w:tcPr>
          <w:p>
            <w:pPr>
              <w:spacing w:line="300" w:lineRule="exact"/>
              <w:jc w:val="center"/>
              <w:rPr>
                <w:sz w:val="24"/>
              </w:rPr>
            </w:pPr>
          </w:p>
          <w:p>
            <w:pPr>
              <w:spacing w:line="300" w:lineRule="exact"/>
              <w:jc w:val="center"/>
              <w:rPr>
                <w:sz w:val="24"/>
              </w:rPr>
            </w:pPr>
            <w:r>
              <w:rPr>
                <w:rFonts w:hint="eastAsia"/>
                <w:sz w:val="24"/>
                <w:lang w:val="en-US" w:eastAsia="zh-CN"/>
              </w:rPr>
              <w:t>8500</w:t>
            </w:r>
            <w:r>
              <w:rPr>
                <w:rFonts w:hint="eastAsia"/>
                <w:sz w:val="24"/>
              </w:rPr>
              <w:t>t</w:t>
            </w:r>
          </w:p>
        </w:tc>
        <w:tc>
          <w:tcPr>
            <w:tcW w:w="2410" w:type="dxa"/>
            <w:vAlign w:val="center"/>
          </w:tcPr>
          <w:p>
            <w:pPr>
              <w:spacing w:line="300" w:lineRule="exact"/>
              <w:jc w:val="center"/>
            </w:pPr>
            <w:r>
              <w:rPr>
                <w:rFonts w:hint="eastAsia"/>
              </w:rPr>
              <w:t>200L有机树脂废包装桶</w:t>
            </w:r>
          </w:p>
        </w:tc>
        <w:tc>
          <w:tcPr>
            <w:tcW w:w="1701" w:type="dxa"/>
          </w:tcPr>
          <w:p>
            <w:pPr>
              <w:spacing w:line="300" w:lineRule="exact"/>
              <w:jc w:val="center"/>
            </w:pPr>
            <w:r>
              <w:rPr>
                <w:sz w:val="24"/>
              </w:rPr>
              <w:t>10</w:t>
            </w:r>
            <w:r>
              <w:rPr>
                <w:rFonts w:hint="eastAsia"/>
                <w:sz w:val="24"/>
              </w:rPr>
              <w:t>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rPr>
                <w:rFonts w:hint="default" w:eastAsia="宋体"/>
                <w:lang w:val="en-US" w:eastAsia="zh-CN"/>
              </w:rPr>
            </w:pPr>
            <w:r>
              <w:rPr>
                <w:rFonts w:hint="eastAsia"/>
                <w:lang w:val="en-US" w:eastAsia="zh-CN"/>
              </w:rPr>
              <w:t>1000L</w:t>
            </w:r>
            <w:r>
              <w:rPr>
                <w:rFonts w:hint="eastAsia"/>
              </w:rPr>
              <w:t>有机树脂废包装桶</w:t>
            </w:r>
          </w:p>
        </w:tc>
        <w:tc>
          <w:tcPr>
            <w:tcW w:w="1701" w:type="dxa"/>
          </w:tcPr>
          <w:p>
            <w:pPr>
              <w:spacing w:line="300" w:lineRule="exact"/>
              <w:jc w:val="center"/>
              <w:rPr>
                <w:rFonts w:hint="default" w:eastAsia="宋体"/>
                <w:lang w:val="en-US" w:eastAsia="zh-CN"/>
              </w:rPr>
            </w:pPr>
            <w:r>
              <w:rPr>
                <w:rFonts w:hint="eastAsia"/>
                <w:lang w:val="en-US" w:eastAsia="zh-CN"/>
              </w:rPr>
              <w:t>5000只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restart"/>
            <w:vAlign w:val="center"/>
          </w:tcPr>
          <w:p>
            <w:pPr>
              <w:spacing w:line="300" w:lineRule="exact"/>
              <w:jc w:val="center"/>
              <w:rPr>
                <w:sz w:val="24"/>
              </w:rPr>
            </w:pPr>
          </w:p>
        </w:tc>
        <w:tc>
          <w:tcPr>
            <w:tcW w:w="2014" w:type="dxa"/>
            <w:vMerge w:val="restart"/>
            <w:vAlign w:val="center"/>
          </w:tcPr>
          <w:p>
            <w:pPr>
              <w:spacing w:line="300" w:lineRule="exact"/>
              <w:jc w:val="center"/>
              <w:rPr>
                <w:sz w:val="24"/>
              </w:rPr>
            </w:pPr>
          </w:p>
        </w:tc>
        <w:tc>
          <w:tcPr>
            <w:tcW w:w="1671" w:type="dxa"/>
            <w:vMerge w:val="restart"/>
            <w:vAlign w:val="center"/>
          </w:tcPr>
          <w:p>
            <w:pPr>
              <w:spacing w:line="300" w:lineRule="exact"/>
              <w:jc w:val="center"/>
              <w:rPr>
                <w:sz w:val="24"/>
              </w:rPr>
            </w:pPr>
          </w:p>
        </w:tc>
        <w:tc>
          <w:tcPr>
            <w:tcW w:w="2410" w:type="dxa"/>
            <w:vAlign w:val="center"/>
          </w:tcPr>
          <w:p>
            <w:pPr>
              <w:spacing w:line="300" w:lineRule="exact"/>
              <w:jc w:val="center"/>
              <w:rPr>
                <w:sz w:val="24"/>
              </w:rPr>
            </w:pPr>
          </w:p>
        </w:tc>
        <w:tc>
          <w:tcPr>
            <w:tcW w:w="1701" w:type="dxa"/>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rPr>
                <w:sz w:val="24"/>
              </w:rPr>
            </w:pPr>
          </w:p>
        </w:tc>
        <w:tc>
          <w:tcPr>
            <w:tcW w:w="1701" w:type="dxa"/>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rPr>
                <w:sz w:val="24"/>
              </w:rPr>
            </w:pPr>
          </w:p>
        </w:tc>
        <w:tc>
          <w:tcPr>
            <w:tcW w:w="1701" w:type="dxa"/>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restart"/>
            <w:vAlign w:val="center"/>
          </w:tcPr>
          <w:p>
            <w:pPr>
              <w:spacing w:line="300" w:lineRule="exact"/>
              <w:jc w:val="center"/>
            </w:pPr>
          </w:p>
        </w:tc>
        <w:tc>
          <w:tcPr>
            <w:tcW w:w="2014" w:type="dxa"/>
            <w:vMerge w:val="restart"/>
            <w:vAlign w:val="center"/>
          </w:tcPr>
          <w:p>
            <w:pPr>
              <w:spacing w:line="300" w:lineRule="exact"/>
              <w:jc w:val="center"/>
            </w:pPr>
          </w:p>
        </w:tc>
        <w:tc>
          <w:tcPr>
            <w:tcW w:w="1671" w:type="dxa"/>
            <w:vMerge w:val="restart"/>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215" w:type="dxa"/>
            <w:gridSpan w:val="5"/>
            <w:vAlign w:val="center"/>
          </w:tcPr>
          <w:p>
            <w:pPr>
              <w:spacing w:line="300" w:lineRule="exact"/>
              <w:rPr>
                <w:sz w:val="24"/>
              </w:rPr>
            </w:pPr>
            <w:r>
              <w:rPr>
                <w:rFonts w:eastAsia="黑体"/>
                <w:sz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215" w:type="dxa"/>
            <w:gridSpan w:val="5"/>
          </w:tcPr>
          <w:p>
            <w:pPr>
              <w:spacing w:line="300" w:lineRule="exact"/>
            </w:pPr>
            <w:r>
              <w:t>文字描述及工艺流程图</w:t>
            </w:r>
          </w:p>
          <w:p>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申请转移的废物为化学品包装容器</w:t>
            </w:r>
          </w:p>
          <w:p>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本公司各类胶黏剂生产工艺基本一致具体如下：</w:t>
            </w:r>
          </w:p>
          <w:p>
            <w:pPr>
              <w:tabs>
                <w:tab w:val="left" w:pos="2320"/>
              </w:tabs>
              <w:spacing w:line="300" w:lineRule="exact"/>
              <w:rPr>
                <w:rFonts w:hint="eastAsia"/>
                <w:sz w:val="24"/>
              </w:rPr>
            </w:pPr>
            <w:r>
              <w:drawing>
                <wp:anchor distT="0" distB="0" distL="114300" distR="114300" simplePos="0" relativeHeight="251660288" behindDoc="0" locked="0" layoutInCell="1" allowOverlap="1">
                  <wp:simplePos x="0" y="0"/>
                  <wp:positionH relativeFrom="column">
                    <wp:posOffset>569595</wp:posOffset>
                  </wp:positionH>
                  <wp:positionV relativeFrom="paragraph">
                    <wp:posOffset>55880</wp:posOffset>
                  </wp:positionV>
                  <wp:extent cx="3238500" cy="39052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38500" cy="3905250"/>
                          </a:xfrm>
                          <a:prstGeom prst="rect">
                            <a:avLst/>
                          </a:prstGeom>
                          <a:noFill/>
                          <a:ln>
                            <a:noFill/>
                          </a:ln>
                        </pic:spPr>
                      </pic:pic>
                    </a:graphicData>
                  </a:graphic>
                </wp:anchor>
              </w:drawing>
            </w: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tabs>
                <w:tab w:val="left" w:pos="2320"/>
              </w:tabs>
              <w:spacing w:line="300" w:lineRule="exact"/>
              <w:rPr>
                <w:rFonts w:hint="eastAsia"/>
                <w:sz w:val="24"/>
              </w:rPr>
            </w:pPr>
          </w:p>
          <w:p>
            <w:pPr>
              <w:pStyle w:val="8"/>
              <w:spacing w:line="269" w:lineRule="exact"/>
              <w:ind w:left="97" w:leftChars="46" w:firstLine="210" w:firstLineChars="100"/>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215" w:type="dxa"/>
            <w:gridSpan w:val="5"/>
          </w:tcPr>
          <w:p>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215" w:type="dxa"/>
            <w:gridSpan w:val="5"/>
          </w:tcPr>
          <w:tbl>
            <w:tblPr>
              <w:tblStyle w:val="5"/>
              <w:tblpPr w:leftFromText="180" w:rightFromText="180" w:vertAnchor="text" w:horzAnchor="page" w:tblpX="45" w:tblpY="624"/>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rPr>
                      <w:szCs w:val="21"/>
                    </w:rPr>
                  </w:pPr>
                  <w:r>
                    <w:rPr>
                      <w:rFonts w:hAnsi="宋体"/>
                      <w:szCs w:val="21"/>
                    </w:rPr>
                    <w:t>废物名称</w:t>
                  </w:r>
                </w:p>
              </w:tc>
              <w:tc>
                <w:tcPr>
                  <w:tcW w:w="1769" w:type="dxa"/>
                  <w:vAlign w:val="center"/>
                </w:tcPr>
                <w:p>
                  <w:pPr>
                    <w:rPr>
                      <w:szCs w:val="21"/>
                    </w:rPr>
                  </w:pPr>
                  <w:r>
                    <w:rPr>
                      <w:rFonts w:hAnsi="宋体"/>
                      <w:szCs w:val="21"/>
                    </w:rPr>
                    <w:t>主要组分</w:t>
                  </w:r>
                </w:p>
              </w:tc>
              <w:tc>
                <w:tcPr>
                  <w:tcW w:w="1680" w:type="dxa"/>
                  <w:vAlign w:val="center"/>
                </w:tcPr>
                <w:p>
                  <w:pPr>
                    <w:rPr>
                      <w:szCs w:val="21"/>
                    </w:rPr>
                  </w:pPr>
                  <w:r>
                    <w:rPr>
                      <w:rFonts w:hAnsi="宋体"/>
                      <w:szCs w:val="21"/>
                    </w:rPr>
                    <w:t>相应比例（</w:t>
                  </w:r>
                  <w:r>
                    <w:rPr>
                      <w:szCs w:val="21"/>
                    </w:rPr>
                    <w:t>%</w:t>
                  </w:r>
                  <w:r>
                    <w:rPr>
                      <w:rFonts w:hAnsi="宋体"/>
                      <w:szCs w:val="21"/>
                    </w:rPr>
                    <w:t>）</w:t>
                  </w:r>
                </w:p>
              </w:tc>
              <w:tc>
                <w:tcPr>
                  <w:tcW w:w="2205" w:type="dxa"/>
                  <w:vAlign w:val="center"/>
                </w:tcPr>
                <w:p>
                  <w:pPr>
                    <w:rPr>
                      <w:szCs w:val="21"/>
                    </w:rPr>
                  </w:pPr>
                  <w:r>
                    <w:rPr>
                      <w:rFonts w:hAnsi="宋体"/>
                      <w:szCs w:val="21"/>
                    </w:rPr>
                    <w:t>危害特性</w:t>
                  </w:r>
                </w:p>
              </w:tc>
              <w:tc>
                <w:tcPr>
                  <w:tcW w:w="1680" w:type="dxa"/>
                  <w:vAlign w:val="center"/>
                </w:tcPr>
                <w:p>
                  <w:pPr>
                    <w:rPr>
                      <w:szCs w:val="21"/>
                    </w:rPr>
                  </w:pPr>
                  <w:r>
                    <w:rPr>
                      <w:rFonts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rPr>
                      <w:szCs w:val="21"/>
                    </w:rPr>
                  </w:pPr>
                  <w:r>
                    <w:rPr>
                      <w:rFonts w:hint="eastAsia"/>
                    </w:rPr>
                    <w:t>200L有机树脂废包装桶</w:t>
                  </w:r>
                </w:p>
              </w:tc>
              <w:tc>
                <w:tcPr>
                  <w:tcW w:w="1769" w:type="dxa"/>
                </w:tcPr>
                <w:p>
                  <w:pPr>
                    <w:rPr>
                      <w:szCs w:val="21"/>
                    </w:rPr>
                  </w:pPr>
                  <w:r>
                    <w:rPr>
                      <w:rFonts w:hint="eastAsia"/>
                      <w:szCs w:val="21"/>
                    </w:rPr>
                    <w:t>环氧树脂类、聚氨酯类</w:t>
                  </w:r>
                </w:p>
              </w:tc>
              <w:tc>
                <w:tcPr>
                  <w:tcW w:w="1680" w:type="dxa"/>
                </w:tcPr>
                <w:p>
                  <w:pPr>
                    <w:rPr>
                      <w:szCs w:val="21"/>
                    </w:rPr>
                  </w:pPr>
                  <w:r>
                    <w:rPr>
                      <w:rFonts w:hint="eastAsia"/>
                      <w:szCs w:val="21"/>
                    </w:rPr>
                    <w:t>1-2</w:t>
                  </w:r>
                </w:p>
              </w:tc>
              <w:tc>
                <w:tcPr>
                  <w:tcW w:w="2205" w:type="dxa"/>
                  <w:vMerge w:val="restart"/>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r>
                    <w:rPr>
                      <w:rFonts w:hint="eastAsia"/>
                    </w:rPr>
                    <w:t>√</w:t>
                  </w:r>
                </w:p>
                <w:p>
                  <w:pPr>
                    <w:rPr>
                      <w:szCs w:val="21"/>
                    </w:rPr>
                  </w:pPr>
                  <w:r>
                    <w:rPr>
                      <w:rFonts w:hAnsi="宋体"/>
                      <w:szCs w:val="21"/>
                    </w:rPr>
                    <w:t>易燃性</w:t>
                  </w:r>
                  <w:r>
                    <w:rPr>
                      <w:szCs w:val="21"/>
                    </w:rPr>
                    <w:t xml:space="preserve">         □</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Merge w:val="restart"/>
                  <w:vAlign w:val="center"/>
                </w:tcPr>
                <w:p>
                  <w:pPr>
                    <w:rPr>
                      <w:szCs w:val="21"/>
                    </w:rPr>
                  </w:pPr>
                  <w:r>
                    <w:rPr>
                      <w:rFonts w:hAnsi="宋体"/>
                      <w:szCs w:val="21"/>
                    </w:rPr>
                    <w:t>固态</w:t>
                  </w:r>
                  <w:r>
                    <w:rPr>
                      <w:szCs w:val="21"/>
                    </w:rPr>
                    <w:t xml:space="preserve">      □</w:t>
                  </w:r>
                  <w:r>
                    <w:rPr>
                      <w:rFonts w:hint="eastAsia"/>
                    </w:rPr>
                    <w:t>√</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r>
                    <w:rPr>
                      <w:rFonts w:hint="eastAsia"/>
                      <w:szCs w:val="21"/>
                    </w:rPr>
                    <w:t>铁皮</w:t>
                  </w:r>
                </w:p>
              </w:tc>
              <w:tc>
                <w:tcPr>
                  <w:tcW w:w="1680" w:type="dxa"/>
                </w:tcPr>
                <w:p>
                  <w:pPr>
                    <w:rPr>
                      <w:szCs w:val="21"/>
                    </w:rPr>
                  </w:pPr>
                  <w:r>
                    <w:rPr>
                      <w:rFonts w:hint="eastAsia"/>
                      <w:szCs w:val="21"/>
                    </w:rPr>
                    <w:t>98-99</w:t>
                  </w: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pPr>
                    <w:rPr>
                      <w:szCs w:val="21"/>
                    </w:rPr>
                  </w:pPr>
                </w:p>
              </w:tc>
              <w:tc>
                <w:tcPr>
                  <w:tcW w:w="1769" w:type="dxa"/>
                </w:tcPr>
                <w:p>
                  <w:pPr>
                    <w:rPr>
                      <w:szCs w:val="21"/>
                    </w:rPr>
                  </w:pPr>
                </w:p>
              </w:tc>
              <w:tc>
                <w:tcPr>
                  <w:tcW w:w="1680" w:type="dxa"/>
                </w:tcPr>
                <w:p>
                  <w:pPr>
                    <w:rPr>
                      <w:szCs w:val="21"/>
                    </w:rPr>
                  </w:pPr>
                </w:p>
              </w:tc>
              <w:tc>
                <w:tcPr>
                  <w:tcW w:w="2205" w:type="dxa"/>
                  <w:vMerge w:val="restart"/>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p>
                <w:p>
                  <w:pPr>
                    <w:rPr>
                      <w:szCs w:val="21"/>
                    </w:rPr>
                  </w:pPr>
                  <w:r>
                    <w:rPr>
                      <w:rFonts w:hAnsi="宋体"/>
                      <w:szCs w:val="21"/>
                    </w:rPr>
                    <w:t>易燃性</w:t>
                  </w:r>
                  <w:r>
                    <w:rPr>
                      <w:szCs w:val="21"/>
                    </w:rPr>
                    <w:t xml:space="preserve">         □</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Merge w:val="restart"/>
                  <w:vAlign w:val="center"/>
                </w:tcPr>
                <w:p>
                  <w:pPr>
                    <w:rPr>
                      <w:szCs w:val="21"/>
                    </w:rPr>
                  </w:pPr>
                  <w:r>
                    <w:rPr>
                      <w:rFonts w:hAnsi="宋体"/>
                      <w:szCs w:val="21"/>
                    </w:rPr>
                    <w:t>固态</w:t>
                  </w:r>
                  <w:r>
                    <w:rPr>
                      <w:szCs w:val="21"/>
                    </w:rPr>
                    <w:t xml:space="preserve">       □</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pPr>
                    <w:rPr>
                      <w:szCs w:val="21"/>
                    </w:rPr>
                  </w:pPr>
                </w:p>
                <w:p>
                  <w:pPr>
                    <w:rPr>
                      <w:szCs w:val="21"/>
                    </w:rPr>
                  </w:pPr>
                </w:p>
                <w:p>
                  <w:pPr>
                    <w:rPr>
                      <w:szCs w:val="21"/>
                    </w:rPr>
                  </w:pPr>
                </w:p>
                <w:p>
                  <w:pPr>
                    <w:rPr>
                      <w:szCs w:val="21"/>
                    </w:rPr>
                  </w:pPr>
                </w:p>
                <w:p>
                  <w:pPr>
                    <w:rPr>
                      <w:szCs w:val="21"/>
                    </w:rPr>
                  </w:pPr>
                </w:p>
              </w:tc>
              <w:tc>
                <w:tcPr>
                  <w:tcW w:w="1769" w:type="dxa"/>
                </w:tcPr>
                <w:p>
                  <w:pPr>
                    <w:rPr>
                      <w:szCs w:val="21"/>
                    </w:rPr>
                  </w:pPr>
                </w:p>
              </w:tc>
              <w:tc>
                <w:tcPr>
                  <w:tcW w:w="1680" w:type="dxa"/>
                </w:tcPr>
                <w:p>
                  <w:pPr>
                    <w:rPr>
                      <w:szCs w:val="21"/>
                    </w:rPr>
                  </w:pPr>
                </w:p>
              </w:tc>
              <w:tc>
                <w:tcPr>
                  <w:tcW w:w="2205" w:type="dxa"/>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p>
                <w:p>
                  <w:pPr>
                    <w:rPr>
                      <w:szCs w:val="21"/>
                    </w:rPr>
                  </w:pPr>
                  <w:r>
                    <w:rPr>
                      <w:rFonts w:hAnsi="宋体"/>
                      <w:szCs w:val="21"/>
                    </w:rPr>
                    <w:t>易燃性</w:t>
                  </w:r>
                  <w:r>
                    <w:rPr>
                      <w:szCs w:val="21"/>
                    </w:rPr>
                    <w:t xml:space="preserve">         □</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Align w:val="center"/>
                </w:tcPr>
                <w:p>
                  <w:pPr>
                    <w:rPr>
                      <w:szCs w:val="21"/>
                    </w:rPr>
                  </w:pPr>
                  <w:r>
                    <w:rPr>
                      <w:rFonts w:hAnsi="宋体"/>
                      <w:szCs w:val="21"/>
                    </w:rPr>
                    <w:t>固态</w:t>
                  </w:r>
                  <w:r>
                    <w:rPr>
                      <w:szCs w:val="21"/>
                    </w:rPr>
                    <w:t xml:space="preserve">       □</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bl>
          <w:p>
            <w:pPr>
              <w:spacing w:line="300" w:lineRule="exact"/>
              <w:rPr>
                <w:rFonts w:eastAsia="黑体"/>
                <w:sz w:val="24"/>
              </w:rPr>
            </w:pPr>
          </w:p>
        </w:tc>
      </w:tr>
    </w:tbl>
    <w:p>
      <w:pPr>
        <w:rPr>
          <w:rFonts w:eastAsia="黑体"/>
          <w:sz w:val="28"/>
          <w:szCs w:val="28"/>
        </w:rPr>
        <w:sectPr>
          <w:pgSz w:w="11906" w:h="16838"/>
          <w:pgMar w:top="1440" w:right="1800" w:bottom="1440" w:left="1800" w:header="851" w:footer="992" w:gutter="0"/>
          <w:cols w:space="720" w:num="1"/>
          <w:docGrid w:type="lines" w:linePitch="312" w:charSpace="0"/>
        </w:sectPr>
      </w:pPr>
    </w:p>
    <w:p>
      <w:pPr>
        <w:rPr>
          <w:rFonts w:eastAsia="黑体"/>
          <w:sz w:val="28"/>
          <w:szCs w:val="28"/>
        </w:rPr>
      </w:pPr>
      <w:r>
        <w:rPr>
          <w:rFonts w:eastAsia="黑体"/>
          <w:sz w:val="28"/>
          <w:szCs w:val="28"/>
        </w:rPr>
        <w:t>第二部分：废物包装、运输情况</w:t>
      </w:r>
    </w:p>
    <w:tbl>
      <w:tblPr>
        <w:tblStyle w:val="5"/>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pPr>
              <w:jc w:val="center"/>
            </w:pPr>
            <w:r>
              <w:t>序号</w:t>
            </w:r>
          </w:p>
        </w:tc>
        <w:tc>
          <w:tcPr>
            <w:tcW w:w="1634" w:type="dxa"/>
            <w:vAlign w:val="center"/>
          </w:tcPr>
          <w:p>
            <w:pPr>
              <w:jc w:val="center"/>
            </w:pPr>
            <w:r>
              <w:t>废物名称</w:t>
            </w:r>
          </w:p>
        </w:tc>
        <w:tc>
          <w:tcPr>
            <w:tcW w:w="2075" w:type="dxa"/>
            <w:vAlign w:val="center"/>
          </w:tcPr>
          <w:p>
            <w:pPr>
              <w:jc w:val="center"/>
            </w:pPr>
            <w:r>
              <w:t>包装物（容器）名称</w:t>
            </w:r>
          </w:p>
        </w:tc>
        <w:tc>
          <w:tcPr>
            <w:tcW w:w="1421" w:type="dxa"/>
            <w:vAlign w:val="center"/>
          </w:tcPr>
          <w:p>
            <w:pPr>
              <w:jc w:val="center"/>
            </w:pPr>
            <w:r>
              <w:t>材质</w:t>
            </w:r>
          </w:p>
        </w:tc>
        <w:tc>
          <w:tcPr>
            <w:tcW w:w="1379" w:type="dxa"/>
            <w:vAlign w:val="center"/>
          </w:tcPr>
          <w:p>
            <w:pPr>
              <w:jc w:val="center"/>
            </w:pPr>
            <w:r>
              <w:t>容积</w:t>
            </w:r>
          </w:p>
        </w:tc>
        <w:tc>
          <w:tcPr>
            <w:tcW w:w="1716"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pPr>
              <w:jc w:val="center"/>
            </w:pPr>
            <w:r>
              <w:rPr>
                <w:rFonts w:hint="eastAsia"/>
              </w:rPr>
              <w:t>1</w:t>
            </w:r>
          </w:p>
        </w:tc>
        <w:tc>
          <w:tcPr>
            <w:tcW w:w="1634" w:type="dxa"/>
            <w:vAlign w:val="center"/>
          </w:tcPr>
          <w:p>
            <w:pPr>
              <w:jc w:val="center"/>
              <w:rPr>
                <w:rFonts w:hint="eastAsia"/>
              </w:rPr>
            </w:pPr>
            <w:r>
              <w:rPr>
                <w:rFonts w:hint="eastAsia"/>
              </w:rPr>
              <w:t>废空桶</w:t>
            </w:r>
          </w:p>
        </w:tc>
        <w:tc>
          <w:tcPr>
            <w:tcW w:w="2075" w:type="dxa"/>
            <w:vAlign w:val="center"/>
          </w:tcPr>
          <w:p>
            <w:pPr>
              <w:jc w:val="center"/>
            </w:pPr>
            <w:r>
              <w:rPr>
                <w:rFonts w:hint="eastAsia"/>
              </w:rPr>
              <w:t>200L包装桶</w:t>
            </w:r>
          </w:p>
        </w:tc>
        <w:tc>
          <w:tcPr>
            <w:tcW w:w="1421" w:type="dxa"/>
            <w:vAlign w:val="center"/>
          </w:tcPr>
          <w:p>
            <w:pPr>
              <w:jc w:val="center"/>
            </w:pPr>
            <w:r>
              <w:rPr>
                <w:rFonts w:hint="eastAsia"/>
              </w:rPr>
              <w:t>铁</w:t>
            </w:r>
          </w:p>
        </w:tc>
        <w:tc>
          <w:tcPr>
            <w:tcW w:w="1379" w:type="dxa"/>
          </w:tcPr>
          <w:p>
            <w:pPr>
              <w:jc w:val="center"/>
            </w:pPr>
            <w:r>
              <w:rPr>
                <w:rFonts w:hint="eastAsia"/>
              </w:rPr>
              <w:t>200L</w:t>
            </w:r>
          </w:p>
        </w:tc>
        <w:tc>
          <w:tcPr>
            <w:tcW w:w="1716"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jc w:val="center"/>
              <w:rPr>
                <w:rFonts w:hint="eastAsia" w:eastAsia="宋体"/>
                <w:lang w:val="en-US" w:eastAsia="zh-CN"/>
              </w:rPr>
            </w:pPr>
            <w:r>
              <w:rPr>
                <w:rFonts w:hint="eastAsia"/>
                <w:lang w:val="en-US" w:eastAsia="zh-CN"/>
              </w:rPr>
              <w:t>2</w:t>
            </w:r>
          </w:p>
        </w:tc>
        <w:tc>
          <w:tcPr>
            <w:tcW w:w="1634" w:type="dxa"/>
          </w:tcPr>
          <w:p>
            <w:pPr>
              <w:jc w:val="center"/>
            </w:pPr>
            <w:r>
              <w:rPr>
                <w:rFonts w:hint="eastAsia"/>
              </w:rPr>
              <w:t>废空桶</w:t>
            </w:r>
          </w:p>
        </w:tc>
        <w:tc>
          <w:tcPr>
            <w:tcW w:w="2075" w:type="dxa"/>
          </w:tcPr>
          <w:p>
            <w:pPr>
              <w:jc w:val="center"/>
              <w:rPr>
                <w:rFonts w:hint="default" w:eastAsia="宋体"/>
                <w:lang w:val="en-US" w:eastAsia="zh-CN"/>
              </w:rPr>
            </w:pPr>
            <w:r>
              <w:rPr>
                <w:rFonts w:hint="eastAsia"/>
                <w:lang w:val="en-US" w:eastAsia="zh-CN"/>
              </w:rPr>
              <w:t>1000L包装桶</w:t>
            </w:r>
          </w:p>
        </w:tc>
        <w:tc>
          <w:tcPr>
            <w:tcW w:w="1421" w:type="dxa"/>
          </w:tcPr>
          <w:p>
            <w:pPr>
              <w:jc w:val="center"/>
              <w:rPr>
                <w:rFonts w:hint="eastAsia" w:eastAsia="宋体"/>
                <w:lang w:val="en-US" w:eastAsia="zh-CN"/>
              </w:rPr>
            </w:pPr>
            <w:r>
              <w:rPr>
                <w:rFonts w:hint="eastAsia"/>
                <w:lang w:val="en-US" w:eastAsia="zh-CN"/>
              </w:rPr>
              <w:t>塑料</w:t>
            </w:r>
          </w:p>
        </w:tc>
        <w:tc>
          <w:tcPr>
            <w:tcW w:w="1379" w:type="dxa"/>
          </w:tcPr>
          <w:p>
            <w:pPr>
              <w:jc w:val="center"/>
              <w:rPr>
                <w:rFonts w:hint="default" w:eastAsia="宋体"/>
                <w:lang w:val="en-US" w:eastAsia="zh-CN"/>
              </w:rPr>
            </w:pPr>
            <w:r>
              <w:rPr>
                <w:rFonts w:hint="eastAsia"/>
                <w:lang w:val="en-US" w:eastAsia="zh-CN"/>
              </w:rPr>
              <w:t>1000L</w:t>
            </w:r>
          </w:p>
        </w:tc>
        <w:tc>
          <w:tcPr>
            <w:tcW w:w="1716" w:type="dxa"/>
          </w:tcPr>
          <w:p>
            <w:pPr>
              <w:jc w:val="center"/>
              <w:rPr>
                <w:rFonts w:hint="eastAsia" w:eastAsia="宋体"/>
                <w:lang w:val="en-US" w:eastAsia="zh-CN"/>
              </w:rPr>
            </w:pPr>
            <w:r>
              <w:rPr>
                <w:rFonts w:hint="eastAsia"/>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tc>
        <w:tc>
          <w:tcPr>
            <w:tcW w:w="1634" w:type="dxa"/>
          </w:tcPr>
          <w:p/>
        </w:tc>
        <w:tc>
          <w:tcPr>
            <w:tcW w:w="2075"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tc>
        <w:tc>
          <w:tcPr>
            <w:tcW w:w="1634" w:type="dxa"/>
          </w:tcPr>
          <w:p/>
        </w:tc>
        <w:tc>
          <w:tcPr>
            <w:tcW w:w="2075"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r>
              <w:rPr>
                <w:b/>
                <w:bCs/>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exact"/>
        </w:trPr>
        <w:tc>
          <w:tcPr>
            <w:tcW w:w="9240" w:type="dxa"/>
            <w:gridSpan w:val="6"/>
          </w:tcPr>
          <w:p>
            <w:r>
              <w:t>运输</w:t>
            </w:r>
            <w:r>
              <w:rPr>
                <w:rFonts w:hint="eastAsia"/>
              </w:rPr>
              <w:t>单位、车辆</w:t>
            </w:r>
            <w:r>
              <w:t>是否符合交管部门运输规定</w:t>
            </w:r>
            <w:r>
              <w:rPr>
                <w:rFonts w:hint="eastAsia"/>
              </w:rPr>
              <w:t>及环保要求</w:t>
            </w:r>
            <w:r>
              <w:t>（文字描述）</w:t>
            </w:r>
          </w:p>
          <w:p>
            <w:pPr>
              <w:spacing w:line="400" w:lineRule="exact"/>
              <w:ind w:firstLine="420"/>
              <w:rPr>
                <w:rFonts w:ascii="宋体" w:hAnsi="宋体" w:cs="宋体"/>
              </w:rPr>
            </w:pPr>
            <w:r>
              <w:rPr>
                <w:rFonts w:hint="eastAsia" w:ascii="宋体" w:hAnsi="宋体" w:cs="宋体"/>
              </w:rPr>
              <w:t>本次申请的危险废物主要将委托以下两家运输公司运输：</w:t>
            </w:r>
          </w:p>
          <w:p>
            <w:pPr>
              <w:numPr>
                <w:ilvl w:val="0"/>
                <w:numId w:val="1"/>
              </w:numPr>
              <w:spacing w:line="400" w:lineRule="exact"/>
              <w:ind w:firstLine="420"/>
              <w:rPr>
                <w:rFonts w:ascii="宋体" w:hAnsi="宋体" w:cs="宋体"/>
              </w:rPr>
            </w:pPr>
            <w:r>
              <w:rPr>
                <w:rFonts w:hint="eastAsia" w:ascii="宋体" w:hAnsi="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pPr>
              <w:numPr>
                <w:ilvl w:val="0"/>
                <w:numId w:val="1"/>
              </w:numPr>
              <w:spacing w:line="400" w:lineRule="exact"/>
              <w:ind w:firstLine="420"/>
              <w:rPr>
                <w:rFonts w:ascii="宋体" w:hAnsi="宋体" w:cs="宋体"/>
              </w:rPr>
            </w:pPr>
            <w:r>
              <w:rPr>
                <w:rFonts w:hint="eastAsia" w:ascii="宋体" w:hAnsi="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pPr>
              <w:spacing w:line="400" w:lineRule="exact"/>
              <w:ind w:firstLine="420"/>
              <w:rPr>
                <w:rFonts w:ascii="宋体" w:hAnsi="宋体" w:cs="宋体"/>
              </w:rPr>
            </w:pPr>
            <w:r>
              <w:rPr>
                <w:rFonts w:hint="eastAsia" w:ascii="宋体" w:hAnsi="宋体" w:cs="宋体"/>
              </w:rPr>
              <w:t>危废运输车辆需取得中华人民共和国道路运输许可证，排放标准需达到国Ⅳ标准，车辆应当安装ABS装置，安装具有卫星定位功能的行驶记录仪，车辆审验及技术等级均已通过审核。（后附车辆清单）</w:t>
            </w:r>
          </w:p>
          <w:p>
            <w:pPr>
              <w:rPr>
                <w:b/>
                <w:bCs/>
              </w:rPr>
            </w:pPr>
            <w:r>
              <w:rPr>
                <w:rFonts w:hint="eastAsia" w:ascii="宋体" w:hAnsi="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240" w:type="dxa"/>
            <w:gridSpan w:val="6"/>
          </w:tcPr>
          <w:p>
            <w:r>
              <w:t xml:space="preserve">运输方式：   道路 </w:t>
            </w:r>
            <w:r>
              <w:rPr>
                <w:rFonts w:ascii="Arial" w:hAnsi="Arial" w:cs="Arial"/>
              </w:rPr>
              <w:t>√</w:t>
            </w:r>
            <w:r>
              <w:t xml:space="preserve">      </w:t>
            </w:r>
            <w:r>
              <w:rPr>
                <w:rFonts w:hAnsi="宋体"/>
              </w:rPr>
              <w:t>铁路</w:t>
            </w:r>
            <w:r>
              <w:t xml:space="preserve"> □      </w:t>
            </w:r>
            <w:r>
              <w:rPr>
                <w:rFonts w:hAnsi="宋体"/>
              </w:rPr>
              <w:t>水路</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exact"/>
        </w:trPr>
        <w:tc>
          <w:tcPr>
            <w:tcW w:w="9240" w:type="dxa"/>
            <w:gridSpan w:val="6"/>
          </w:tcPr>
          <w:p>
            <w:r>
              <w:t>运输路线文字描述：（写明途经省、市、县（区））</w:t>
            </w:r>
          </w:p>
          <w:p/>
          <w:p>
            <w:pPr>
              <w:spacing w:line="400" w:lineRule="exact"/>
              <w:jc w:val="left"/>
            </w:pPr>
            <w:r>
              <w:rPr>
                <w:rFonts w:hint="eastAsia"/>
              </w:rPr>
              <w:t>废物运输方式：公路运输</w:t>
            </w:r>
          </w:p>
          <w:p>
            <w:pPr>
              <w:spacing w:line="400" w:lineRule="exact"/>
              <w:jc w:val="left"/>
            </w:pPr>
            <w:r>
              <w:rPr>
                <w:rFonts w:hint="eastAsia"/>
              </w:rPr>
              <w:t>途径线路：</w:t>
            </w:r>
            <w:r>
              <w:rPr>
                <w:rFonts w:hint="eastAsia" w:ascii="宋体" w:hAnsi="宋体"/>
              </w:rPr>
              <w:t>上海市</w:t>
            </w:r>
            <w:r>
              <w:rPr>
                <w:rFonts w:hint="eastAsia" w:ascii="宋体" w:hAnsi="宋体"/>
                <w:lang w:val="en-US" w:eastAsia="zh-CN"/>
              </w:rPr>
              <w:t>金山</w:t>
            </w:r>
            <w:r>
              <w:rPr>
                <w:rFonts w:hint="eastAsia" w:ascii="宋体" w:hAnsi="宋体"/>
              </w:rPr>
              <w:t>区</w:t>
            </w:r>
            <w:r>
              <w:rPr>
                <w:rFonts w:hint="eastAsia"/>
              </w:rPr>
              <w:t>——江苏省苏州市（昆山市、相城区）——江苏省无锡市（锡山区、惠山区）——江苏省常州市武进区</w:t>
            </w:r>
          </w:p>
          <w:p>
            <w:pPr>
              <w:spacing w:line="400" w:lineRule="exact"/>
              <w:jc w:val="left"/>
              <w:rPr>
                <w:rFonts w:hint="eastAsia"/>
              </w:rPr>
            </w:pPr>
            <w:r>
              <w:drawing>
                <wp:anchor distT="0" distB="0" distL="114300" distR="114300" simplePos="0" relativeHeight="251661312" behindDoc="0" locked="0" layoutInCell="1" allowOverlap="1">
                  <wp:simplePos x="0" y="0"/>
                  <wp:positionH relativeFrom="column">
                    <wp:posOffset>-65405</wp:posOffset>
                  </wp:positionH>
                  <wp:positionV relativeFrom="paragraph">
                    <wp:posOffset>255270</wp:posOffset>
                  </wp:positionV>
                  <wp:extent cx="6141720" cy="2980055"/>
                  <wp:effectExtent l="0" t="0" r="0" b="698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6141720" cy="2980055"/>
                          </a:xfrm>
                          <a:prstGeom prst="rect">
                            <a:avLst/>
                          </a:prstGeom>
                          <a:noFill/>
                          <a:ln>
                            <a:noFill/>
                          </a:ln>
                        </pic:spPr>
                      </pic:pic>
                    </a:graphicData>
                  </a:graphic>
                </wp:anchor>
              </w:drawing>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240" w:type="dxa"/>
            <w:gridSpan w:val="6"/>
          </w:tcPr>
          <w:p>
            <w:r>
              <w:rPr>
                <w:b/>
                <w:bCs/>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9240" w:type="dxa"/>
            <w:gridSpan w:val="6"/>
          </w:tcPr>
          <w:p>
            <w:pPr>
              <w:numPr>
                <w:ilvl w:val="0"/>
                <w:numId w:val="2"/>
              </w:numPr>
              <w:rPr>
                <w:bCs/>
              </w:rPr>
            </w:pPr>
            <w:r>
              <w:rPr>
                <w:bCs/>
              </w:rPr>
              <w:t>运输过程中的污染防治措施</w:t>
            </w:r>
            <w:r>
              <w:rPr>
                <w:rFonts w:hint="eastAsia"/>
                <w:bCs/>
              </w:rPr>
              <w:t>、</w:t>
            </w:r>
            <w:r>
              <w:rPr>
                <w:bCs/>
              </w:rPr>
              <w:t>安全防护措施以及按照要求配备的相应污染防治设备</w:t>
            </w:r>
          </w:p>
          <w:p>
            <w:pPr>
              <w:numPr>
                <w:ilvl w:val="0"/>
                <w:numId w:val="3"/>
              </w:numPr>
              <w:spacing w:line="400" w:lineRule="atLeast"/>
              <w:jc w:val="left"/>
            </w:pPr>
            <w:r>
              <w:rPr>
                <w:rFonts w:hint="eastAsia"/>
              </w:rPr>
              <w:t>废包装桶装载前，应确认桶盖是否盖紧；</w:t>
            </w:r>
          </w:p>
          <w:p>
            <w:pPr>
              <w:numPr>
                <w:ilvl w:val="0"/>
                <w:numId w:val="3"/>
              </w:numPr>
              <w:spacing w:line="400" w:lineRule="atLeast"/>
              <w:jc w:val="left"/>
            </w:pPr>
            <w:r>
              <w:rPr>
                <w:rFonts w:hint="eastAsia"/>
              </w:rPr>
              <w:t>运输过程中应用遮阳防雨布覆盖，做好防晒遮阳、控温、防爆、防火、防水、防冻、防粉尘飞扬、防散漏等措施。</w:t>
            </w:r>
          </w:p>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9240" w:type="dxa"/>
            <w:gridSpan w:val="6"/>
          </w:tcPr>
          <w:p>
            <w:pPr>
              <w:rPr>
                <w:bCs/>
              </w:rPr>
            </w:pPr>
            <w:r>
              <w:rPr>
                <w:rFonts w:hint="eastAsia"/>
                <w:bCs/>
              </w:rPr>
              <w:t>2</w:t>
            </w:r>
            <w:r>
              <w:rPr>
                <w:bCs/>
              </w:rPr>
              <w:t>、运输过程中的应急预案以及按照要求配备的相应应急设备</w:t>
            </w:r>
          </w:p>
          <w:p>
            <w:pPr>
              <w:spacing w:line="400" w:lineRule="atLeast"/>
              <w:ind w:firstLine="420"/>
              <w:jc w:val="left"/>
            </w:pPr>
            <w:r>
              <w:rPr>
                <w:bCs/>
              </w:rPr>
              <w:t>运输过程中的安全防护措施</w:t>
            </w:r>
            <w:r>
              <w:rPr>
                <w:rFonts w:hint="eastAsia"/>
                <w:bCs/>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pPr>
              <w:spacing w:line="400" w:lineRule="atLeast"/>
              <w:ind w:firstLine="420"/>
              <w:jc w:val="left"/>
            </w:pPr>
            <w:r>
              <w:rPr>
                <w:rFonts w:hint="eastAsia"/>
              </w:rPr>
              <w:sym w:font="Wingdings" w:char="F082"/>
            </w:r>
            <w:r>
              <w:rPr>
                <w:rFonts w:hint="eastAsia"/>
              </w:rPr>
              <w:t>卸载区应配备必要的消防设备和设施，并设置明显的指示标志。</w:t>
            </w:r>
          </w:p>
          <w:p>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r>
              <w:rPr>
                <w:rFonts w:hint="eastAsia"/>
              </w:rPr>
              <w:t>相应安全防护设备：车辆运输禁止烟火，并配备相应数量的安全防护设备，如防护服、灭火器等。</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exact"/>
        </w:trPr>
        <w:tc>
          <w:tcPr>
            <w:tcW w:w="9240" w:type="dxa"/>
            <w:gridSpan w:val="6"/>
            <w:vAlign w:val="center"/>
          </w:tcPr>
          <w:p>
            <w:pPr>
              <w:jc w:val="left"/>
              <w:rPr>
                <w:bCs/>
              </w:rPr>
            </w:pPr>
            <w:r>
              <w:rPr>
                <w:bCs/>
              </w:rPr>
              <w:t>3、运输过程中的应急预案以及按照要求配备的相应应急设备</w:t>
            </w:r>
          </w:p>
          <w:p>
            <w:pPr>
              <w:spacing w:line="400" w:lineRule="atLeast"/>
              <w:jc w:val="left"/>
            </w:pPr>
            <w:r>
              <w:rPr>
                <w:rFonts w:hint="eastAsia"/>
              </w:rPr>
              <w:t>（1）运输过程中的应急预案：</w:t>
            </w:r>
          </w:p>
          <w:p>
            <w:pPr>
              <w:spacing w:line="400" w:lineRule="atLeast"/>
              <w:ind w:firstLine="420"/>
              <w:jc w:val="left"/>
            </w:pPr>
            <w:r>
              <w:rPr>
                <w:rFonts w:hint="eastAsia"/>
              </w:rPr>
              <w:t>停车处置：事故发生后，如有必要，必须将车开到远离重点区域的空旷安全点停车，并设置明显警戒标志。</w:t>
            </w:r>
          </w:p>
          <w:p>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pPr>
              <w:spacing w:line="400" w:lineRule="atLeast"/>
              <w:ind w:firstLine="420"/>
              <w:jc w:val="left"/>
            </w:pPr>
            <w:r>
              <w:rPr>
                <w:rFonts w:hint="eastAsia"/>
              </w:rPr>
              <w:t>应急响应和行动：确定事故应急响应级别后，立即启动事故应急预案，提出响应的处置方案，明确现</w:t>
            </w:r>
          </w:p>
          <w:p>
            <w:pPr>
              <w:spacing w:line="400" w:lineRule="atLeast"/>
              <w:jc w:val="left"/>
            </w:pPr>
            <w:r>
              <w:rPr>
                <w:rFonts w:hint="eastAsia"/>
              </w:rPr>
              <w:t>场应急指挥人员，调配应急资源，分派应急救援人员赶赴现场。</w:t>
            </w:r>
          </w:p>
          <w:p>
            <w:pPr>
              <w:spacing w:line="400" w:lineRule="atLeast"/>
              <w:ind w:firstLine="420"/>
              <w:jc w:val="left"/>
            </w:pPr>
            <w:r>
              <w:rPr>
                <w:rFonts w:hint="eastAsia"/>
              </w:rPr>
              <w:t>紧急疏散：事故发生时应按应急救援的规定和要求，做好疏散工作，将人员向事故现场上风区转移安</w:t>
            </w:r>
          </w:p>
          <w:p>
            <w:pPr>
              <w:spacing w:line="400" w:lineRule="atLeast"/>
              <w:jc w:val="left"/>
            </w:pPr>
            <w:r>
              <w:rPr>
                <w:rFonts w:hint="eastAsia"/>
              </w:rPr>
              <w:t>置至安全场所，撤离与事故无关人员和车辆。</w:t>
            </w:r>
          </w:p>
          <w:p>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pPr>
              <w:spacing w:line="400" w:lineRule="atLeast"/>
              <w:ind w:firstLine="420"/>
              <w:jc w:val="left"/>
            </w:pPr>
            <w:r>
              <w:rPr>
                <w:rFonts w:hint="eastAsia"/>
              </w:rPr>
              <w:t>建立健全应急处置专业队伍。完善应急救援专业队伍的管理机制，落实应急处置专业人员，成立专业救援小组。</w:t>
            </w:r>
          </w:p>
          <w:p>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pPr>
              <w:spacing w:line="400" w:lineRule="atLeast"/>
              <w:jc w:val="left"/>
            </w:pPr>
          </w:p>
          <w:p>
            <w:pPr>
              <w:pStyle w:val="11"/>
              <w:numPr>
                <w:ilvl w:val="0"/>
                <w:numId w:val="4"/>
              </w:numPr>
              <w:tabs>
                <w:tab w:val="left" w:pos="360"/>
              </w:tabs>
              <w:spacing w:line="400" w:lineRule="atLeast"/>
              <w:ind w:firstLineChars="0"/>
              <w:jc w:val="left"/>
            </w:pPr>
            <w:r>
              <w:rPr>
                <w:rFonts w:hint="eastAsia"/>
              </w:rPr>
              <w:t>运输过程中配备的应急设备</w:t>
            </w:r>
          </w:p>
          <w:p>
            <w:pPr>
              <w:spacing w:line="400" w:lineRule="atLeast"/>
              <w:jc w:val="left"/>
            </w:pPr>
            <w:r>
              <w:rPr>
                <w:rFonts w:hint="eastAsia"/>
              </w:rPr>
              <w:t>车辆运输过程中配备的经济储备主要包括防毒面具、防护服、灭火器材、隔离及卫生防护用品等。</w:t>
            </w: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tc>
      </w:tr>
    </w:tbl>
    <w:p>
      <w:pPr>
        <w:rPr>
          <w:rFonts w:eastAsia="黑体"/>
          <w:sz w:val="28"/>
          <w:szCs w:val="28"/>
        </w:rPr>
        <w:sectPr>
          <w:pgSz w:w="11906" w:h="16838"/>
          <w:pgMar w:top="1440" w:right="1800" w:bottom="1440" w:left="1800" w:header="851" w:footer="992" w:gutter="0"/>
          <w:cols w:space="720" w:num="1"/>
          <w:docGrid w:type="lines" w:linePitch="312" w:charSpace="0"/>
        </w:sectPr>
      </w:pPr>
    </w:p>
    <w:p>
      <w:pPr>
        <w:rPr>
          <w:rFonts w:eastAsia="黑体"/>
          <w:sz w:val="28"/>
          <w:szCs w:val="28"/>
        </w:rPr>
      </w:pPr>
      <w:r>
        <w:rPr>
          <w:rFonts w:eastAsia="黑体"/>
          <w:sz w:val="28"/>
          <w:szCs w:val="28"/>
        </w:rPr>
        <w:t>第三部分   废物处理处置情况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pPr>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r>
              <w:t>单位名称：</w:t>
            </w:r>
            <w:r>
              <w:rPr>
                <w:rFonts w:hint="eastAsia"/>
              </w:rPr>
              <w:t>常州鸿文容器再生利用有限公司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pPr>
              <w:rPr>
                <w:rFonts w:hint="eastAsia" w:eastAsia="宋体"/>
                <w:lang w:val="en-US" w:eastAsia="zh-CN"/>
              </w:rPr>
            </w:pPr>
            <w:r>
              <w:t>危废经营许可证编号</w:t>
            </w:r>
            <w:r>
              <w:rPr>
                <w:rFonts w:hint="eastAsia"/>
              </w:rPr>
              <w:t>：JSCZ0412OOD019-</w:t>
            </w:r>
            <w:r>
              <w:rPr>
                <w:rFonts w:hint="eastAsia"/>
                <w:lang w:val="en-US" w:eastAsia="zh-CN"/>
              </w:rPr>
              <w:t>5</w:t>
            </w:r>
          </w:p>
        </w:tc>
        <w:tc>
          <w:tcPr>
            <w:tcW w:w="4200" w:type="dxa"/>
            <w:vAlign w:val="center"/>
          </w:tcPr>
          <w:p>
            <w:r>
              <w:t>有效期：</w:t>
            </w:r>
            <w:r>
              <w:rPr>
                <w:rFonts w:hint="eastAsia"/>
              </w:rPr>
              <w:t>20</w:t>
            </w:r>
            <w:r>
              <w:rPr>
                <w:rFonts w:hint="eastAsia"/>
                <w:lang w:val="en-US" w:eastAsia="zh-CN"/>
              </w:rPr>
              <w:t>23</w:t>
            </w:r>
            <w:r>
              <w:rPr>
                <w:rFonts w:hint="eastAsia"/>
              </w:rPr>
              <w:t>年</w:t>
            </w:r>
            <w:r>
              <w:rPr>
                <w:rFonts w:hint="eastAsia"/>
                <w:lang w:val="en-US" w:eastAsia="zh-CN"/>
              </w:rPr>
              <w:t>04</w:t>
            </w:r>
            <w:r>
              <w:rPr>
                <w:rFonts w:hint="eastAsia"/>
              </w:rPr>
              <w:t>月至202</w:t>
            </w:r>
            <w:r>
              <w:rPr>
                <w:rFonts w:hint="eastAsia"/>
                <w:lang w:val="en-US" w:eastAsia="zh-CN"/>
              </w:rPr>
              <w:t>6</w:t>
            </w:r>
            <w:r>
              <w:rPr>
                <w:rFonts w:hint="eastAsia"/>
              </w:rPr>
              <w:t>年</w:t>
            </w:r>
            <w:r>
              <w:rPr>
                <w:rFonts w:hint="eastAsia"/>
                <w:lang w:val="en-US" w:eastAsia="zh-CN"/>
              </w:rPr>
              <w:t>4</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r>
              <w:rPr>
                <w:rFonts w:hint="eastAsia"/>
              </w:rPr>
              <w:t>接受废物的处理处置方式：C3清洗</w:t>
            </w:r>
          </w:p>
          <w:p>
            <w:pPr>
              <w:rPr>
                <w:rFonts w:hint="default" w:eastAsia="宋体"/>
                <w:lang w:val="en-US" w:eastAsia="zh-CN"/>
              </w:rPr>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w:t>
            </w:r>
            <w:r>
              <w:rPr>
                <w:rFonts w:hint="eastAsia"/>
                <w:lang w:val="en-US" w:eastAsia="zh-CN"/>
              </w:rPr>
              <w:t>处置、利用200L以下铁桶（HW49）5000吨/年，200L及以下塑料桶（HW49）3000吨/年，玻璃瓶（HW49）550吨/年，合计8550吨/年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345" w:type="dxa"/>
            <w:gridSpan w:val="2"/>
          </w:tcPr>
          <w:p>
            <w:pPr>
              <w:spacing w:line="300" w:lineRule="exact"/>
            </w:pPr>
            <w:r>
              <w:t>文字描述及工艺流程图</w:t>
            </w:r>
          </w:p>
          <w:p>
            <w:pPr>
              <w:jc w:val="left"/>
              <w:rPr>
                <w:rFonts w:ascii="宋体"/>
                <w:szCs w:val="18"/>
              </w:rPr>
            </w:pPr>
            <w:r>
              <w:rPr>
                <w:rFonts w:hint="eastAsia" w:ascii="宋体"/>
                <w:szCs w:val="18"/>
              </w:rPr>
              <w:t>本次申报的废包装桶为有机树脂类铁桶，处置工艺流程图如下：</w:t>
            </w:r>
          </w:p>
          <w:p>
            <w:pPr>
              <w:snapToGrid w:val="0"/>
              <w:spacing w:line="400" w:lineRule="atLeast"/>
              <w:jc w:val="left"/>
              <w:rPr>
                <w:rFonts w:ascii="宋体"/>
                <w:szCs w:val="18"/>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81915</wp:posOffset>
                  </wp:positionV>
                  <wp:extent cx="5288280" cy="227457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t="4608" b="11066"/>
                          <a:stretch>
                            <a:fillRect/>
                          </a:stretch>
                        </pic:blipFill>
                        <pic:spPr>
                          <a:xfrm>
                            <a:off x="0" y="0"/>
                            <a:ext cx="5288280" cy="2274570"/>
                          </a:xfrm>
                          <a:prstGeom prst="rect">
                            <a:avLst/>
                          </a:prstGeom>
                          <a:noFill/>
                          <a:ln>
                            <a:noFill/>
                          </a:ln>
                        </pic:spPr>
                      </pic:pic>
                    </a:graphicData>
                  </a:graphic>
                </wp:anchor>
              </w:drawing>
            </w: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pacing w:line="400" w:lineRule="atLeast"/>
              <w:rPr>
                <w:rFonts w:ascii="等线" w:hAnsi="等线" w:cs="等线"/>
                <w:szCs w:val="18"/>
              </w:rPr>
            </w:pPr>
            <w:r>
              <w:rPr>
                <w:rFonts w:hint="eastAsia" w:ascii="等线" w:hAnsi="等线" w:cs="等线"/>
                <w:szCs w:val="18"/>
              </w:rPr>
              <w:t>工艺流程简述：</w:t>
            </w:r>
          </w:p>
          <w:p>
            <w:pPr>
              <w:snapToGrid w:val="0"/>
              <w:spacing w:line="400" w:lineRule="atLeast"/>
              <w:rPr>
                <w:rFonts w:ascii="等线" w:hAnsi="等线" w:cs="等线"/>
                <w:szCs w:val="18"/>
              </w:rPr>
            </w:pPr>
            <w:r>
              <w:rPr>
                <w:rFonts w:hint="eastAsia" w:ascii="等线" w:hAnsi="等线" w:cs="等线"/>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pPr>
              <w:snapToGrid w:val="0"/>
              <w:spacing w:line="400" w:lineRule="atLeast"/>
              <w:ind w:firstLine="420"/>
              <w:rPr>
                <w:rFonts w:ascii="等线" w:hAnsi="等线" w:cs="等线"/>
                <w:szCs w:val="18"/>
              </w:rPr>
            </w:pPr>
            <w:r>
              <w:rPr>
                <w:rFonts w:hint="eastAsia" w:ascii="等线" w:hAnsi="等线" w:cs="等线"/>
                <w:szCs w:val="18"/>
              </w:rPr>
              <w:t>（2）整形：经倒残后的桶放入到自动整形机上，利用压缩空气对变形的废桶进行修复整形，整形速度为2个桶/min。此过程在整形区进行。</w:t>
            </w:r>
          </w:p>
          <w:p>
            <w:pPr>
              <w:snapToGrid w:val="0"/>
              <w:spacing w:line="400" w:lineRule="atLeast"/>
              <w:ind w:firstLine="420" w:firstLineChars="200"/>
              <w:rPr>
                <w:rFonts w:ascii="等线" w:hAnsi="等线" w:cs="等线"/>
                <w:szCs w:val="18"/>
              </w:rPr>
            </w:pPr>
            <w:r>
              <w:rPr>
                <w:rFonts w:hint="eastAsia" w:ascii="等线" w:hAnsi="等线" w:cs="等线"/>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trPr>
        <w:tc>
          <w:tcPr>
            <w:tcW w:w="9345" w:type="dxa"/>
            <w:gridSpan w:val="2"/>
          </w:tcPr>
          <w:p>
            <w:pPr>
              <w:snapToGrid w:val="0"/>
              <w:spacing w:line="400" w:lineRule="atLeast"/>
              <w:ind w:firstLine="420" w:firstLineChars="200"/>
              <w:rPr>
                <w:rFonts w:ascii="等线" w:hAnsi="等线" w:cs="等线"/>
                <w:szCs w:val="18"/>
              </w:rPr>
            </w:pPr>
            <w:r>
              <w:rPr>
                <w:rFonts w:hint="eastAsia" w:ascii="等线" w:hAnsi="等线" w:cs="等线"/>
                <w:szCs w:val="18"/>
              </w:rPr>
              <w:t>（4）清洗好的桶从清洗机上卸下，打开盖子将桶内的清洗液倒出到接收槽作为下批清洗桶的清洗液回用，再用高压水枪对桶内用清水进行清洗。</w:t>
            </w:r>
          </w:p>
          <w:p>
            <w:pPr>
              <w:snapToGrid w:val="0"/>
              <w:spacing w:line="400" w:lineRule="atLeast"/>
              <w:ind w:firstLine="420" w:firstLineChars="200"/>
              <w:rPr>
                <w:rFonts w:ascii="等线" w:hAnsi="等线" w:cs="等线"/>
                <w:szCs w:val="18"/>
              </w:rPr>
            </w:pPr>
            <w:r>
              <w:rPr>
                <w:rFonts w:hint="eastAsia" w:ascii="等线" w:hAnsi="等线" w:cs="等线"/>
                <w:szCs w:val="18"/>
              </w:rPr>
              <w:t>（5）吸干：自动清洗后的桶用专用的移动式真空吸水机将桶内的残留水份进行吸干，原理是利用压缩空气抽吸的原理将水份吸出。</w:t>
            </w:r>
          </w:p>
          <w:p>
            <w:pPr>
              <w:snapToGrid w:val="0"/>
              <w:spacing w:line="400" w:lineRule="atLeast"/>
              <w:ind w:firstLine="420" w:firstLineChars="200"/>
              <w:rPr>
                <w:rFonts w:ascii="等线" w:hAnsi="等线" w:cs="等线"/>
                <w:szCs w:val="18"/>
              </w:rPr>
            </w:pPr>
            <w:r>
              <w:rPr>
                <w:rFonts w:hint="eastAsia" w:ascii="等线" w:hAnsi="等线" w:cs="等线"/>
                <w:szCs w:val="18"/>
              </w:rPr>
              <w:t>（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pPr>
              <w:snapToGrid w:val="0"/>
              <w:spacing w:line="400" w:lineRule="atLeast"/>
              <w:rPr>
                <w:rFonts w:ascii="等线" w:hAnsi="等线" w:cs="等线"/>
                <w:szCs w:val="18"/>
              </w:rPr>
            </w:pPr>
            <w:r>
              <w:rPr>
                <w:rFonts w:hint="eastAsia" w:ascii="等线" w:hAnsi="等线" w:cs="等线"/>
                <w:szCs w:val="18"/>
              </w:rPr>
              <w:t xml:space="preserve">    （7）晾干：经清理、检验后的包装桶，表面会残留少量水份，采取鼓风机强风吹干，晾干一般需要半小时。</w:t>
            </w:r>
          </w:p>
          <w:p>
            <w:pPr>
              <w:spacing w:line="480" w:lineRule="exact"/>
              <w:ind w:firstLine="420"/>
              <w:rPr>
                <w:rFonts w:hint="eastAsia" w:ascii="等线" w:hAnsi="等线" w:cs="等线"/>
                <w:szCs w:val="18"/>
              </w:rPr>
            </w:pPr>
            <w:r>
              <w:rPr>
                <w:rFonts w:hint="eastAsia" w:ascii="等线" w:hAnsi="等线" w:cs="等线"/>
                <w:szCs w:val="18"/>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pPr>
              <w:spacing w:line="480" w:lineRule="exact"/>
              <w:ind w:firstLine="420"/>
              <w:rPr>
                <w:rFonts w:hint="eastAsia" w:ascii="等线" w:hAnsi="等线" w:cs="等线"/>
                <w:szCs w:val="18"/>
              </w:rPr>
            </w:pPr>
          </w:p>
          <w:p>
            <w:pPr>
              <w:jc w:val="left"/>
              <w:rPr>
                <w:rFonts w:ascii="宋体"/>
                <w:szCs w:val="18"/>
              </w:rPr>
            </w:pPr>
            <w:r>
              <w:rPr>
                <w:rFonts w:hint="eastAsia" w:ascii="宋体"/>
                <w:szCs w:val="18"/>
                <w:lang w:eastAsia="zh-CN"/>
              </w:rPr>
              <w:t>（</w:t>
            </w:r>
            <w:r>
              <w:rPr>
                <w:rFonts w:hint="eastAsia" w:ascii="宋体"/>
                <w:szCs w:val="18"/>
                <w:lang w:val="en-US" w:eastAsia="zh-CN"/>
              </w:rPr>
              <w:t>2</w:t>
            </w:r>
            <w:r>
              <w:rPr>
                <w:rFonts w:hint="eastAsia" w:ascii="宋体"/>
                <w:szCs w:val="18"/>
                <w:lang w:eastAsia="zh-CN"/>
              </w:rPr>
              <w:t>）</w:t>
            </w:r>
            <w:r>
              <w:rPr>
                <w:rFonts w:hint="eastAsia" w:ascii="宋体"/>
                <w:szCs w:val="18"/>
              </w:rPr>
              <w:t>本次申报的</w:t>
            </w:r>
            <w:r>
              <w:rPr>
                <w:rFonts w:hint="eastAsia" w:ascii="宋体"/>
                <w:szCs w:val="18"/>
                <w:lang w:val="en-US" w:eastAsia="zh-CN"/>
              </w:rPr>
              <w:t>1000L吨桶</w:t>
            </w:r>
            <w:r>
              <w:rPr>
                <w:rFonts w:hint="eastAsia" w:ascii="宋体"/>
                <w:szCs w:val="18"/>
              </w:rPr>
              <w:t>，处置工艺流程图如下：</w:t>
            </w:r>
          </w:p>
          <w:p>
            <w:pPr>
              <w:spacing w:line="480" w:lineRule="exact"/>
              <w:ind w:firstLine="420"/>
              <w:rPr>
                <w:rFonts w:hint="eastAsia" w:ascii="等线" w:hAnsi="等线" w:cs="等线"/>
                <w:szCs w:val="18"/>
              </w:rPr>
            </w:pPr>
          </w:p>
          <w:p>
            <w:pPr>
              <w:spacing w:line="240" w:lineRule="auto"/>
              <w:ind w:firstLine="420"/>
              <w:rPr>
                <w:rFonts w:hint="eastAsia" w:ascii="等线" w:hAnsi="等线" w:eastAsia="宋体" w:cs="等线"/>
                <w:szCs w:val="18"/>
                <w:lang w:eastAsia="zh-CN"/>
              </w:rPr>
            </w:pPr>
            <w:r>
              <w:rPr>
                <w:rFonts w:hint="eastAsia" w:ascii="等线" w:hAnsi="等线" w:eastAsia="宋体" w:cs="等线"/>
                <w:szCs w:val="18"/>
                <w:lang w:eastAsia="zh-CN"/>
              </w:rPr>
              <w:drawing>
                <wp:inline distT="0" distB="0" distL="114300" distR="114300">
                  <wp:extent cx="5766435" cy="2045335"/>
                  <wp:effectExtent l="0" t="0" r="5715" b="12065"/>
                  <wp:docPr id="4" name="图片 4"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425946620"/>
                          <pic:cNvPicPr>
                            <a:picLocks noChangeAspect="1"/>
                          </pic:cNvPicPr>
                        </pic:nvPicPr>
                        <pic:blipFill>
                          <a:blip r:embed="rId8"/>
                          <a:stretch>
                            <a:fillRect/>
                          </a:stretch>
                        </pic:blipFill>
                        <pic:spPr>
                          <a:xfrm>
                            <a:off x="0" y="0"/>
                            <a:ext cx="5766435" cy="2045335"/>
                          </a:xfrm>
                          <a:prstGeom prst="rect">
                            <a:avLst/>
                          </a:prstGeom>
                        </pic:spPr>
                      </pic:pic>
                    </a:graphicData>
                  </a:graphic>
                </wp:inline>
              </w:drawing>
            </w:r>
          </w:p>
          <w:p>
            <w:pPr>
              <w:spacing w:line="480" w:lineRule="exact"/>
              <w:ind w:firstLine="420"/>
              <w:rPr>
                <w:rFonts w:hint="eastAsia" w:ascii="等线" w:hAnsi="等线" w:cs="等线"/>
                <w:szCs w:val="18"/>
                <w:lang w:val="en-US" w:eastAsia="zh-CN"/>
              </w:rPr>
            </w:pPr>
            <w:r>
              <w:rPr>
                <w:rFonts w:hint="eastAsia" w:ascii="等线" w:hAnsi="等线" w:cs="等线"/>
                <w:szCs w:val="18"/>
                <w:lang w:val="en-US" w:eastAsia="zh-CN"/>
              </w:rPr>
              <w:t>工艺流程简述：</w:t>
            </w:r>
          </w:p>
          <w:p>
            <w:pPr>
              <w:numPr>
                <w:ilvl w:val="0"/>
                <w:numId w:val="5"/>
              </w:numPr>
              <w:spacing w:line="480" w:lineRule="exact"/>
              <w:ind w:firstLine="420"/>
              <w:rPr>
                <w:rFonts w:hint="eastAsia" w:ascii="等线" w:hAnsi="等线" w:cs="等线"/>
                <w:szCs w:val="18"/>
                <w:lang w:val="en-US" w:eastAsia="zh-CN"/>
              </w:rPr>
            </w:pPr>
            <w:r>
              <w:rPr>
                <w:rFonts w:hint="eastAsia" w:ascii="等线" w:hAnsi="等线" w:cs="等线"/>
                <w:szCs w:val="18"/>
                <w:lang w:val="en-US" w:eastAsia="zh-CN"/>
              </w:rPr>
              <w:t>倒残：首先将收回的吨桶进行倒残，倒残的方式为将桶倒立到倒残支架上，停留15min左右，使桶内沾有少量的残留液慢慢倒到接收槽内，再使用吸残机将残留在桶壁的液态料吸干净。接收槽及吸残机内的残液每天进行收集后集中存放到危废房内的专用容器中。倒残区域设置在清洗区域内，采用全封闭，在室内设置顶吸风口，利用风机将倒残过程中产生的少量有机废气抽入到废气处理装置进行处理。该过程有残留物挥发有机废气G4和残留液S4产生。</w:t>
            </w:r>
          </w:p>
          <w:p>
            <w:pPr>
              <w:numPr>
                <w:ilvl w:val="0"/>
                <w:numId w:val="5"/>
              </w:numPr>
              <w:spacing w:line="480" w:lineRule="exact"/>
              <w:ind w:firstLine="420"/>
              <w:rPr>
                <w:rFonts w:hint="default" w:ascii="等线" w:hAnsi="等线" w:cs="等线"/>
                <w:szCs w:val="18"/>
                <w:lang w:val="en-US" w:eastAsia="zh-CN"/>
              </w:rPr>
            </w:pPr>
            <w:r>
              <w:rPr>
                <w:rFonts w:hint="eastAsia" w:ascii="等线" w:hAnsi="等线" w:cs="等线"/>
                <w:szCs w:val="18"/>
                <w:lang w:val="en-US" w:eastAsia="zh-CN"/>
              </w:rPr>
              <w:t>清洗：吨桶清洗在密闭室内进行，在密闭室上设有吸风口。将清洗过程中产生的有机废气由风机抽入到废气处理设施进行处理。</w:t>
            </w:r>
          </w:p>
          <w:p>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清洗用的有机溶剂为二甲苯，在清洗区内设置2只200L的PE桶，一只用于存放二甲苯，另一只作为存放清洗后的接收桶。</w:t>
            </w:r>
          </w:p>
          <w:p>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首先将吨桶放至到吨桶清洗机（共2台。每台1个工位，同时操作）上，再由泵将二甲苯加入到吨桶内（每次加40kg左右），然后开启电动机使吨桶转动（一般为10min），停止转动后，打开盖子将二甲苯由管道放入到接收桶内，循环使用。清洗后的二甲苯溶液一般一周过滤一次，滤渣（主要为吨桶中的固化残渣）作危废暂存到危废库房专用的容器中，平时适量添加因过滤，挥发带走的二甲苯的损耗部分。类比其他企业，由于吨桶为PE桶，内壁较光滑、固化在桶壁的树脂残液经倒残和吸残机吸干后，桶壁基本没有固化残留物。过滤残渣为8.95t/a，残留中含二甲苯按0.5%计，则残留中含二甲苯量为0.045t/a，投加，倾倒过程挥发按1%计，则二甲苯挥发量为0.414t/a，二甲苯重复使用一段时间后需更换，一般3个月更换一次，一次更换量0.931t，年更好量为3.724t/a，收集后暂存在危废库房的专用容器中。</w:t>
            </w:r>
          </w:p>
          <w:p>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水洗采用高压水枪对吨桶内壁进行冲洗（清洗液为片碱与水按1:20的比例配制成碱性清洗液），反复冲洗3次，然后将清洗液倒干，倾倒出来的清洗液进入到收集桶内重复使用，一般重复使用10次，然后将其进入到废水收集池中，再用移动式真空吸水机将吨桶壁的少量水分吸干。年产生废清洗液344t。再用高压枪对桶内清水进行清洗一遍，每只桶清水用量10kg左右，则清洗水产生量为860t/a.</w:t>
            </w:r>
          </w:p>
          <w:p>
            <w:pPr>
              <w:numPr>
                <w:ilvl w:val="0"/>
                <w:numId w:val="0"/>
              </w:numPr>
              <w:spacing w:line="480" w:lineRule="exact"/>
              <w:rPr>
                <w:rFonts w:hint="default" w:ascii="等线" w:hAnsi="等线" w:cs="等线"/>
                <w:szCs w:val="18"/>
                <w:lang w:val="en-US" w:eastAsia="zh-CN"/>
              </w:rPr>
            </w:pPr>
            <w:r>
              <w:rPr>
                <w:rFonts w:hint="eastAsia" w:ascii="等线" w:hAnsi="等线" w:cs="等线"/>
                <w:szCs w:val="18"/>
                <w:lang w:val="en-US" w:eastAsia="zh-CN"/>
              </w:rPr>
              <w:t xml:space="preserve">  自动清洗后的桶用专用的移动式吸水机将桶内的残留水分进行吸干、原理是利用压缩空气抽吸的原理将水分吸出，此过程有少量废水产生，吸干后得成品。</w:t>
            </w:r>
          </w:p>
          <w:p>
            <w:pPr>
              <w:spacing w:line="480" w:lineRule="exact"/>
              <w:ind w:firstLine="420"/>
              <w:rPr>
                <w:rFonts w:hint="eastAsia" w:ascii="等线" w:hAnsi="等线" w:eastAsia="宋体" w:cs="等线"/>
                <w:szCs w:val="18"/>
                <w:lang w:eastAsia="zh-CN"/>
              </w:rPr>
            </w:pPr>
            <w:r>
              <w:rPr>
                <w:rFonts w:hint="eastAsia" w:ascii="等线" w:hAnsi="等线" w:eastAsia="宋体" w:cs="等线"/>
                <w:szCs w:val="18"/>
                <w:lang w:eastAsia="zh-CN"/>
              </w:rPr>
              <w:drawing>
                <wp:inline distT="0" distB="0" distL="114300" distR="114300">
                  <wp:extent cx="5791835" cy="2054225"/>
                  <wp:effectExtent l="0" t="0" r="18415" b="3175"/>
                  <wp:docPr id="3" name="图片 3"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425946620"/>
                          <pic:cNvPicPr>
                            <a:picLocks noChangeAspect="1"/>
                          </pic:cNvPicPr>
                        </pic:nvPicPr>
                        <pic:blipFill>
                          <a:blip r:embed="rId8"/>
                          <a:stretch>
                            <a:fillRect/>
                          </a:stretch>
                        </pic:blipFill>
                        <pic:spPr>
                          <a:xfrm>
                            <a:off x="0" y="0"/>
                            <a:ext cx="5791835" cy="2054225"/>
                          </a:xfrm>
                          <a:prstGeom prst="rect">
                            <a:avLst/>
                          </a:prstGeom>
                        </pic:spPr>
                      </pic:pic>
                    </a:graphicData>
                  </a:graphic>
                </wp:inline>
              </w:drawing>
            </w:r>
            <w:r>
              <w:rPr>
                <w:rFonts w:hint="eastAsia" w:ascii="等线" w:hAnsi="等线" w:eastAsia="宋体" w:cs="等线"/>
                <w:szCs w:val="18"/>
                <w:lang w:eastAsia="zh-CN"/>
              </w:rPr>
              <w:drawing>
                <wp:inline distT="0" distB="0" distL="114300" distR="114300">
                  <wp:extent cx="5791835" cy="2054225"/>
                  <wp:effectExtent l="0" t="0" r="18415" b="3175"/>
                  <wp:docPr id="2" name="图片 2"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425946620"/>
                          <pic:cNvPicPr>
                            <a:picLocks noChangeAspect="1"/>
                          </pic:cNvPicPr>
                        </pic:nvPicPr>
                        <pic:blipFill>
                          <a:blip r:embed="rId8"/>
                          <a:stretch>
                            <a:fillRect/>
                          </a:stretch>
                        </pic:blipFill>
                        <pic:spPr>
                          <a:xfrm>
                            <a:off x="0" y="0"/>
                            <a:ext cx="5791835" cy="2054225"/>
                          </a:xfrm>
                          <a:prstGeom prst="rect">
                            <a:avLst/>
                          </a:prstGeom>
                        </pic:spPr>
                      </pic:pic>
                    </a:graphicData>
                  </a:graphic>
                </wp:inline>
              </w:drawing>
            </w:r>
          </w:p>
          <w:p>
            <w:pPr>
              <w:spacing w:line="480" w:lineRule="exact"/>
              <w:ind w:firstLine="420"/>
              <w:rPr>
                <w:szCs w:val="21"/>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default" w:eastAsia="黑体"/>
          <w:sz w:val="28"/>
          <w:szCs w:val="28"/>
          <w:lang w:val="en-US" w:eastAsia="zh-CN"/>
        </w:rPr>
      </w:pPr>
      <w:r>
        <w:rPr>
          <w:rFonts w:hint="eastAsia" w:eastAsia="黑体"/>
          <w:sz w:val="28"/>
          <w:szCs w:val="28"/>
          <w:lang w:val="en-US" w:eastAsia="zh-CN"/>
        </w:rPr>
        <w:t>上年度转移量</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tbl>
      <w:tblPr>
        <w:tblStyle w:val="5"/>
        <w:tblpPr w:leftFromText="180" w:rightFromText="180" w:vertAnchor="text" w:horzAnchor="page" w:tblpX="690" w:tblpY="1230"/>
        <w:tblOverlap w:val="never"/>
        <w:tblW w:w="10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4"/>
        <w:gridCol w:w="1839"/>
        <w:gridCol w:w="875"/>
        <w:gridCol w:w="1364"/>
        <w:gridCol w:w="796"/>
        <w:gridCol w:w="662"/>
        <w:gridCol w:w="929"/>
        <w:gridCol w:w="1029"/>
        <w:gridCol w:w="1171"/>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危废大类</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危废八位代码</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2023-08-29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20233101164916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2023-08-18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20233101157729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2023-08-14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20233101154123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2023-08-03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20233101146763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2023-06-30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20233101121269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2023-06-28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20233101119369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2023-06-15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20233101110122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2023-06-11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20233101105900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2023-04-13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20233101062486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2023-04-04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20233101055405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20233101051933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20233101048234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20233101044815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20233101044802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20233101040975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20233101035498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2023-03-03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20233101032140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2023-02-24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20233101027130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2023-02-24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20233101027096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widowControl w:val="0"/>
        <w:numPr>
          <w:ilvl w:val="0"/>
          <w:numId w:val="0"/>
        </w:numPr>
        <w:jc w:val="both"/>
        <w:rPr>
          <w:rFonts w:hint="eastAsia" w:eastAsia="黑体"/>
          <w:sz w:val="28"/>
          <w:szCs w:val="28"/>
          <w:lang w:val="en-US" w:eastAsia="zh-CN"/>
        </w:rPr>
      </w:pPr>
    </w:p>
    <w:p>
      <w:pPr>
        <w:widowControl w:val="0"/>
        <w:numPr>
          <w:ilvl w:val="0"/>
          <w:numId w:val="0"/>
        </w:numPr>
        <w:jc w:val="both"/>
        <w:rPr>
          <w:rFonts w:hint="eastAsia" w:eastAsia="黑体"/>
          <w:sz w:val="28"/>
          <w:szCs w:val="28"/>
          <w:lang w:val="en-US" w:eastAsia="zh-CN"/>
        </w:rPr>
        <w:sectPr>
          <w:pgSz w:w="11906" w:h="16838"/>
          <w:pgMar w:top="1440" w:right="1800" w:bottom="1440" w:left="1800" w:header="851" w:footer="992" w:gutter="0"/>
          <w:cols w:space="720" w:num="1"/>
          <w:docGrid w:type="lines" w:linePitch="312" w:charSpace="0"/>
        </w:sectPr>
      </w:pPr>
    </w:p>
    <w:p>
      <w:pPr>
        <w:widowControl/>
        <w:textAlignment w:val="center"/>
        <w:rPr>
          <w:rFonts w:ascii="宋体" w:hAnsi="宋体" w:cs="宋体"/>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DDE1"/>
    <w:multiLevelType w:val="singleLevel"/>
    <w:tmpl w:val="EE1DDDE1"/>
    <w:lvl w:ilvl="0" w:tentative="0">
      <w:start w:val="1"/>
      <w:numFmt w:val="decimal"/>
      <w:suff w:val="nothing"/>
      <w:lvlText w:val="（%1）"/>
      <w:lvlJc w:val="left"/>
    </w:lvl>
  </w:abstractNum>
  <w:abstractNum w:abstractNumId="1">
    <w:nsid w:val="F7030B2C"/>
    <w:multiLevelType w:val="singleLevel"/>
    <w:tmpl w:val="F7030B2C"/>
    <w:lvl w:ilvl="0" w:tentative="0">
      <w:start w:val="1"/>
      <w:numFmt w:val="decimal"/>
      <w:suff w:val="nothing"/>
      <w:lvlText w:val="%1、"/>
      <w:lvlJc w:val="left"/>
    </w:lvl>
  </w:abstractNum>
  <w:abstractNum w:abstractNumId="2">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9AF5DFD"/>
    <w:multiLevelType w:val="singleLevel"/>
    <w:tmpl w:val="59AF5DFD"/>
    <w:lvl w:ilvl="0" w:tentative="0">
      <w:start w:val="1"/>
      <w:numFmt w:val="bullet"/>
      <w:lvlText w:val=""/>
      <w:lvlJc w:val="left"/>
      <w:pPr>
        <w:ind w:left="420" w:hanging="420"/>
      </w:pPr>
      <w:rPr>
        <w:rFonts w:hint="default" w:ascii="Wingdings" w:hAnsi="Wingdings"/>
      </w:rPr>
    </w:lvl>
  </w:abstractNum>
  <w:abstractNum w:abstractNumId="4">
    <w:nsid w:val="6A9777C4"/>
    <w:multiLevelType w:val="multilevel"/>
    <w:tmpl w:val="6A9777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GUyOTc3NDAwZWQ1NGNhYmIzMWY4YWIzYzA5NzcifQ=="/>
  </w:docVars>
  <w:rsids>
    <w:rsidRoot w:val="00E26946"/>
    <w:rsid w:val="00530F9A"/>
    <w:rsid w:val="009A7187"/>
    <w:rsid w:val="00AF1F8B"/>
    <w:rsid w:val="00B07AAB"/>
    <w:rsid w:val="00E26946"/>
    <w:rsid w:val="0E6459FE"/>
    <w:rsid w:val="25E218BE"/>
    <w:rsid w:val="27045E2B"/>
    <w:rsid w:val="2E9A4AF0"/>
    <w:rsid w:val="2FD47B8E"/>
    <w:rsid w:val="40AF0B58"/>
    <w:rsid w:val="49A00789"/>
    <w:rsid w:val="55C31B55"/>
    <w:rsid w:val="60F93973"/>
    <w:rsid w:val="6E6D1726"/>
    <w:rsid w:val="6E79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uiPriority w:val="99"/>
    <w:rPr>
      <w:rFonts w:ascii="宋体" w:hAnsi="Courier New" w:eastAsia="宋体" w:cs="Times New Roman"/>
      <w:szCs w:val="21"/>
    </w:rPr>
  </w:style>
  <w:style w:type="paragraph" w:customStyle="1" w:styleId="8">
    <w:name w:val="Table Paragraph"/>
    <w:basedOn w:val="1"/>
    <w:qFormat/>
    <w:uiPriority w:val="1"/>
    <w:pPr>
      <w:jc w:val="left"/>
    </w:pPr>
    <w:rPr>
      <w:rFonts w:ascii="Calibri" w:hAnsi="Calibri"/>
      <w:kern w:val="0"/>
      <w:sz w:val="22"/>
      <w:szCs w:val="22"/>
      <w:lang w:eastAsia="en-US"/>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unhideWhenUsed/>
    <w:qFormat/>
    <w:uiPriority w:val="99"/>
    <w:pPr>
      <w:ind w:firstLine="420" w:firstLineChars="200"/>
    </w:pPr>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4620</Words>
  <Characters>5478</Characters>
  <Lines>35</Lines>
  <Paragraphs>10</Paragraphs>
  <TotalTime>139</TotalTime>
  <ScaleCrop>false</ScaleCrop>
  <LinksUpToDate>false</LinksUpToDate>
  <CharactersWithSpaces>5799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2021-03-10T03:11:00Z</dcterms:created>
  <dc:creator>wt</dc:creator>
  <cp:lastModifiedBy>唯一的两个</cp:lastModifiedBy>
  <cp:lastPrinted>2023-04-23T04:40:00Z</cp:lastPrinted>
  <dcterms:modified xsi:type="dcterms:W3CDTF">2023-11-08T06:32:07Z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61BF813BF7BE43DEB3446CDEBF60B6D8_13</vt:lpwstr>
  </property>
</Properties>
</file>