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宋体" w:hAnsi="宋体" w:eastAsia="宋体" w:cs="宋体"/>
          <w:b/>
          <w:color w:val="000000"/>
          <w:kern w:val="0"/>
          <w:sz w:val="32"/>
          <w:szCs w:val="44"/>
        </w:rPr>
      </w:pPr>
      <w:bookmarkStart w:id="0" w:name="_Hlk93999323"/>
      <w:bookmarkEnd w:id="0"/>
      <w:r>
        <w:rPr>
          <w:rFonts w:hint="eastAsia" w:ascii="宋体" w:hAnsi="宋体" w:eastAsia="宋体" w:cs="宋体"/>
          <w:b/>
          <w:color w:val="000000"/>
          <w:kern w:val="0"/>
          <w:sz w:val="32"/>
          <w:szCs w:val="44"/>
        </w:rPr>
        <w:t>常州市武进区</w:t>
      </w:r>
      <w:r>
        <w:rPr>
          <w:rFonts w:ascii="宋体" w:hAnsi="宋体" w:eastAsia="宋体" w:cs="宋体"/>
          <w:b/>
          <w:color w:val="000000"/>
          <w:kern w:val="0"/>
          <w:sz w:val="32"/>
          <w:szCs w:val="44"/>
        </w:rPr>
        <w:t xml:space="preserve"> 2023-08号土地征收成片开发方案</w:t>
      </w:r>
    </w:p>
    <w:p>
      <w:pPr>
        <w:widowControl/>
        <w:spacing w:line="360" w:lineRule="auto"/>
        <w:ind w:firstLine="3373" w:firstLineChars="1200"/>
        <w:jc w:val="left"/>
        <w:rPr>
          <w:rFonts w:ascii="宋体" w:hAnsi="宋体" w:eastAsia="宋体" w:cs="宋体"/>
          <w:b/>
          <w:color w:val="000000"/>
          <w:kern w:val="0"/>
          <w:sz w:val="28"/>
          <w:szCs w:val="28"/>
        </w:rPr>
      </w:pPr>
      <w:r>
        <w:rPr>
          <w:rFonts w:ascii="宋体" w:hAnsi="宋体" w:eastAsia="宋体" w:cs="宋体"/>
          <w:b/>
          <w:color w:val="000000"/>
          <w:kern w:val="0"/>
          <w:sz w:val="28"/>
          <w:szCs w:val="28"/>
        </w:rPr>
        <w:t>（征求意见稿）</w:t>
      </w:r>
    </w:p>
    <w:p>
      <w:pPr>
        <w:widowControl/>
        <w:spacing w:line="360" w:lineRule="auto"/>
        <w:ind w:firstLine="600" w:firstLineChars="200"/>
        <w:jc w:val="left"/>
        <w:rPr>
          <w:rFonts w:ascii="宋体" w:hAnsi="宋体" w:eastAsia="宋体" w:cs="宋体"/>
          <w:color w:val="000000"/>
          <w:kern w:val="0"/>
          <w:sz w:val="30"/>
          <w:szCs w:val="30"/>
        </w:rPr>
      </w:pPr>
      <w:r>
        <w:rPr>
          <w:rFonts w:ascii="宋体" w:hAnsi="宋体" w:eastAsia="宋体" w:cs="宋体"/>
          <w:color w:val="000000"/>
          <w:kern w:val="0"/>
          <w:sz w:val="30"/>
          <w:szCs w:val="30"/>
        </w:rPr>
        <w:t>为满足城市发展用地需求，规范征地程序，保障被征地农民合法权益，根据《中华人民共和国土地管理法》（</w:t>
      </w:r>
      <w:r>
        <w:rPr>
          <w:rFonts w:ascii="宋体" w:hAnsi="宋体" w:eastAsia="宋体" w:cs="Times New Roman"/>
          <w:color w:val="000000"/>
          <w:kern w:val="0"/>
          <w:sz w:val="30"/>
          <w:szCs w:val="30"/>
        </w:rPr>
        <w:t>2019</w:t>
      </w:r>
      <w:r>
        <w:rPr>
          <w:rFonts w:ascii="宋体" w:hAnsi="宋体" w:eastAsia="宋体" w:cs="宋体"/>
          <w:color w:val="000000"/>
          <w:kern w:val="0"/>
          <w:sz w:val="30"/>
          <w:szCs w:val="30"/>
        </w:rPr>
        <w:t>年）、《土地征收成片开发标准（试行）》、《江苏省自然资源厅关于开展土地征收成片开发方案编制工作的通知》（苏自然资函〔</w:t>
      </w:r>
      <w:r>
        <w:rPr>
          <w:rFonts w:ascii="宋体" w:hAnsi="宋体" w:eastAsia="宋体" w:cs="Times New Roman"/>
          <w:color w:val="000000"/>
          <w:kern w:val="0"/>
          <w:sz w:val="30"/>
          <w:szCs w:val="30"/>
        </w:rPr>
        <w:t>2021</w:t>
      </w:r>
      <w:r>
        <w:rPr>
          <w:rFonts w:ascii="宋体" w:hAnsi="宋体" w:eastAsia="宋体" w:cs="宋体"/>
          <w:color w:val="000000"/>
          <w:kern w:val="0"/>
          <w:sz w:val="30"/>
          <w:szCs w:val="30"/>
        </w:rPr>
        <w:t xml:space="preserve">〕 </w:t>
      </w:r>
      <w:r>
        <w:rPr>
          <w:rFonts w:ascii="宋体" w:hAnsi="宋体" w:eastAsia="宋体" w:cs="Times New Roman"/>
          <w:color w:val="000000"/>
          <w:kern w:val="0"/>
          <w:sz w:val="30"/>
          <w:szCs w:val="30"/>
        </w:rPr>
        <w:t xml:space="preserve">15 </w:t>
      </w:r>
      <w:r>
        <w:rPr>
          <w:rFonts w:ascii="宋体" w:hAnsi="宋体" w:eastAsia="宋体" w:cs="宋体"/>
          <w:color w:val="000000"/>
          <w:kern w:val="0"/>
          <w:sz w:val="30"/>
          <w:szCs w:val="30"/>
        </w:rPr>
        <w:t>号）、</w:t>
      </w:r>
      <w:r>
        <w:rPr>
          <w:rFonts w:hint="eastAsia" w:ascii="宋体" w:hAnsi="宋体" w:eastAsia="宋体" w:cs="宋体"/>
          <w:color w:val="000000"/>
          <w:kern w:val="0"/>
          <w:sz w:val="30"/>
          <w:szCs w:val="30"/>
        </w:rPr>
        <w:t>《江苏省自然资源厅关于加快推进土地征收成片开发方案编制工作的通知》</w:t>
      </w:r>
      <w:r>
        <w:rPr>
          <w:rFonts w:ascii="宋体" w:hAnsi="宋体" w:eastAsia="宋体" w:cs="宋体"/>
          <w:color w:val="000000"/>
          <w:kern w:val="0"/>
          <w:sz w:val="30"/>
          <w:szCs w:val="30"/>
        </w:rPr>
        <w:t>（苏自然资</w:t>
      </w:r>
      <w:r>
        <w:rPr>
          <w:rFonts w:hint="eastAsia" w:ascii="宋体" w:hAnsi="宋体" w:eastAsia="宋体" w:cs="宋体"/>
          <w:color w:val="000000"/>
          <w:kern w:val="0"/>
          <w:sz w:val="30"/>
          <w:szCs w:val="30"/>
        </w:rPr>
        <w:t>发</w:t>
      </w:r>
      <w:r>
        <w:rPr>
          <w:rFonts w:ascii="宋体" w:hAnsi="宋体" w:eastAsia="宋体" w:cs="宋体"/>
          <w:color w:val="000000"/>
          <w:kern w:val="0"/>
          <w:sz w:val="30"/>
          <w:szCs w:val="30"/>
        </w:rPr>
        <w:t>〔</w:t>
      </w:r>
      <w:r>
        <w:rPr>
          <w:rFonts w:ascii="宋体" w:hAnsi="宋体" w:eastAsia="宋体" w:cs="Times New Roman"/>
          <w:color w:val="000000"/>
          <w:kern w:val="0"/>
          <w:sz w:val="30"/>
          <w:szCs w:val="30"/>
        </w:rPr>
        <w:t>2021</w:t>
      </w:r>
      <w:r>
        <w:rPr>
          <w:rFonts w:ascii="宋体" w:hAnsi="宋体" w:eastAsia="宋体" w:cs="宋体"/>
          <w:color w:val="000000"/>
          <w:kern w:val="0"/>
          <w:sz w:val="30"/>
          <w:szCs w:val="30"/>
        </w:rPr>
        <w:t xml:space="preserve">〕 </w:t>
      </w:r>
      <w:r>
        <w:rPr>
          <w:rFonts w:ascii="宋体" w:hAnsi="宋体" w:eastAsia="宋体" w:cs="Times New Roman"/>
          <w:color w:val="000000"/>
          <w:kern w:val="0"/>
          <w:sz w:val="30"/>
          <w:szCs w:val="30"/>
        </w:rPr>
        <w:t xml:space="preserve">138 </w:t>
      </w:r>
      <w:r>
        <w:rPr>
          <w:rFonts w:ascii="宋体" w:hAnsi="宋体" w:eastAsia="宋体" w:cs="宋体"/>
          <w:color w:val="000000"/>
          <w:kern w:val="0"/>
          <w:sz w:val="30"/>
          <w:szCs w:val="30"/>
        </w:rPr>
        <w:t>号）</w:t>
      </w:r>
      <w:r>
        <w:rPr>
          <w:rFonts w:hint="eastAsia" w:ascii="宋体" w:hAnsi="宋体" w:eastAsia="宋体" w:cs="宋体"/>
          <w:color w:val="000000"/>
          <w:kern w:val="0"/>
          <w:sz w:val="30"/>
          <w:szCs w:val="30"/>
        </w:rPr>
        <w:t>、</w:t>
      </w:r>
      <w:r>
        <w:rPr>
          <w:rFonts w:ascii="宋体" w:hAnsi="宋体" w:eastAsia="宋体" w:cs="宋体"/>
          <w:color w:val="000000"/>
          <w:kern w:val="0"/>
          <w:sz w:val="30"/>
          <w:szCs w:val="30"/>
        </w:rPr>
        <w:t>《省政府关于印发江苏省被征地农民社会保障办法的通知》（苏政发〔2021〕87号）、《</w:t>
      </w:r>
      <w:r>
        <w:rPr>
          <w:rFonts w:hint="eastAsia" w:ascii="宋体" w:hAnsi="宋体" w:eastAsia="宋体" w:cs="宋体"/>
          <w:color w:val="000000"/>
          <w:kern w:val="0"/>
          <w:sz w:val="30"/>
          <w:szCs w:val="30"/>
        </w:rPr>
        <w:t>常政发〔</w:t>
      </w:r>
      <w:r>
        <w:rPr>
          <w:rFonts w:ascii="宋体" w:hAnsi="宋体" w:eastAsia="宋体" w:cs="宋体"/>
          <w:color w:val="000000"/>
          <w:kern w:val="0"/>
          <w:sz w:val="30"/>
          <w:szCs w:val="30"/>
        </w:rPr>
        <w:t>2020〕111号市政府关于公布常州市所辖各县（市、区）征地区片综合地价执行标准的通知》、《</w:t>
      </w:r>
      <w:r>
        <w:rPr>
          <w:rFonts w:hint="eastAsia" w:ascii="宋体" w:hAnsi="宋体" w:eastAsia="宋体" w:cs="宋体"/>
          <w:color w:val="000000"/>
          <w:kern w:val="0"/>
          <w:sz w:val="30"/>
          <w:szCs w:val="30"/>
        </w:rPr>
        <w:t>常州市武进区人民政府关于公布武进区征地区片综合地价执行标准的通知（武政发</w:t>
      </w:r>
      <w:r>
        <w:rPr>
          <w:rFonts w:ascii="宋体" w:hAnsi="宋体" w:eastAsia="宋体" w:cs="宋体"/>
          <w:color w:val="000000"/>
          <w:kern w:val="0"/>
          <w:sz w:val="30"/>
          <w:szCs w:val="30"/>
        </w:rPr>
        <w:t>[2020]78号）》等政策规定，</w:t>
      </w:r>
      <w:r>
        <w:rPr>
          <w:rFonts w:hint="eastAsia" w:ascii="宋体" w:hAnsi="宋体" w:eastAsia="宋体" w:cs="宋体"/>
          <w:color w:val="000000"/>
          <w:kern w:val="0"/>
          <w:sz w:val="30"/>
          <w:szCs w:val="30"/>
        </w:rPr>
        <w:t>常州</w:t>
      </w:r>
      <w:r>
        <w:rPr>
          <w:rFonts w:ascii="宋体" w:hAnsi="宋体" w:eastAsia="宋体" w:cs="宋体"/>
          <w:color w:val="000000"/>
          <w:kern w:val="0"/>
          <w:sz w:val="30"/>
          <w:szCs w:val="30"/>
        </w:rPr>
        <w:t>市</w:t>
      </w:r>
      <w:r>
        <w:rPr>
          <w:rFonts w:hint="eastAsia" w:ascii="宋体" w:hAnsi="宋体" w:eastAsia="宋体" w:cs="宋体"/>
          <w:color w:val="000000"/>
          <w:kern w:val="0"/>
          <w:sz w:val="30"/>
          <w:szCs w:val="30"/>
        </w:rPr>
        <w:t>武进</w:t>
      </w:r>
      <w:r>
        <w:rPr>
          <w:rFonts w:ascii="宋体" w:hAnsi="宋体" w:eastAsia="宋体" w:cs="宋体"/>
          <w:color w:val="000000"/>
          <w:kern w:val="0"/>
          <w:sz w:val="30"/>
          <w:szCs w:val="30"/>
        </w:rPr>
        <w:t>区人民政府组织编制了《</w:t>
      </w:r>
      <w:r>
        <w:rPr>
          <w:rFonts w:hint="eastAsia" w:ascii="宋体" w:hAnsi="宋体" w:eastAsia="宋体" w:cs="宋体"/>
          <w:color w:val="000000"/>
          <w:kern w:val="0"/>
          <w:sz w:val="30"/>
          <w:szCs w:val="30"/>
        </w:rPr>
        <w:t>武进区</w:t>
      </w:r>
      <w:r>
        <w:rPr>
          <w:rFonts w:ascii="宋体" w:hAnsi="宋体" w:eastAsia="宋体" w:cs="宋体"/>
          <w:color w:val="000000"/>
          <w:kern w:val="0"/>
          <w:sz w:val="30"/>
          <w:szCs w:val="30"/>
        </w:rPr>
        <w:t>2023-08号土地征收成片开发方案》。</w:t>
      </w:r>
      <w:r>
        <w:rPr>
          <w:rFonts w:hint="eastAsia" w:ascii="宋体" w:hAnsi="宋体" w:eastAsia="宋体" w:cs="宋体"/>
          <w:color w:val="000000"/>
          <w:kern w:val="0"/>
          <w:sz w:val="30"/>
          <w:szCs w:val="30"/>
        </w:rPr>
        <w:t>现公示如下：</w:t>
      </w:r>
      <w:r>
        <w:rPr>
          <w:rFonts w:hint="eastAsia" w:ascii="仿宋_GB2312" w:hAnsi="宋体" w:eastAsia="仿宋_GB2312" w:cs="宋体"/>
          <w:color w:val="000000"/>
          <w:kern w:val="0"/>
          <w:sz w:val="36"/>
          <w:szCs w:val="36"/>
        </w:rPr>
        <w:br w:type="textWrapping"/>
      </w:r>
      <w:r>
        <w:rPr>
          <w:rFonts w:ascii="黑体" w:hAnsi="黑体" w:eastAsia="黑体" w:cs="宋体"/>
          <w:color w:val="000000"/>
          <w:kern w:val="0"/>
          <w:sz w:val="30"/>
          <w:szCs w:val="30"/>
        </w:rPr>
        <w:t>一、片区基本情况</w:t>
      </w:r>
    </w:p>
    <w:p>
      <w:pPr>
        <w:widowControl/>
        <w:spacing w:line="360" w:lineRule="auto"/>
        <w:ind w:firstLine="600" w:firstLineChars="200"/>
        <w:jc w:val="left"/>
        <w:rPr>
          <w:rFonts w:ascii="宋体" w:hAnsi="宋体" w:eastAsia="宋体" w:cs="宋体"/>
          <w:color w:val="000000"/>
          <w:kern w:val="0"/>
          <w:sz w:val="30"/>
          <w:szCs w:val="30"/>
        </w:rPr>
      </w:pPr>
      <w:r>
        <w:rPr>
          <w:rFonts w:ascii="宋体" w:hAnsi="宋体" w:eastAsia="宋体" w:cs="宋体"/>
          <w:color w:val="000000"/>
          <w:kern w:val="0"/>
          <w:sz w:val="30"/>
          <w:szCs w:val="30"/>
        </w:rPr>
        <w:t>本方案主要涉及</w:t>
      </w:r>
      <w:r>
        <w:rPr>
          <w:rFonts w:hint="eastAsia" w:ascii="宋体" w:hAnsi="宋体" w:eastAsia="宋体" w:cs="宋体"/>
          <w:color w:val="000000"/>
          <w:kern w:val="0"/>
          <w:sz w:val="30"/>
          <w:szCs w:val="30"/>
        </w:rPr>
        <w:t>前黄镇、南夏墅街道、礼嘉镇</w:t>
      </w:r>
      <w:r>
        <w:rPr>
          <w:rFonts w:hint="eastAsia" w:ascii="宋体" w:hAnsi="宋体" w:eastAsia="宋体" w:cs="宋体"/>
          <w:kern w:val="0"/>
          <w:sz w:val="30"/>
          <w:szCs w:val="30"/>
        </w:rPr>
        <w:t>，包括</w:t>
      </w:r>
      <w:r>
        <w:rPr>
          <w:rFonts w:ascii="宋体" w:hAnsi="宋体" w:eastAsia="宋体" w:cs="宋体"/>
          <w:kern w:val="0"/>
          <w:sz w:val="30"/>
          <w:szCs w:val="30"/>
        </w:rPr>
        <w:t>2个片区，开发片区范围总面积289.9233公顷。</w:t>
      </w:r>
      <w:r>
        <w:rPr>
          <w:rFonts w:ascii="Times New Roman" w:hAnsi="Times New Roman"/>
          <w:sz w:val="28"/>
          <w:szCs w:val="28"/>
        </w:rPr>
        <w:t>（成片开发范围</w:t>
      </w:r>
      <w:r>
        <w:rPr>
          <w:rFonts w:hint="eastAsia" w:ascii="Times New Roman" w:hAnsi="Times New Roman"/>
          <w:sz w:val="28"/>
          <w:szCs w:val="28"/>
        </w:rPr>
        <w:t>及面积</w:t>
      </w:r>
      <w:r>
        <w:rPr>
          <w:rFonts w:ascii="Times New Roman" w:hAnsi="Times New Roman"/>
          <w:sz w:val="28"/>
          <w:szCs w:val="28"/>
        </w:rPr>
        <w:t>以最终批复为准）</w:t>
      </w:r>
      <w:r>
        <w:rPr>
          <w:rFonts w:ascii="宋体" w:hAnsi="宋体" w:eastAsia="宋体" w:cs="宋体"/>
          <w:kern w:val="0"/>
          <w:sz w:val="24"/>
          <w:szCs w:val="24"/>
        </w:rPr>
        <w:br w:type="textWrapping"/>
      </w:r>
      <w:r>
        <w:rPr>
          <w:rFonts w:ascii="黑体" w:hAnsi="黑体" w:eastAsia="黑体" w:cs="宋体"/>
          <w:color w:val="000000"/>
          <w:kern w:val="0"/>
          <w:sz w:val="30"/>
          <w:szCs w:val="30"/>
        </w:rPr>
        <w:t>二、成片开发的必要性</w:t>
      </w:r>
    </w:p>
    <w:p>
      <w:pPr>
        <w:widowControl/>
        <w:spacing w:line="360" w:lineRule="auto"/>
        <w:ind w:firstLine="600" w:firstLineChars="200"/>
        <w:jc w:val="left"/>
        <w:rPr>
          <w:rFonts w:ascii="宋体" w:hAnsi="宋体" w:eastAsia="宋体" w:cs="宋体"/>
          <w:color w:val="000000"/>
          <w:kern w:val="0"/>
          <w:sz w:val="30"/>
          <w:szCs w:val="30"/>
        </w:rPr>
      </w:pPr>
      <w:r>
        <w:rPr>
          <w:rFonts w:hint="eastAsia" w:ascii="宋体" w:hAnsi="宋体" w:eastAsia="宋体" w:cs="宋体"/>
          <w:color w:val="000000"/>
          <w:kern w:val="0"/>
          <w:sz w:val="30"/>
          <w:szCs w:val="30"/>
        </w:rPr>
        <w:t>武进区作为常州都市圈南部核心区，要积极抢抓长三角一体化、长江经济带、苏锡常都市圈等多重“风口”，充分发挥滨湖生态、智造集群、国际合作、科教创新、区位交通等独特优势，积极贯彻落实《土地管理法》及成片开发标准，探索成片开发新模式、稳步推进连片开发工作。按照征收一片、建设一片、建成一片的总体要求，统筹编制重点建设区域成片开发方案。以系统性、完整性、连片区为原则，一方面补齐设施短板、完善城市功能、提升城市能级，促进区域合理城市化进程；另一方面进一步挖掘存量建设用地资源，以保护区域农民权益为前提，以片区为整体功能单元开展剩余待开发改造地块的土地征收成片开发，切实发挥土地资源高效配置的作用。最终落实国土空间规划发展目标，高效配置土地资源、提升城市功能，强化生态服务功能，推进经济社会的可持续发展。</w:t>
      </w:r>
      <w:r>
        <w:rPr>
          <w:rFonts w:hint="eastAsia" w:ascii="宋体" w:hAnsi="宋体" w:eastAsia="宋体" w:cs="宋体"/>
          <w:color w:val="000000"/>
          <w:kern w:val="0"/>
          <w:sz w:val="30"/>
          <w:szCs w:val="30"/>
        </w:rPr>
        <w:br w:type="textWrapping"/>
      </w:r>
      <w:r>
        <w:rPr>
          <w:rFonts w:ascii="黑体" w:hAnsi="黑体" w:eastAsia="黑体" w:cs="宋体"/>
          <w:color w:val="000000"/>
          <w:kern w:val="0"/>
          <w:sz w:val="30"/>
          <w:szCs w:val="30"/>
        </w:rPr>
        <w:t>三、实施计划</w:t>
      </w:r>
    </w:p>
    <w:p>
      <w:pPr>
        <w:widowControl/>
        <w:spacing w:line="360" w:lineRule="auto"/>
        <w:ind w:firstLine="600" w:firstLineChars="200"/>
        <w:jc w:val="left"/>
        <w:rPr>
          <w:rFonts w:ascii="宋体" w:hAnsi="宋体" w:eastAsia="宋体" w:cs="宋体"/>
          <w:color w:val="000000"/>
          <w:kern w:val="0"/>
          <w:sz w:val="30"/>
          <w:szCs w:val="30"/>
        </w:rPr>
      </w:pPr>
      <w:r>
        <w:rPr>
          <w:rFonts w:ascii="宋体" w:hAnsi="宋体" w:eastAsia="宋体" w:cs="宋体"/>
          <w:color w:val="000000"/>
          <w:kern w:val="0"/>
          <w:sz w:val="30"/>
          <w:szCs w:val="30"/>
        </w:rPr>
        <w:t>成片开发范围内拟建设项目以产业项目为主，配套建设基础设施项目，</w:t>
      </w:r>
      <w:r>
        <w:rPr>
          <w:rFonts w:hint="eastAsia" w:ascii="宋体" w:hAnsi="宋体" w:eastAsia="宋体" w:cs="宋体"/>
          <w:color w:val="000000"/>
          <w:kern w:val="0"/>
          <w:sz w:val="30"/>
          <w:szCs w:val="30"/>
        </w:rPr>
        <w:t>大部分地块根据年度实施方案</w:t>
      </w:r>
      <w:r>
        <w:rPr>
          <w:rFonts w:ascii="宋体" w:hAnsi="宋体" w:eastAsia="宋体" w:cs="宋体"/>
          <w:color w:val="000000"/>
          <w:kern w:val="0"/>
          <w:sz w:val="30"/>
          <w:szCs w:val="30"/>
        </w:rPr>
        <w:t>在2024至2028年分批次</w:t>
      </w:r>
      <w:r>
        <w:rPr>
          <w:rFonts w:hint="eastAsia" w:ascii="宋体" w:hAnsi="宋体" w:eastAsia="宋体" w:cs="宋体"/>
          <w:color w:val="000000"/>
          <w:kern w:val="0"/>
          <w:sz w:val="30"/>
          <w:szCs w:val="30"/>
        </w:rPr>
        <w:t>完成土地征收和供地工作</w:t>
      </w:r>
      <w:r>
        <w:rPr>
          <w:rFonts w:ascii="宋体" w:hAnsi="宋体" w:eastAsia="宋体" w:cs="宋体"/>
          <w:color w:val="000000"/>
          <w:kern w:val="0"/>
          <w:sz w:val="30"/>
          <w:szCs w:val="30"/>
        </w:rPr>
        <w:t>。</w:t>
      </w:r>
      <w:r>
        <w:rPr>
          <w:rFonts w:hint="eastAsia" w:ascii="宋体" w:hAnsi="宋体" w:eastAsia="宋体" w:cs="宋体"/>
          <w:color w:val="000000"/>
          <w:kern w:val="0"/>
          <w:sz w:val="30"/>
          <w:szCs w:val="30"/>
        </w:rPr>
        <w:br w:type="textWrapping"/>
      </w:r>
      <w:r>
        <w:rPr>
          <w:rFonts w:ascii="黑体" w:hAnsi="黑体" w:eastAsia="黑体" w:cs="宋体"/>
          <w:color w:val="000000"/>
          <w:kern w:val="0"/>
          <w:sz w:val="30"/>
          <w:szCs w:val="30"/>
        </w:rPr>
        <w:t>四、规划</w:t>
      </w:r>
      <w:r>
        <w:rPr>
          <w:rFonts w:hint="eastAsia" w:ascii="黑体" w:hAnsi="黑体" w:eastAsia="黑体" w:cs="宋体"/>
          <w:color w:val="000000"/>
          <w:kern w:val="0"/>
          <w:sz w:val="30"/>
          <w:szCs w:val="30"/>
        </w:rPr>
        <w:t>符合</w:t>
      </w:r>
      <w:r>
        <w:rPr>
          <w:rFonts w:ascii="黑体" w:hAnsi="黑体" w:eastAsia="黑体" w:cs="宋体"/>
          <w:color w:val="000000"/>
          <w:kern w:val="0"/>
          <w:sz w:val="30"/>
          <w:szCs w:val="30"/>
        </w:rPr>
        <w:t>情况</w:t>
      </w:r>
      <w:r>
        <w:rPr>
          <w:rFonts w:hint="eastAsia" w:ascii="黑体" w:hAnsi="黑体" w:eastAsia="黑体" w:cs="宋体"/>
          <w:color w:val="000000"/>
          <w:kern w:val="0"/>
          <w:sz w:val="36"/>
          <w:szCs w:val="36"/>
        </w:rPr>
        <w:br w:type="textWrapping"/>
      </w:r>
      <w:r>
        <w:rPr>
          <w:rFonts w:ascii="宋体" w:hAnsi="宋体" w:eastAsia="宋体" w:cs="宋体"/>
          <w:color w:val="000000"/>
          <w:kern w:val="0"/>
          <w:sz w:val="30"/>
          <w:szCs w:val="30"/>
        </w:rPr>
        <w:t>（一） 国民经济和社会发展规划、年度计划</w:t>
      </w:r>
    </w:p>
    <w:p>
      <w:pPr>
        <w:widowControl/>
        <w:spacing w:line="360" w:lineRule="auto"/>
        <w:ind w:firstLine="600" w:firstLineChars="200"/>
        <w:jc w:val="left"/>
        <w:rPr>
          <w:rFonts w:ascii="宋体" w:hAnsi="宋体" w:eastAsia="宋体" w:cs="宋体"/>
          <w:color w:val="000000"/>
          <w:kern w:val="0"/>
          <w:sz w:val="30"/>
          <w:szCs w:val="30"/>
        </w:rPr>
      </w:pPr>
      <w:r>
        <w:rPr>
          <w:rFonts w:hint="eastAsia" w:ascii="宋体" w:hAnsi="宋体" w:eastAsia="宋体" w:cs="宋体"/>
          <w:color w:val="000000"/>
          <w:kern w:val="0"/>
          <w:sz w:val="30"/>
          <w:szCs w:val="30"/>
        </w:rPr>
        <w:t>本方案符合武进区现行国民经济和社会发展规划，拟定的年度实施计划和开发时序符合国民经济和社会发展年度计划。</w:t>
      </w:r>
      <w:r>
        <w:rPr>
          <w:rFonts w:hint="eastAsia" w:ascii="仿宋_GB2312" w:hAnsi="宋体" w:eastAsia="仿宋_GB2312" w:cs="宋体"/>
          <w:color w:val="000000"/>
          <w:kern w:val="0"/>
          <w:sz w:val="36"/>
          <w:szCs w:val="36"/>
        </w:rPr>
        <w:br w:type="textWrapping"/>
      </w:r>
      <w:r>
        <w:rPr>
          <w:rFonts w:ascii="宋体" w:hAnsi="宋体" w:eastAsia="宋体" w:cs="宋体"/>
          <w:color w:val="000000"/>
          <w:kern w:val="0"/>
          <w:sz w:val="30"/>
          <w:szCs w:val="30"/>
        </w:rPr>
        <w:t>（二） 符合国土空间规划情况</w:t>
      </w:r>
    </w:p>
    <w:p>
      <w:pPr>
        <w:widowControl/>
        <w:spacing w:line="360" w:lineRule="auto"/>
        <w:ind w:firstLine="600" w:firstLineChars="200"/>
        <w:jc w:val="left"/>
        <w:rPr>
          <w:rFonts w:ascii="宋体" w:hAnsi="宋体" w:eastAsia="宋体" w:cs="宋体"/>
          <w:color w:val="000000"/>
          <w:kern w:val="0"/>
          <w:sz w:val="30"/>
          <w:szCs w:val="30"/>
        </w:rPr>
      </w:pPr>
      <w:r>
        <w:rPr>
          <w:rFonts w:ascii="宋体" w:hAnsi="宋体" w:eastAsia="宋体" w:cs="宋体"/>
          <w:color w:val="000000"/>
          <w:kern w:val="0"/>
          <w:sz w:val="30"/>
          <w:szCs w:val="30"/>
        </w:rPr>
        <w:t>本方案符合</w:t>
      </w:r>
      <w:r>
        <w:rPr>
          <w:rFonts w:hint="eastAsia" w:ascii="宋体" w:hAnsi="宋体" w:eastAsia="宋体" w:cs="宋体"/>
          <w:color w:val="000000"/>
          <w:kern w:val="0"/>
          <w:sz w:val="30"/>
          <w:szCs w:val="30"/>
        </w:rPr>
        <w:t>已批准</w:t>
      </w:r>
      <w:r>
        <w:rPr>
          <w:rFonts w:ascii="宋体" w:hAnsi="宋体" w:eastAsia="宋体" w:cs="宋体"/>
          <w:color w:val="000000"/>
          <w:kern w:val="0"/>
          <w:sz w:val="30"/>
          <w:szCs w:val="30"/>
        </w:rPr>
        <w:t>的国土空间规划</w:t>
      </w:r>
      <w:r>
        <w:rPr>
          <w:rFonts w:hint="eastAsia" w:ascii="宋体" w:hAnsi="宋体" w:eastAsia="宋体" w:cs="宋体"/>
          <w:color w:val="000000"/>
          <w:kern w:val="0"/>
          <w:sz w:val="30"/>
          <w:szCs w:val="30"/>
        </w:rPr>
        <w:t>近期实施方案和三区三线方案</w:t>
      </w:r>
      <w:r>
        <w:rPr>
          <w:rFonts w:ascii="宋体" w:hAnsi="宋体" w:eastAsia="宋体" w:cs="宋体"/>
          <w:color w:val="000000"/>
          <w:kern w:val="0"/>
          <w:sz w:val="30"/>
          <w:szCs w:val="30"/>
        </w:rPr>
        <w:t>，成片开发范围均位于城镇开发边界的集中建设区，不涉及永久基本农田和生态保护红线。</w:t>
      </w:r>
      <w:r>
        <w:rPr>
          <w:rFonts w:hint="eastAsia" w:ascii="宋体" w:hAnsi="宋体" w:eastAsia="宋体" w:cs="宋体"/>
          <w:color w:val="000000"/>
          <w:kern w:val="0"/>
          <w:sz w:val="30"/>
          <w:szCs w:val="30"/>
        </w:rPr>
        <w:br w:type="textWrapping"/>
      </w:r>
      <w:r>
        <w:rPr>
          <w:rFonts w:ascii="宋体" w:hAnsi="宋体" w:eastAsia="宋体" w:cs="宋体"/>
          <w:color w:val="000000"/>
          <w:kern w:val="0"/>
          <w:sz w:val="30"/>
          <w:szCs w:val="30"/>
        </w:rPr>
        <w:t>（三） 公益性用地比例</w:t>
      </w:r>
    </w:p>
    <w:p>
      <w:pPr>
        <w:widowControl/>
        <w:spacing w:line="360" w:lineRule="auto"/>
        <w:ind w:firstLine="600" w:firstLineChars="200"/>
        <w:jc w:val="left"/>
        <w:rPr>
          <w:rFonts w:ascii="宋体" w:hAnsi="宋体" w:eastAsia="宋体" w:cs="宋体"/>
          <w:kern w:val="0"/>
          <w:sz w:val="24"/>
          <w:szCs w:val="24"/>
        </w:rPr>
      </w:pPr>
      <w:r>
        <w:rPr>
          <w:rFonts w:ascii="宋体" w:hAnsi="宋体" w:eastAsia="宋体" w:cs="宋体"/>
          <w:kern w:val="0"/>
          <w:sz w:val="30"/>
          <w:szCs w:val="30"/>
        </w:rPr>
        <w:t>根据用途分区和建设项目安排，开发片区规划建设用地总面积289.9233公顷，其中</w:t>
      </w:r>
      <w:bookmarkStart w:id="1" w:name="_GoBack"/>
      <w:bookmarkEnd w:id="1"/>
      <w:r>
        <w:rPr>
          <w:rFonts w:hint="eastAsia" w:ascii="宋体" w:hAnsi="宋体" w:eastAsia="宋体" w:cs="宋体"/>
          <w:color w:val="000000"/>
          <w:kern w:val="0"/>
          <w:sz w:val="30"/>
          <w:szCs w:val="30"/>
        </w:rPr>
        <w:t>工业主导型片区</w:t>
      </w:r>
      <w:r>
        <w:rPr>
          <w:rFonts w:ascii="宋体" w:hAnsi="宋体" w:eastAsia="宋体" w:cs="宋体"/>
          <w:color w:val="000000"/>
          <w:kern w:val="0"/>
          <w:sz w:val="30"/>
          <w:szCs w:val="30"/>
        </w:rPr>
        <w:t xml:space="preserve">公益性用地例均不低于 25% </w:t>
      </w:r>
      <w:r>
        <w:rPr>
          <w:rFonts w:hint="eastAsia" w:ascii="宋体" w:hAnsi="宋体" w:eastAsia="宋体" w:cs="宋体"/>
          <w:color w:val="000000"/>
          <w:kern w:val="0"/>
          <w:sz w:val="30"/>
          <w:szCs w:val="30"/>
        </w:rPr>
        <w:t>，</w:t>
      </w:r>
      <w:r>
        <w:rPr>
          <w:rFonts w:ascii="宋体" w:hAnsi="宋体" w:eastAsia="宋体" w:cs="宋体"/>
          <w:color w:val="000000"/>
          <w:kern w:val="0"/>
          <w:sz w:val="30"/>
          <w:szCs w:val="30"/>
        </w:rPr>
        <w:t>符合国家和省相关文件要求。详见表</w:t>
      </w:r>
      <w:r>
        <w:rPr>
          <w:rFonts w:hint="eastAsia" w:ascii="宋体" w:hAnsi="宋体" w:eastAsia="宋体" w:cs="宋体"/>
          <w:color w:val="000000"/>
          <w:kern w:val="0"/>
          <w:sz w:val="30"/>
          <w:szCs w:val="30"/>
        </w:rPr>
        <w:t>1</w:t>
      </w:r>
      <w:r>
        <w:rPr>
          <w:rFonts w:ascii="宋体" w:hAnsi="宋体" w:eastAsia="宋体" w:cs="宋体"/>
          <w:color w:val="000000"/>
          <w:kern w:val="0"/>
          <w:sz w:val="30"/>
          <w:szCs w:val="30"/>
        </w:rPr>
        <w:t>。</w:t>
      </w:r>
      <w:r>
        <w:rPr>
          <w:rFonts w:hint="eastAsia" w:ascii="宋体" w:hAnsi="宋体" w:eastAsia="宋体" w:cs="宋体"/>
          <w:color w:val="000000"/>
          <w:kern w:val="0"/>
          <w:sz w:val="30"/>
          <w:szCs w:val="30"/>
        </w:rPr>
        <w:br w:type="textWrapping"/>
      </w:r>
      <w:r>
        <w:rPr>
          <w:rFonts w:ascii="黑体" w:hAnsi="黑体" w:eastAsia="黑体" w:cs="宋体"/>
          <w:color w:val="000000"/>
          <w:kern w:val="0"/>
          <w:sz w:val="30"/>
          <w:szCs w:val="30"/>
        </w:rPr>
        <w:t xml:space="preserve">表 </w:t>
      </w:r>
      <w:r>
        <w:rPr>
          <w:rFonts w:hint="eastAsia" w:ascii="黑体" w:hAnsi="黑体" w:eastAsia="黑体" w:cs="宋体"/>
          <w:color w:val="000000"/>
          <w:kern w:val="0"/>
          <w:sz w:val="30"/>
          <w:szCs w:val="30"/>
        </w:rPr>
        <w:t>1</w:t>
      </w:r>
      <w:r>
        <w:rPr>
          <w:rFonts w:ascii="黑体" w:hAnsi="黑体" w:eastAsia="黑体" w:cs="宋体"/>
          <w:color w:val="000000"/>
          <w:kern w:val="0"/>
          <w:sz w:val="30"/>
          <w:szCs w:val="30"/>
        </w:rPr>
        <w:t xml:space="preserve"> 公益性用地情况表</w:t>
      </w:r>
      <w:r>
        <w:rPr>
          <w:rFonts w:hint="eastAsia" w:ascii="微软雅黑" w:hAnsi="微软雅黑" w:eastAsia="微软雅黑" w:cs="宋体"/>
          <w:color w:val="000000"/>
          <w:kern w:val="0"/>
          <w:sz w:val="32"/>
          <w:szCs w:val="32"/>
        </w:rPr>
        <w:br w:type="textWrapping"/>
      </w:r>
      <w:r>
        <w:rPr>
          <w:rFonts w:ascii="方正仿宋_GBK" w:hAnsi="宋体" w:eastAsia="方正仿宋_GBK" w:cs="宋体"/>
          <w:color w:val="000000"/>
          <w:kern w:val="0"/>
          <w:sz w:val="24"/>
          <w:szCs w:val="24"/>
        </w:rPr>
        <w:t>单位：公顷</w:t>
      </w:r>
    </w:p>
    <w:tbl>
      <w:tblPr>
        <w:tblStyle w:val="6"/>
        <w:tblW w:w="5000" w:type="pct"/>
        <w:jc w:val="center"/>
        <w:tblLayout w:type="autofit"/>
        <w:tblCellMar>
          <w:top w:w="0" w:type="dxa"/>
          <w:left w:w="108" w:type="dxa"/>
          <w:bottom w:w="0" w:type="dxa"/>
          <w:right w:w="108" w:type="dxa"/>
        </w:tblCellMar>
      </w:tblPr>
      <w:tblGrid>
        <w:gridCol w:w="4955"/>
        <w:gridCol w:w="1217"/>
        <w:gridCol w:w="1176"/>
        <w:gridCol w:w="1174"/>
      </w:tblGrid>
      <w:tr>
        <w:tblPrEx>
          <w:tblCellMar>
            <w:top w:w="0" w:type="dxa"/>
            <w:left w:w="108" w:type="dxa"/>
            <w:bottom w:w="0" w:type="dxa"/>
            <w:right w:w="108" w:type="dxa"/>
          </w:tblCellMar>
        </w:tblPrEx>
        <w:trPr>
          <w:cantSplit/>
          <w:trHeight w:val="1010" w:hRule="atLeast"/>
          <w:tblHeader/>
          <w:jc w:val="center"/>
        </w:trPr>
        <w:tc>
          <w:tcPr>
            <w:tcW w:w="29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片区</w:t>
            </w:r>
          </w:p>
        </w:tc>
        <w:tc>
          <w:tcPr>
            <w:tcW w:w="71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规划建设用地总面积</w:t>
            </w:r>
          </w:p>
        </w:tc>
        <w:tc>
          <w:tcPr>
            <w:tcW w:w="69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公益性建设用地面积</w:t>
            </w:r>
          </w:p>
        </w:tc>
        <w:tc>
          <w:tcPr>
            <w:tcW w:w="68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18"/>
                <w:szCs w:val="18"/>
              </w:rPr>
            </w:pPr>
            <w:r>
              <w:rPr>
                <w:rFonts w:ascii="Times New Roman" w:hAnsi="Times New Roman" w:eastAsia="仿宋_GB2312" w:cs="Times New Roman"/>
                <w:color w:val="000000"/>
                <w:kern w:val="0"/>
                <w:sz w:val="18"/>
                <w:szCs w:val="18"/>
              </w:rPr>
              <w:t>公益性用地比例</w:t>
            </w:r>
          </w:p>
        </w:tc>
      </w:tr>
      <w:tr>
        <w:tblPrEx>
          <w:tblCellMar>
            <w:top w:w="0" w:type="dxa"/>
            <w:left w:w="108" w:type="dxa"/>
            <w:bottom w:w="0" w:type="dxa"/>
            <w:right w:w="108" w:type="dxa"/>
          </w:tblCellMar>
        </w:tblPrEx>
        <w:trPr>
          <w:trHeight w:val="1010" w:hRule="atLeast"/>
          <w:jc w:val="center"/>
        </w:trPr>
        <w:tc>
          <w:tcPr>
            <w:tcW w:w="290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rPr>
            </w:pPr>
            <w:r>
              <w:rPr>
                <w:rFonts w:hint="eastAsia" w:ascii="仿宋_GB2312" w:eastAsia="仿宋_GB2312"/>
                <w:color w:val="000000"/>
                <w:sz w:val="20"/>
                <w:szCs w:val="20"/>
              </w:rPr>
              <w:t>高新区理想四期工业片区</w:t>
            </w:r>
          </w:p>
        </w:tc>
        <w:tc>
          <w:tcPr>
            <w:tcW w:w="71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rPr>
            </w:pPr>
            <w:r>
              <w:rPr>
                <w:rFonts w:ascii="Times New Roman" w:hAnsi="Times New Roman" w:cs="Times New Roman"/>
                <w:color w:val="000000"/>
                <w:sz w:val="20"/>
                <w:szCs w:val="20"/>
              </w:rPr>
              <w:t>139.3486</w:t>
            </w:r>
          </w:p>
        </w:tc>
        <w:tc>
          <w:tcPr>
            <w:tcW w:w="69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rPr>
            </w:pPr>
            <w:r>
              <w:rPr>
                <w:rFonts w:ascii="Times New Roman" w:hAnsi="Times New Roman" w:cs="Times New Roman"/>
                <w:color w:val="000000"/>
                <w:sz w:val="20"/>
                <w:szCs w:val="20"/>
              </w:rPr>
              <w:t>34.8372</w:t>
            </w:r>
          </w:p>
        </w:tc>
        <w:tc>
          <w:tcPr>
            <w:tcW w:w="68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rPr>
            </w:pPr>
            <w:r>
              <w:rPr>
                <w:rFonts w:ascii="Times New Roman" w:hAnsi="Times New Roman" w:cs="Times New Roman"/>
                <w:color w:val="000000"/>
                <w:sz w:val="20"/>
                <w:szCs w:val="20"/>
              </w:rPr>
              <w:t>25.00%</w:t>
            </w:r>
          </w:p>
        </w:tc>
      </w:tr>
      <w:tr>
        <w:tblPrEx>
          <w:tblCellMar>
            <w:top w:w="0" w:type="dxa"/>
            <w:left w:w="108" w:type="dxa"/>
            <w:bottom w:w="0" w:type="dxa"/>
            <w:right w:w="108" w:type="dxa"/>
          </w:tblCellMar>
        </w:tblPrEx>
        <w:trPr>
          <w:trHeight w:val="1010" w:hRule="atLeast"/>
          <w:jc w:val="center"/>
        </w:trPr>
        <w:tc>
          <w:tcPr>
            <w:tcW w:w="290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eastAsia="仿宋_GB2312"/>
                <w:color w:val="000000"/>
                <w:sz w:val="20"/>
                <w:szCs w:val="20"/>
              </w:rPr>
            </w:pPr>
            <w:r>
              <w:rPr>
                <w:rFonts w:hint="eastAsia" w:ascii="仿宋_GB2312" w:eastAsia="仿宋_GB2312"/>
                <w:color w:val="000000"/>
                <w:sz w:val="20"/>
                <w:szCs w:val="20"/>
              </w:rPr>
              <w:t>高新区理想零部件工业片区</w:t>
            </w:r>
          </w:p>
        </w:tc>
        <w:tc>
          <w:tcPr>
            <w:tcW w:w="71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150.5747 </w:t>
            </w:r>
          </w:p>
        </w:tc>
        <w:tc>
          <w:tcPr>
            <w:tcW w:w="690"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 w:val="20"/>
                <w:szCs w:val="20"/>
              </w:rPr>
            </w:pPr>
            <w:r>
              <w:rPr>
                <w:rFonts w:ascii="Times New Roman" w:hAnsi="Times New Roman" w:cs="Times New Roman"/>
                <w:color w:val="000000"/>
                <w:sz w:val="20"/>
                <w:szCs w:val="20"/>
              </w:rPr>
              <w:t>37.6437</w:t>
            </w:r>
          </w:p>
        </w:tc>
        <w:tc>
          <w:tcPr>
            <w:tcW w:w="68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 w:val="20"/>
                <w:szCs w:val="20"/>
              </w:rPr>
            </w:pPr>
            <w:r>
              <w:rPr>
                <w:rFonts w:ascii="Times New Roman" w:hAnsi="Times New Roman" w:cs="Times New Roman"/>
                <w:color w:val="000000"/>
                <w:sz w:val="20"/>
                <w:szCs w:val="20"/>
              </w:rPr>
              <w:t>25.00%</w:t>
            </w:r>
          </w:p>
        </w:tc>
      </w:tr>
    </w:tbl>
    <w:p>
      <w:pPr>
        <w:spacing w:line="360" w:lineRule="auto"/>
        <w:ind w:firstLine="480" w:firstLineChars="200"/>
        <w:rPr>
          <w:rFonts w:ascii="宋体" w:hAnsi="宋体" w:eastAsia="宋体" w:cs="宋体"/>
          <w:color w:val="000000"/>
          <w:kern w:val="0"/>
          <w:sz w:val="30"/>
          <w:szCs w:val="30"/>
        </w:rPr>
      </w:pPr>
      <w:r>
        <w:rPr>
          <w:rFonts w:ascii="宋体" w:hAnsi="宋体" w:eastAsia="宋体" w:cs="宋体"/>
          <w:kern w:val="0"/>
          <w:sz w:val="24"/>
          <w:szCs w:val="24"/>
        </w:rPr>
        <w:br w:type="textWrapping"/>
      </w:r>
      <w:r>
        <w:rPr>
          <w:rFonts w:ascii="黑体" w:hAnsi="黑体" w:eastAsia="黑体" w:cs="宋体"/>
          <w:color w:val="000000"/>
          <w:kern w:val="0"/>
          <w:sz w:val="30"/>
          <w:szCs w:val="30"/>
        </w:rPr>
        <w:t>五、效益评价</w:t>
      </w:r>
      <w:r>
        <w:rPr>
          <w:rFonts w:hint="eastAsia" w:ascii="黑体" w:hAnsi="黑体" w:eastAsia="黑体" w:cs="宋体"/>
          <w:color w:val="000000"/>
          <w:kern w:val="0"/>
          <w:sz w:val="36"/>
          <w:szCs w:val="36"/>
        </w:rPr>
        <w:br w:type="textWrapping"/>
      </w:r>
      <w:r>
        <w:rPr>
          <w:rFonts w:ascii="宋体" w:hAnsi="宋体" w:eastAsia="宋体" w:cs="宋体"/>
          <w:color w:val="000000"/>
          <w:kern w:val="0"/>
          <w:sz w:val="30"/>
          <w:szCs w:val="30"/>
        </w:rPr>
        <w:t>（一） 经济效益</w:t>
      </w:r>
    </w:p>
    <w:p>
      <w:pPr>
        <w:spacing w:line="360" w:lineRule="auto"/>
        <w:ind w:firstLine="600" w:firstLineChars="200"/>
        <w:rPr>
          <w:rFonts w:ascii="宋体" w:hAnsi="宋体" w:eastAsia="宋体" w:cs="宋体"/>
          <w:color w:val="000000"/>
          <w:kern w:val="0"/>
          <w:sz w:val="30"/>
          <w:szCs w:val="30"/>
        </w:rPr>
      </w:pPr>
      <w:r>
        <w:rPr>
          <w:rFonts w:hint="eastAsia" w:ascii="宋体" w:hAnsi="宋体" w:eastAsia="宋体" w:cs="宋体"/>
          <w:color w:val="000000"/>
          <w:kern w:val="0"/>
          <w:sz w:val="30"/>
          <w:szCs w:val="30"/>
        </w:rPr>
        <w:t>土地成片开发将通过土地征收、划拨和市场手段将土地资源配置到各个土地使用者手中，为城市建设储备了后备力量与经济发展保障，为武进经济的可持续发展、高质量发展与防范金融风险的能力提供坚实的后盾。</w:t>
      </w:r>
      <w:r>
        <w:rPr>
          <w:rFonts w:hint="eastAsia" w:ascii="宋体" w:hAnsi="宋体" w:eastAsia="宋体" w:cs="宋体"/>
          <w:color w:val="000000"/>
          <w:kern w:val="0"/>
          <w:sz w:val="30"/>
          <w:szCs w:val="30"/>
        </w:rPr>
        <w:br w:type="textWrapping"/>
      </w:r>
      <w:r>
        <w:rPr>
          <w:rFonts w:ascii="宋体" w:hAnsi="宋体" w:eastAsia="宋体" w:cs="宋体"/>
          <w:color w:val="000000"/>
          <w:kern w:val="0"/>
          <w:sz w:val="30"/>
          <w:szCs w:val="30"/>
        </w:rPr>
        <w:t>（二） 社会效益</w:t>
      </w:r>
    </w:p>
    <w:p>
      <w:pPr>
        <w:spacing w:line="360" w:lineRule="auto"/>
        <w:ind w:firstLine="600" w:firstLineChars="200"/>
        <w:rPr>
          <w:rFonts w:ascii="宋体" w:hAnsi="宋体" w:eastAsia="宋体" w:cs="宋体"/>
          <w:color w:val="000000"/>
          <w:kern w:val="0"/>
          <w:sz w:val="30"/>
          <w:szCs w:val="30"/>
        </w:rPr>
      </w:pPr>
      <w:r>
        <w:rPr>
          <w:rFonts w:hint="eastAsia" w:ascii="宋体" w:hAnsi="宋体" w:eastAsia="宋体" w:cs="宋体"/>
          <w:color w:val="000000"/>
          <w:kern w:val="0"/>
          <w:sz w:val="30"/>
          <w:szCs w:val="30"/>
        </w:rPr>
        <w:t>本方案成片开发项目的实施会对社会各方面都产生重大影响，对土地利用、分配公平、环境改善、增加就业等方面有巨大的促进作用。通过本方案成片开发的实施，能够真正实现统一规划、统一配套、统一开发、统一建设、统一管理，提高了城市土地资源配置效率。</w:t>
      </w:r>
      <w:r>
        <w:rPr>
          <w:rFonts w:hint="eastAsia" w:ascii="宋体" w:hAnsi="宋体" w:eastAsia="宋体" w:cs="宋体"/>
          <w:color w:val="000000"/>
          <w:kern w:val="0"/>
          <w:sz w:val="30"/>
          <w:szCs w:val="30"/>
        </w:rPr>
        <w:br w:type="textWrapping"/>
      </w:r>
      <w:r>
        <w:rPr>
          <w:rFonts w:ascii="宋体" w:hAnsi="宋体" w:eastAsia="宋体" w:cs="宋体"/>
          <w:color w:val="000000"/>
          <w:kern w:val="0"/>
          <w:sz w:val="30"/>
          <w:szCs w:val="30"/>
        </w:rPr>
        <w:t>（三） 生态效益</w:t>
      </w:r>
    </w:p>
    <w:p>
      <w:pPr>
        <w:spacing w:line="360" w:lineRule="auto"/>
        <w:ind w:firstLine="600" w:firstLineChars="200"/>
        <w:rPr>
          <w:rFonts w:ascii="宋体" w:hAnsi="宋体" w:eastAsia="宋体" w:cs="宋体"/>
          <w:color w:val="000000"/>
          <w:kern w:val="0"/>
          <w:sz w:val="30"/>
          <w:szCs w:val="30"/>
        </w:rPr>
      </w:pPr>
      <w:r>
        <w:rPr>
          <w:rFonts w:ascii="宋体" w:hAnsi="宋体" w:eastAsia="宋体" w:cs="宋体"/>
          <w:color w:val="000000"/>
          <w:kern w:val="0"/>
          <w:sz w:val="30"/>
          <w:szCs w:val="30"/>
        </w:rPr>
        <w:t>成片开发范围内，规划生态绿化用地规模明显增加，将显著提高</w:t>
      </w:r>
      <w:r>
        <w:rPr>
          <w:rFonts w:hint="eastAsia" w:ascii="宋体" w:hAnsi="宋体" w:eastAsia="宋体" w:cs="宋体"/>
          <w:color w:val="000000"/>
          <w:kern w:val="0"/>
          <w:sz w:val="30"/>
          <w:szCs w:val="30"/>
        </w:rPr>
        <w:t>区域</w:t>
      </w:r>
      <w:r>
        <w:rPr>
          <w:rFonts w:ascii="宋体" w:hAnsi="宋体" w:eastAsia="宋体" w:cs="宋体"/>
          <w:color w:val="000000"/>
          <w:kern w:val="0"/>
          <w:sz w:val="30"/>
          <w:szCs w:val="30"/>
        </w:rPr>
        <w:t>内生态环境质量，将有效恢复生态绿化功能，改变城市环境，在减少水域污染、保持水土，涵养水源、降低噪音等诸方面发挥显著作用，使项目区域生态环境实现良性循环，实现人与自然、经济发展与资源环境协调、可持续发展。</w:t>
      </w:r>
      <w:r>
        <w:rPr>
          <w:rFonts w:hint="eastAsia" w:ascii="仿宋_GB2312" w:hAnsi="宋体" w:eastAsia="仿宋_GB2312" w:cs="宋体"/>
          <w:color w:val="000000"/>
          <w:kern w:val="0"/>
          <w:sz w:val="36"/>
          <w:szCs w:val="36"/>
        </w:rPr>
        <w:br w:type="textWrapping"/>
      </w:r>
      <w:r>
        <w:rPr>
          <w:rFonts w:ascii="黑体" w:hAnsi="黑体" w:eastAsia="黑体" w:cs="宋体"/>
          <w:color w:val="000000"/>
          <w:kern w:val="0"/>
          <w:sz w:val="30"/>
          <w:szCs w:val="30"/>
        </w:rPr>
        <w:t>六、</w:t>
      </w:r>
      <w:r>
        <w:rPr>
          <w:rFonts w:hint="eastAsia" w:ascii="黑体" w:hAnsi="黑体" w:eastAsia="黑体" w:cs="宋体"/>
          <w:color w:val="000000"/>
          <w:kern w:val="0"/>
          <w:sz w:val="30"/>
          <w:szCs w:val="30"/>
        </w:rPr>
        <w:t>被征地农民和农村集体经济组织权益保障</w:t>
      </w:r>
    </w:p>
    <w:p>
      <w:pPr>
        <w:spacing w:line="360" w:lineRule="auto"/>
        <w:ind w:firstLine="600" w:firstLineChars="200"/>
        <w:rPr>
          <w:rFonts w:ascii="宋体" w:hAnsi="宋体" w:eastAsia="宋体" w:cs="宋体"/>
          <w:color w:val="000000"/>
          <w:kern w:val="0"/>
          <w:sz w:val="30"/>
          <w:szCs w:val="30"/>
        </w:rPr>
      </w:pPr>
      <w:r>
        <w:rPr>
          <w:rFonts w:ascii="宋体" w:hAnsi="宋体" w:eastAsia="宋体" w:cs="宋体"/>
          <w:color w:val="000000"/>
          <w:kern w:val="0"/>
          <w:sz w:val="30"/>
          <w:szCs w:val="30"/>
        </w:rPr>
        <w:t>为维护被征地农民和农村集体经济组织的合法权益，规范征地补偿程序，根据《中华人民共和国土地管理法》、《省政府关于印发江苏省被征地农民社会保障办法的通知》（苏政发〔2021〕87号）、《</w:t>
      </w:r>
      <w:r>
        <w:rPr>
          <w:rFonts w:hint="eastAsia" w:ascii="宋体" w:hAnsi="宋体" w:eastAsia="宋体" w:cs="宋体"/>
          <w:color w:val="000000"/>
          <w:kern w:val="0"/>
          <w:sz w:val="30"/>
          <w:szCs w:val="30"/>
        </w:rPr>
        <w:t>常政发〔</w:t>
      </w:r>
      <w:r>
        <w:rPr>
          <w:rFonts w:ascii="宋体" w:hAnsi="宋体" w:eastAsia="宋体" w:cs="宋体"/>
          <w:color w:val="000000"/>
          <w:kern w:val="0"/>
          <w:sz w:val="30"/>
          <w:szCs w:val="30"/>
        </w:rPr>
        <w:t>2020〕111号市政府关于公布常州市所辖各县（市、区）征地区片综合地价执行标准的通知》、《</w:t>
      </w:r>
      <w:r>
        <w:rPr>
          <w:rFonts w:hint="eastAsia" w:ascii="宋体" w:hAnsi="宋体" w:eastAsia="宋体" w:cs="宋体"/>
          <w:color w:val="000000"/>
          <w:kern w:val="0"/>
          <w:sz w:val="30"/>
          <w:szCs w:val="30"/>
        </w:rPr>
        <w:t>常州市武进区人民政府关于公布武进区征地区片综合地价执行标准的通知（武政发</w:t>
      </w:r>
      <w:r>
        <w:rPr>
          <w:rFonts w:ascii="宋体" w:hAnsi="宋体" w:eastAsia="宋体" w:cs="宋体"/>
          <w:color w:val="000000"/>
          <w:kern w:val="0"/>
          <w:sz w:val="30"/>
          <w:szCs w:val="30"/>
        </w:rPr>
        <w:t>[2020]78号）》等文件开展工作。</w:t>
      </w:r>
    </w:p>
    <w:p>
      <w:pPr>
        <w:widowControl/>
        <w:jc w:val="left"/>
        <w:rPr>
          <w:rFonts w:ascii="宋体" w:hAnsi="宋体" w:eastAsia="宋体" w:cs="宋体"/>
          <w:color w:val="000000"/>
          <w:kern w:val="0"/>
          <w:sz w:val="30"/>
          <w:szCs w:val="30"/>
        </w:rPr>
      </w:pPr>
      <w:r>
        <w:rPr>
          <w:rFonts w:ascii="宋体" w:hAnsi="宋体" w:eastAsia="宋体" w:cs="宋体"/>
          <w:color w:val="000000"/>
          <w:kern w:val="0"/>
          <w:sz w:val="30"/>
          <w:szCs w:val="30"/>
        </w:rPr>
        <w:br w:type="page"/>
      </w:r>
    </w:p>
    <w:p>
      <w:pPr>
        <w:spacing w:line="360" w:lineRule="auto"/>
        <w:ind w:firstLine="600" w:firstLineChars="200"/>
        <w:rPr>
          <w:rFonts w:ascii="宋体" w:hAnsi="宋体" w:eastAsia="宋体"/>
          <w:sz w:val="30"/>
          <w:szCs w:val="30"/>
        </w:rPr>
      </w:pPr>
      <w:r>
        <w:rPr>
          <w:rFonts w:ascii="宋体" w:hAnsi="宋体" w:eastAsia="宋体"/>
          <w:sz w:val="30"/>
          <w:szCs w:val="30"/>
        </w:rPr>
        <w:t>1</w:t>
      </w:r>
      <w:r>
        <w:rPr>
          <w:rFonts w:hint="eastAsia" w:ascii="宋体" w:hAnsi="宋体" w:eastAsia="宋体"/>
          <w:sz w:val="30"/>
          <w:szCs w:val="30"/>
        </w:rPr>
        <w:t>、高新区理想四期工业片区</w:t>
      </w:r>
    </w:p>
    <w:p>
      <w:pPr>
        <w:widowControl/>
        <w:ind w:firstLine="600" w:firstLineChars="200"/>
        <w:jc w:val="left"/>
        <w:rPr>
          <w:rFonts w:ascii="宋体" w:hAnsi="宋体" w:eastAsia="宋体"/>
          <w:sz w:val="30"/>
          <w:szCs w:val="30"/>
        </w:rPr>
      </w:pPr>
      <w:r>
        <w:rPr>
          <w:rFonts w:hint="eastAsia" w:ascii="宋体" w:hAnsi="宋体" w:eastAsia="宋体"/>
          <w:sz w:val="30"/>
          <w:szCs w:val="30"/>
        </w:rPr>
        <w:drawing>
          <wp:anchor distT="0" distB="0" distL="114300" distR="114300" simplePos="0" relativeHeight="251662336" behindDoc="0" locked="0" layoutInCell="1" allowOverlap="1">
            <wp:simplePos x="0" y="0"/>
            <wp:positionH relativeFrom="margin">
              <wp:posOffset>8255</wp:posOffset>
            </wp:positionH>
            <wp:positionV relativeFrom="paragraph">
              <wp:posOffset>1263015</wp:posOffset>
            </wp:positionV>
            <wp:extent cx="5051425" cy="3573145"/>
            <wp:effectExtent l="0" t="0" r="0" b="825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51425" cy="3573145"/>
                    </a:xfrm>
                    <a:prstGeom prst="rect">
                      <a:avLst/>
                    </a:prstGeom>
                    <a:noFill/>
                    <a:ln>
                      <a:noFill/>
                    </a:ln>
                  </pic:spPr>
                </pic:pic>
              </a:graphicData>
            </a:graphic>
          </wp:anchor>
        </w:drawing>
      </w:r>
      <w:r>
        <w:rPr>
          <w:rFonts w:ascii="宋体" w:hAnsi="宋体" w:eastAsia="宋体"/>
          <w:sz w:val="30"/>
          <w:szCs w:val="30"/>
        </w:rPr>
        <w:drawing>
          <wp:anchor distT="0" distB="0" distL="114300" distR="114300" simplePos="0" relativeHeight="251661312" behindDoc="0" locked="0" layoutInCell="1" allowOverlap="1">
            <wp:simplePos x="0" y="0"/>
            <wp:positionH relativeFrom="margin">
              <wp:posOffset>8255</wp:posOffset>
            </wp:positionH>
            <wp:positionV relativeFrom="paragraph">
              <wp:posOffset>4835525</wp:posOffset>
            </wp:positionV>
            <wp:extent cx="5055235" cy="3575685"/>
            <wp:effectExtent l="0" t="0" r="0" b="571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55235" cy="3575685"/>
                    </a:xfrm>
                    <a:prstGeom prst="rect">
                      <a:avLst/>
                    </a:prstGeom>
                    <a:noFill/>
                    <a:ln>
                      <a:noFill/>
                    </a:ln>
                  </pic:spPr>
                </pic:pic>
              </a:graphicData>
            </a:graphic>
          </wp:anchor>
        </w:drawing>
      </w:r>
      <w:r>
        <w:rPr>
          <w:rFonts w:hint="eastAsia" w:ascii="宋体" w:hAnsi="宋体" w:eastAsia="宋体"/>
          <w:sz w:val="30"/>
          <w:szCs w:val="30"/>
        </w:rPr>
        <w:t>开发片区位于武进区前黄镇和南夏墅街道，土地面积</w:t>
      </w:r>
      <w:r>
        <w:rPr>
          <w:rFonts w:ascii="宋体" w:hAnsi="宋体" w:eastAsia="宋体"/>
          <w:sz w:val="30"/>
          <w:szCs w:val="30"/>
        </w:rPr>
        <w:t>139.3486公顷，四至范围为</w:t>
      </w:r>
      <w:r>
        <w:rPr>
          <w:rFonts w:hint="eastAsia" w:ascii="宋体" w:hAnsi="宋体" w:eastAsia="宋体"/>
          <w:sz w:val="30"/>
          <w:szCs w:val="30"/>
        </w:rPr>
        <w:t>东至凤栖路，南至敬业路</w:t>
      </w:r>
      <w:r>
        <w:rPr>
          <w:rFonts w:ascii="宋体" w:hAnsi="宋体" w:eastAsia="宋体"/>
          <w:sz w:val="30"/>
          <w:szCs w:val="30"/>
        </w:rPr>
        <w:t>,西至</w:t>
      </w:r>
      <w:r>
        <w:rPr>
          <w:rFonts w:hint="eastAsia" w:ascii="宋体" w:hAnsi="宋体" w:eastAsia="宋体"/>
          <w:sz w:val="30"/>
          <w:szCs w:val="30"/>
        </w:rPr>
        <w:t>武宜南路</w:t>
      </w:r>
      <w:r>
        <w:rPr>
          <w:rFonts w:ascii="宋体" w:hAnsi="宋体" w:eastAsia="宋体"/>
          <w:sz w:val="30"/>
          <w:szCs w:val="30"/>
        </w:rPr>
        <w:t>，北至</w:t>
      </w:r>
      <w:r>
        <w:rPr>
          <w:rFonts w:hint="eastAsia" w:ascii="宋体" w:hAnsi="宋体" w:eastAsia="宋体"/>
          <w:sz w:val="30"/>
          <w:szCs w:val="30"/>
        </w:rPr>
        <w:t>南湖西路</w:t>
      </w:r>
      <w:r>
        <w:rPr>
          <w:rFonts w:ascii="宋体" w:hAnsi="宋体" w:eastAsia="宋体"/>
          <w:sz w:val="30"/>
          <w:szCs w:val="30"/>
        </w:rPr>
        <w:t>。</w:t>
      </w:r>
    </w:p>
    <w:p>
      <w:pPr>
        <w:spacing w:line="360" w:lineRule="auto"/>
        <w:rPr>
          <w:rFonts w:ascii="宋体" w:hAnsi="宋体" w:eastAsia="宋体"/>
          <w:sz w:val="30"/>
          <w:szCs w:val="30"/>
        </w:rPr>
      </w:pPr>
      <w:r>
        <w:rPr>
          <w:rFonts w:ascii="宋体" w:hAnsi="宋体" w:eastAsia="宋体"/>
          <w:sz w:val="30"/>
          <w:szCs w:val="30"/>
        </w:rPr>
        <w:t>2、</w:t>
      </w:r>
      <w:r>
        <w:rPr>
          <w:rFonts w:hint="eastAsia" w:ascii="宋体" w:hAnsi="宋体" w:eastAsia="宋体"/>
          <w:sz w:val="30"/>
          <w:szCs w:val="30"/>
        </w:rPr>
        <w:t>高新区理想零部件工业片区</w:t>
      </w:r>
    </w:p>
    <w:p>
      <w:pPr>
        <w:spacing w:line="360" w:lineRule="auto"/>
        <w:ind w:firstLine="600" w:firstLineChars="200"/>
        <w:rPr>
          <w:rFonts w:ascii="宋体" w:hAnsi="宋体" w:eastAsia="宋体"/>
          <w:sz w:val="30"/>
          <w:szCs w:val="30"/>
        </w:rPr>
      </w:pPr>
      <w:r>
        <w:rPr>
          <w:rFonts w:ascii="宋体" w:hAnsi="宋体" w:eastAsia="宋体"/>
          <w:sz w:val="30"/>
          <w:szCs w:val="30"/>
        </w:rPr>
        <w:t>开发片区位于</w:t>
      </w:r>
      <w:r>
        <w:rPr>
          <w:rFonts w:hint="eastAsia" w:ascii="宋体" w:hAnsi="宋体" w:eastAsia="宋体"/>
          <w:sz w:val="30"/>
          <w:szCs w:val="30"/>
        </w:rPr>
        <w:t>前黄镇和礼嘉镇</w:t>
      </w:r>
      <w:r>
        <w:rPr>
          <w:rFonts w:ascii="宋体" w:hAnsi="宋体" w:eastAsia="宋体"/>
          <w:sz w:val="30"/>
          <w:szCs w:val="30"/>
        </w:rPr>
        <w:t>，土地面积150.5747公顷，四至范围为</w:t>
      </w:r>
      <w:r>
        <w:rPr>
          <w:rFonts w:hint="eastAsia" w:ascii="宋体" w:hAnsi="宋体" w:eastAsia="宋体"/>
          <w:sz w:val="30"/>
          <w:szCs w:val="30"/>
        </w:rPr>
        <w:t>东至永安河，南至南湖西路</w:t>
      </w:r>
      <w:r>
        <w:rPr>
          <w:rFonts w:ascii="宋体" w:hAnsi="宋体" w:eastAsia="宋体"/>
          <w:sz w:val="30"/>
          <w:szCs w:val="30"/>
        </w:rPr>
        <w:t>,西至</w:t>
      </w:r>
      <w:r>
        <w:rPr>
          <w:rFonts w:hint="eastAsia" w:ascii="宋体" w:hAnsi="宋体" w:eastAsia="宋体"/>
          <w:sz w:val="30"/>
          <w:szCs w:val="30"/>
        </w:rPr>
        <w:t>常武南路</w:t>
      </w:r>
      <w:r>
        <w:rPr>
          <w:rFonts w:ascii="宋体" w:hAnsi="宋体" w:eastAsia="宋体"/>
          <w:sz w:val="30"/>
          <w:szCs w:val="30"/>
        </w:rPr>
        <w:t>，北至</w:t>
      </w:r>
      <w:r>
        <w:rPr>
          <w:rFonts w:hint="eastAsia" w:ascii="宋体" w:hAnsi="宋体" w:eastAsia="宋体"/>
          <w:sz w:val="30"/>
          <w:szCs w:val="30"/>
        </w:rPr>
        <w:t>顺龙河</w:t>
      </w:r>
      <w:r>
        <w:rPr>
          <w:rFonts w:ascii="宋体" w:hAnsi="宋体" w:eastAsia="宋体"/>
          <w:sz w:val="30"/>
          <w:szCs w:val="30"/>
        </w:rPr>
        <w:t>。</w:t>
      </w:r>
    </w:p>
    <w:p>
      <w:pPr>
        <w:rPr>
          <w:rFonts w:ascii="宋体" w:hAnsi="宋体" w:eastAsia="宋体"/>
          <w:sz w:val="30"/>
          <w:szCs w:val="30"/>
        </w:rPr>
      </w:pPr>
      <w:r>
        <w:rPr>
          <w:rFonts w:ascii="宋体" w:hAnsi="宋体" w:eastAsia="宋体"/>
          <w:sz w:val="30"/>
          <w:szCs w:val="30"/>
        </w:rPr>
        <w:drawing>
          <wp:anchor distT="0" distB="0" distL="114300" distR="114300" simplePos="0" relativeHeight="251659264" behindDoc="1" locked="0" layoutInCell="1" allowOverlap="1">
            <wp:simplePos x="0" y="0"/>
            <wp:positionH relativeFrom="margin">
              <wp:posOffset>16510</wp:posOffset>
            </wp:positionH>
            <wp:positionV relativeFrom="paragraph">
              <wp:posOffset>150495</wp:posOffset>
            </wp:positionV>
            <wp:extent cx="4876800" cy="3448685"/>
            <wp:effectExtent l="0" t="0" r="0" b="0"/>
            <wp:wrapTight wrapText="bothSides">
              <wp:wrapPolygon>
                <wp:start x="0" y="0"/>
                <wp:lineTo x="0" y="21477"/>
                <wp:lineTo x="21516" y="21477"/>
                <wp:lineTo x="21516"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76800" cy="3448685"/>
                    </a:xfrm>
                    <a:prstGeom prst="rect">
                      <a:avLst/>
                    </a:prstGeom>
                    <a:noFill/>
                    <a:ln>
                      <a:noFill/>
                    </a:ln>
                  </pic:spPr>
                </pic:pic>
              </a:graphicData>
            </a:graphic>
          </wp:anchor>
        </w:drawing>
      </w:r>
    </w:p>
    <w:p>
      <w:pPr>
        <w:rPr>
          <w:rFonts w:ascii="宋体" w:hAnsi="宋体" w:eastAsia="宋体"/>
          <w:sz w:val="30"/>
          <w:szCs w:val="30"/>
        </w:rPr>
      </w:pPr>
    </w:p>
    <w:p>
      <w:pPr>
        <w:rPr>
          <w:rFonts w:ascii="宋体" w:hAnsi="宋体" w:eastAsia="宋体"/>
          <w:sz w:val="30"/>
          <w:szCs w:val="30"/>
        </w:rPr>
      </w:pPr>
    </w:p>
    <w:p>
      <w:pPr>
        <w:rPr>
          <w:rFonts w:ascii="宋体" w:hAnsi="宋体" w:eastAsia="宋体"/>
          <w:sz w:val="30"/>
          <w:szCs w:val="30"/>
        </w:rPr>
      </w:pPr>
    </w:p>
    <w:p>
      <w:pPr>
        <w:rPr>
          <w:rFonts w:ascii="宋体" w:hAnsi="宋体" w:eastAsia="宋体"/>
          <w:sz w:val="30"/>
          <w:szCs w:val="30"/>
        </w:rPr>
      </w:pPr>
    </w:p>
    <w:p>
      <w:pPr>
        <w:rPr>
          <w:rFonts w:ascii="宋体" w:hAnsi="宋体" w:eastAsia="宋体"/>
          <w:sz w:val="30"/>
          <w:szCs w:val="30"/>
        </w:rPr>
      </w:pPr>
    </w:p>
    <w:p>
      <w:pPr>
        <w:rPr>
          <w:rFonts w:ascii="宋体" w:hAnsi="宋体" w:eastAsia="宋体"/>
          <w:sz w:val="30"/>
          <w:szCs w:val="30"/>
        </w:rPr>
      </w:pPr>
    </w:p>
    <w:p>
      <w:pPr>
        <w:rPr>
          <w:rFonts w:ascii="宋体" w:hAnsi="宋体" w:eastAsia="宋体"/>
          <w:sz w:val="30"/>
          <w:szCs w:val="30"/>
        </w:rPr>
      </w:pPr>
    </w:p>
    <w:p>
      <w:pPr>
        <w:spacing w:line="360" w:lineRule="auto"/>
        <w:rPr>
          <w:rFonts w:ascii="宋体" w:hAnsi="宋体" w:eastAsia="宋体"/>
          <w:sz w:val="30"/>
          <w:szCs w:val="30"/>
        </w:rPr>
      </w:pPr>
      <w:r>
        <w:rPr>
          <w:rFonts w:ascii="宋体" w:hAnsi="宋体" w:eastAsia="宋体"/>
          <w:sz w:val="30"/>
          <w:szCs w:val="30"/>
        </w:rPr>
        <w:drawing>
          <wp:anchor distT="0" distB="0" distL="114300" distR="114300" simplePos="0" relativeHeight="251660288" behindDoc="1" locked="0" layoutInCell="1" allowOverlap="1">
            <wp:simplePos x="0" y="0"/>
            <wp:positionH relativeFrom="margin">
              <wp:posOffset>50800</wp:posOffset>
            </wp:positionH>
            <wp:positionV relativeFrom="paragraph">
              <wp:posOffset>468630</wp:posOffset>
            </wp:positionV>
            <wp:extent cx="4899025" cy="3465195"/>
            <wp:effectExtent l="0" t="0" r="0" b="1905"/>
            <wp:wrapTight wrapText="bothSides">
              <wp:wrapPolygon>
                <wp:start x="0" y="0"/>
                <wp:lineTo x="0" y="21493"/>
                <wp:lineTo x="21502" y="21493"/>
                <wp:lineTo x="21502" y="0"/>
                <wp:lineTo x="0"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99025" cy="3465195"/>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altName w:val="宋体"/>
    <w:panose1 w:val="00000000000000000000"/>
    <w:charset w:val="86"/>
    <w:family w:val="script"/>
    <w:pitch w:val="default"/>
    <w:sig w:usb0="00000000" w:usb1="00000000" w:usb2="00000010" w:usb3="00000000" w:csb0="00040000" w:csb1="00000000"/>
  </w:font>
  <w:font w:name="方正楷体_GBK">
    <w:altName w:val="宋体"/>
    <w:panose1 w:val="00000000000000000000"/>
    <w:charset w:val="86"/>
    <w:family w:val="roma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方正仿宋_GBK">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wMDk4NTJlODg0M2RkNDVmODEzYWYzYmI4NmNiZmYifQ=="/>
  </w:docVars>
  <w:rsids>
    <w:rsidRoot w:val="0078107D"/>
    <w:rsid w:val="000022A8"/>
    <w:rsid w:val="00004B09"/>
    <w:rsid w:val="00006777"/>
    <w:rsid w:val="00012B60"/>
    <w:rsid w:val="000162A3"/>
    <w:rsid w:val="0002112C"/>
    <w:rsid w:val="0002320A"/>
    <w:rsid w:val="000758A6"/>
    <w:rsid w:val="00091CBB"/>
    <w:rsid w:val="000B0D87"/>
    <w:rsid w:val="000B72DF"/>
    <w:rsid w:val="000E4308"/>
    <w:rsid w:val="001108B5"/>
    <w:rsid w:val="00112D16"/>
    <w:rsid w:val="00137B89"/>
    <w:rsid w:val="0014490A"/>
    <w:rsid w:val="00151FED"/>
    <w:rsid w:val="001643F9"/>
    <w:rsid w:val="00165CF6"/>
    <w:rsid w:val="001852A9"/>
    <w:rsid w:val="001A0400"/>
    <w:rsid w:val="001B4768"/>
    <w:rsid w:val="001C17AC"/>
    <w:rsid w:val="001C1C31"/>
    <w:rsid w:val="001C626B"/>
    <w:rsid w:val="001E5D32"/>
    <w:rsid w:val="0020216E"/>
    <w:rsid w:val="00213660"/>
    <w:rsid w:val="00221331"/>
    <w:rsid w:val="002336B7"/>
    <w:rsid w:val="00237366"/>
    <w:rsid w:val="00261E06"/>
    <w:rsid w:val="00267B6A"/>
    <w:rsid w:val="002728BC"/>
    <w:rsid w:val="00283AD7"/>
    <w:rsid w:val="00283DA1"/>
    <w:rsid w:val="0028479E"/>
    <w:rsid w:val="002B4DE7"/>
    <w:rsid w:val="002C004A"/>
    <w:rsid w:val="002E62D8"/>
    <w:rsid w:val="002F3B30"/>
    <w:rsid w:val="002F7F26"/>
    <w:rsid w:val="00330E61"/>
    <w:rsid w:val="003315C3"/>
    <w:rsid w:val="003351EB"/>
    <w:rsid w:val="003442B8"/>
    <w:rsid w:val="00347CC0"/>
    <w:rsid w:val="003567E1"/>
    <w:rsid w:val="00365631"/>
    <w:rsid w:val="00366ED0"/>
    <w:rsid w:val="003831C2"/>
    <w:rsid w:val="003C1020"/>
    <w:rsid w:val="003C2F20"/>
    <w:rsid w:val="003D6401"/>
    <w:rsid w:val="003E3B3E"/>
    <w:rsid w:val="00400F31"/>
    <w:rsid w:val="00401E0B"/>
    <w:rsid w:val="00405EAA"/>
    <w:rsid w:val="004236D2"/>
    <w:rsid w:val="004251CD"/>
    <w:rsid w:val="004411B8"/>
    <w:rsid w:val="00456CAC"/>
    <w:rsid w:val="00462B6F"/>
    <w:rsid w:val="004A30E0"/>
    <w:rsid w:val="004B1F68"/>
    <w:rsid w:val="004B7EEF"/>
    <w:rsid w:val="005008F2"/>
    <w:rsid w:val="005013FE"/>
    <w:rsid w:val="005201C5"/>
    <w:rsid w:val="00522181"/>
    <w:rsid w:val="00533D8C"/>
    <w:rsid w:val="00547142"/>
    <w:rsid w:val="00547669"/>
    <w:rsid w:val="005631EB"/>
    <w:rsid w:val="00566527"/>
    <w:rsid w:val="00567D5B"/>
    <w:rsid w:val="00573FF6"/>
    <w:rsid w:val="00584572"/>
    <w:rsid w:val="005C7760"/>
    <w:rsid w:val="005C7AA4"/>
    <w:rsid w:val="005E1796"/>
    <w:rsid w:val="005E492E"/>
    <w:rsid w:val="005F7FA2"/>
    <w:rsid w:val="00606940"/>
    <w:rsid w:val="00616CD2"/>
    <w:rsid w:val="0063579B"/>
    <w:rsid w:val="00666D58"/>
    <w:rsid w:val="0068489D"/>
    <w:rsid w:val="006B1F79"/>
    <w:rsid w:val="006B66A1"/>
    <w:rsid w:val="006C14BC"/>
    <w:rsid w:val="006D7396"/>
    <w:rsid w:val="006D7460"/>
    <w:rsid w:val="006E17A2"/>
    <w:rsid w:val="00703F5C"/>
    <w:rsid w:val="00711123"/>
    <w:rsid w:val="00711D39"/>
    <w:rsid w:val="00733FDE"/>
    <w:rsid w:val="00747131"/>
    <w:rsid w:val="00762DA2"/>
    <w:rsid w:val="00766424"/>
    <w:rsid w:val="00776033"/>
    <w:rsid w:val="0078107D"/>
    <w:rsid w:val="007A23FF"/>
    <w:rsid w:val="007C2DC0"/>
    <w:rsid w:val="007C60AB"/>
    <w:rsid w:val="007D1BFA"/>
    <w:rsid w:val="007F2CD6"/>
    <w:rsid w:val="007F3C47"/>
    <w:rsid w:val="00800838"/>
    <w:rsid w:val="00801C8D"/>
    <w:rsid w:val="00811484"/>
    <w:rsid w:val="00812B98"/>
    <w:rsid w:val="00817E69"/>
    <w:rsid w:val="00824E91"/>
    <w:rsid w:val="008675A1"/>
    <w:rsid w:val="00885F98"/>
    <w:rsid w:val="008A71E3"/>
    <w:rsid w:val="008B01BF"/>
    <w:rsid w:val="008B23C3"/>
    <w:rsid w:val="008C64DF"/>
    <w:rsid w:val="008D05D5"/>
    <w:rsid w:val="008D41E4"/>
    <w:rsid w:val="008D6063"/>
    <w:rsid w:val="008F2BA3"/>
    <w:rsid w:val="00913E24"/>
    <w:rsid w:val="00914783"/>
    <w:rsid w:val="00933BE6"/>
    <w:rsid w:val="00933CA8"/>
    <w:rsid w:val="009434D4"/>
    <w:rsid w:val="00951C2E"/>
    <w:rsid w:val="009948F1"/>
    <w:rsid w:val="009C65A8"/>
    <w:rsid w:val="009D3312"/>
    <w:rsid w:val="009D6BF2"/>
    <w:rsid w:val="00A40878"/>
    <w:rsid w:val="00A53491"/>
    <w:rsid w:val="00A63E5F"/>
    <w:rsid w:val="00A72992"/>
    <w:rsid w:val="00A8008A"/>
    <w:rsid w:val="00A85306"/>
    <w:rsid w:val="00AA720C"/>
    <w:rsid w:val="00AC5638"/>
    <w:rsid w:val="00AD01A9"/>
    <w:rsid w:val="00AD6352"/>
    <w:rsid w:val="00AE0C1D"/>
    <w:rsid w:val="00AE59BC"/>
    <w:rsid w:val="00AF5D13"/>
    <w:rsid w:val="00B06A54"/>
    <w:rsid w:val="00B15478"/>
    <w:rsid w:val="00B3329F"/>
    <w:rsid w:val="00B3722E"/>
    <w:rsid w:val="00B4709F"/>
    <w:rsid w:val="00B51173"/>
    <w:rsid w:val="00B66D79"/>
    <w:rsid w:val="00B67084"/>
    <w:rsid w:val="00B7730F"/>
    <w:rsid w:val="00BA5A06"/>
    <w:rsid w:val="00BD28C3"/>
    <w:rsid w:val="00C00A72"/>
    <w:rsid w:val="00C00AEA"/>
    <w:rsid w:val="00C02049"/>
    <w:rsid w:val="00C21CFC"/>
    <w:rsid w:val="00C23516"/>
    <w:rsid w:val="00C51918"/>
    <w:rsid w:val="00C93CC4"/>
    <w:rsid w:val="00CA1973"/>
    <w:rsid w:val="00CC34EE"/>
    <w:rsid w:val="00D14D9F"/>
    <w:rsid w:val="00D2037A"/>
    <w:rsid w:val="00D37E76"/>
    <w:rsid w:val="00D45480"/>
    <w:rsid w:val="00D47DE1"/>
    <w:rsid w:val="00D6741B"/>
    <w:rsid w:val="00D80893"/>
    <w:rsid w:val="00D93B0E"/>
    <w:rsid w:val="00D93F25"/>
    <w:rsid w:val="00DA3F3E"/>
    <w:rsid w:val="00DB2EBA"/>
    <w:rsid w:val="00DB3219"/>
    <w:rsid w:val="00DB3653"/>
    <w:rsid w:val="00DB672D"/>
    <w:rsid w:val="00DC19DC"/>
    <w:rsid w:val="00DC2574"/>
    <w:rsid w:val="00DC7281"/>
    <w:rsid w:val="00DD4B92"/>
    <w:rsid w:val="00DD6DD4"/>
    <w:rsid w:val="00E047B7"/>
    <w:rsid w:val="00E1102F"/>
    <w:rsid w:val="00E12AA9"/>
    <w:rsid w:val="00E35C50"/>
    <w:rsid w:val="00E37AF9"/>
    <w:rsid w:val="00E42AFE"/>
    <w:rsid w:val="00E53FF9"/>
    <w:rsid w:val="00E929CA"/>
    <w:rsid w:val="00E96EFE"/>
    <w:rsid w:val="00EA6526"/>
    <w:rsid w:val="00EC72B7"/>
    <w:rsid w:val="00EC7E73"/>
    <w:rsid w:val="00EF3908"/>
    <w:rsid w:val="00EF62B7"/>
    <w:rsid w:val="00F0693D"/>
    <w:rsid w:val="00F10857"/>
    <w:rsid w:val="00F11A30"/>
    <w:rsid w:val="00F1796D"/>
    <w:rsid w:val="00F22D4E"/>
    <w:rsid w:val="00F30CA0"/>
    <w:rsid w:val="00F63EB1"/>
    <w:rsid w:val="00F812A9"/>
    <w:rsid w:val="00FA0D87"/>
    <w:rsid w:val="00FB1FC1"/>
    <w:rsid w:val="00FC52B0"/>
    <w:rsid w:val="00FD40F1"/>
    <w:rsid w:val="00FE2364"/>
    <w:rsid w:val="4AA16F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link w:val="17"/>
    <w:qFormat/>
    <w:uiPriority w:val="1"/>
    <w:pPr>
      <w:widowControl/>
      <w:spacing w:before="208"/>
      <w:ind w:left="120"/>
      <w:jc w:val="left"/>
    </w:pPr>
    <w:rPr>
      <w:rFonts w:ascii="宋体" w:hAnsi="宋体" w:eastAsia="宋体"/>
      <w:kern w:val="0"/>
      <w:sz w:val="30"/>
      <w:szCs w:val="30"/>
      <w:lang w:eastAsia="en-US"/>
    </w:rPr>
  </w:style>
  <w:style w:type="paragraph" w:styleId="3">
    <w:name w:val="Balloon Text"/>
    <w:basedOn w:val="1"/>
    <w:link w:val="18"/>
    <w:semiHidden/>
    <w:unhideWhenUsed/>
    <w:uiPriority w:val="99"/>
    <w:rPr>
      <w:sz w:val="18"/>
      <w:szCs w:val="18"/>
    </w:rPr>
  </w:style>
  <w:style w:type="paragraph" w:styleId="4">
    <w:name w:val="footer"/>
    <w:basedOn w:val="1"/>
    <w:link w:val="20"/>
    <w:unhideWhenUsed/>
    <w:uiPriority w:val="99"/>
    <w:pPr>
      <w:tabs>
        <w:tab w:val="center" w:pos="4153"/>
        <w:tab w:val="right" w:pos="8306"/>
      </w:tabs>
      <w:snapToGrid w:val="0"/>
      <w:jc w:val="left"/>
    </w:pPr>
    <w:rPr>
      <w:sz w:val="18"/>
      <w:szCs w:val="18"/>
    </w:rPr>
  </w:style>
  <w:style w:type="paragraph" w:styleId="5">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
    <w:name w:val="fontstyle01"/>
    <w:basedOn w:val="7"/>
    <w:uiPriority w:val="0"/>
    <w:rPr>
      <w:rFonts w:hint="eastAsia" w:ascii="方正小标宋_GBK" w:eastAsia="方正小标宋_GBK"/>
      <w:color w:val="000000"/>
      <w:sz w:val="44"/>
      <w:szCs w:val="44"/>
    </w:rPr>
  </w:style>
  <w:style w:type="character" w:customStyle="1" w:styleId="9">
    <w:name w:val="fontstyle21"/>
    <w:basedOn w:val="7"/>
    <w:uiPriority w:val="0"/>
    <w:rPr>
      <w:rFonts w:hint="eastAsia" w:ascii="方正楷体_GBK" w:eastAsia="方正楷体_GBK"/>
      <w:color w:val="000000"/>
      <w:sz w:val="32"/>
      <w:szCs w:val="32"/>
    </w:rPr>
  </w:style>
  <w:style w:type="character" w:customStyle="1" w:styleId="10">
    <w:name w:val="fontstyle31"/>
    <w:basedOn w:val="7"/>
    <w:uiPriority w:val="0"/>
    <w:rPr>
      <w:rFonts w:hint="eastAsia" w:ascii="仿宋_GB2312" w:eastAsia="仿宋_GB2312"/>
      <w:color w:val="000000"/>
      <w:sz w:val="36"/>
      <w:szCs w:val="36"/>
    </w:rPr>
  </w:style>
  <w:style w:type="character" w:customStyle="1" w:styleId="11">
    <w:name w:val="fontstyle41"/>
    <w:basedOn w:val="7"/>
    <w:uiPriority w:val="0"/>
    <w:rPr>
      <w:rFonts w:hint="default" w:ascii="Times New Roman" w:hAnsi="Times New Roman" w:cs="Times New Roman"/>
      <w:color w:val="000000"/>
      <w:sz w:val="36"/>
      <w:szCs w:val="36"/>
    </w:rPr>
  </w:style>
  <w:style w:type="character" w:customStyle="1" w:styleId="12">
    <w:name w:val="fontstyle51"/>
    <w:basedOn w:val="7"/>
    <w:uiPriority w:val="0"/>
    <w:rPr>
      <w:rFonts w:hint="eastAsia" w:ascii="黑体" w:hAnsi="黑体" w:eastAsia="黑体"/>
      <w:color w:val="000000"/>
      <w:sz w:val="36"/>
      <w:szCs w:val="36"/>
    </w:rPr>
  </w:style>
  <w:style w:type="character" w:customStyle="1" w:styleId="13">
    <w:name w:val="fontstyle61"/>
    <w:basedOn w:val="7"/>
    <w:uiPriority w:val="0"/>
    <w:rPr>
      <w:rFonts w:hint="eastAsia" w:ascii="微软雅黑" w:hAnsi="微软雅黑" w:eastAsia="微软雅黑"/>
      <w:color w:val="000000"/>
      <w:sz w:val="32"/>
      <w:szCs w:val="32"/>
    </w:rPr>
  </w:style>
  <w:style w:type="character" w:customStyle="1" w:styleId="14">
    <w:name w:val="fontstyle71"/>
    <w:basedOn w:val="7"/>
    <w:uiPriority w:val="0"/>
    <w:rPr>
      <w:rFonts w:hint="eastAsia" w:ascii="宋体" w:hAnsi="宋体" w:eastAsia="宋体"/>
      <w:color w:val="000000"/>
      <w:sz w:val="24"/>
      <w:szCs w:val="24"/>
    </w:rPr>
  </w:style>
  <w:style w:type="character" w:customStyle="1" w:styleId="15">
    <w:name w:val="fontstyle81"/>
    <w:basedOn w:val="7"/>
    <w:uiPriority w:val="0"/>
    <w:rPr>
      <w:rFonts w:hint="eastAsia" w:ascii="楷体_GB2312" w:eastAsia="楷体_GB2312"/>
      <w:color w:val="000000"/>
      <w:sz w:val="36"/>
      <w:szCs w:val="36"/>
    </w:rPr>
  </w:style>
  <w:style w:type="character" w:customStyle="1" w:styleId="16">
    <w:name w:val="fontstyle91"/>
    <w:basedOn w:val="7"/>
    <w:uiPriority w:val="0"/>
    <w:rPr>
      <w:rFonts w:hint="eastAsia" w:ascii="方正仿宋_GBK" w:eastAsia="方正仿宋_GBK"/>
      <w:color w:val="000000"/>
      <w:sz w:val="24"/>
      <w:szCs w:val="24"/>
    </w:rPr>
  </w:style>
  <w:style w:type="character" w:customStyle="1" w:styleId="17">
    <w:name w:val="正文文本 Char"/>
    <w:basedOn w:val="7"/>
    <w:link w:val="2"/>
    <w:uiPriority w:val="1"/>
    <w:rPr>
      <w:rFonts w:ascii="宋体" w:hAnsi="宋体" w:eastAsia="宋体"/>
      <w:kern w:val="0"/>
      <w:sz w:val="30"/>
      <w:szCs w:val="30"/>
      <w:lang w:eastAsia="en-US"/>
    </w:rPr>
  </w:style>
  <w:style w:type="character" w:customStyle="1" w:styleId="18">
    <w:name w:val="批注框文本 Char"/>
    <w:basedOn w:val="7"/>
    <w:link w:val="3"/>
    <w:semiHidden/>
    <w:uiPriority w:val="99"/>
    <w:rPr>
      <w:sz w:val="18"/>
      <w:szCs w:val="18"/>
    </w:rPr>
  </w:style>
  <w:style w:type="character" w:customStyle="1" w:styleId="19">
    <w:name w:val="页眉 Char"/>
    <w:basedOn w:val="7"/>
    <w:link w:val="5"/>
    <w:uiPriority w:val="99"/>
    <w:rPr>
      <w:sz w:val="18"/>
      <w:szCs w:val="18"/>
    </w:rPr>
  </w:style>
  <w:style w:type="character" w:customStyle="1" w:styleId="20">
    <w:name w:val="页脚 Char"/>
    <w:basedOn w:val="7"/>
    <w:link w:val="4"/>
    <w:uiPriority w:val="99"/>
    <w:rPr>
      <w:sz w:val="18"/>
      <w:szCs w:val="18"/>
    </w:rPr>
  </w:style>
  <w:style w:type="paragraph" w:styleId="2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314</Words>
  <Characters>1796</Characters>
  <Lines>14</Lines>
  <Paragraphs>4</Paragraphs>
  <TotalTime>35</TotalTime>
  <ScaleCrop>false</ScaleCrop>
  <LinksUpToDate>false</LinksUpToDate>
  <CharactersWithSpaces>2106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2023-10-16T00:47:00Z</dcterms:created>
  <dc:creator>Lenovo</dc:creator>
  <cp:lastModifiedBy>王近</cp:lastModifiedBy>
  <cp:lastPrinted>2021-05-06T07:25:00Z</cp:lastPrinted>
  <dcterms:modified xsi:type="dcterms:W3CDTF">2023-10-16T06:32:23Z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0AF22D9E0DC44DF6AA15C918F0B7A574_12</vt:lpwstr>
  </property>
</Properties>
</file>