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黑体" w:cs="Times New Roman"/>
          <w:sz w:val="32"/>
          <w:szCs w:val="22"/>
        </w:rPr>
      </w:pPr>
      <w:r>
        <w:rPr>
          <w:rFonts w:eastAsia="黑体" w:cs="Times New Roman"/>
          <w:sz w:val="32"/>
          <w:szCs w:val="22"/>
        </w:rPr>
        <w:t>附件1</w:t>
      </w:r>
    </w:p>
    <w:p>
      <w:pPr>
        <w:spacing w:line="590" w:lineRule="exact"/>
        <w:jc w:val="center"/>
        <w:rPr>
          <w:rFonts w:eastAsia="方正小标宋简体" w:cs="Times New Roman"/>
          <w:sz w:val="36"/>
          <w:szCs w:val="36"/>
        </w:rPr>
      </w:pPr>
      <w:bookmarkStart w:id="0" w:name="_GoBack"/>
      <w:r>
        <w:rPr>
          <w:rFonts w:eastAsia="方正小标宋简体" w:cs="Times New Roman"/>
          <w:sz w:val="36"/>
          <w:szCs w:val="36"/>
        </w:rPr>
        <w:t>国有企业投资项目负面清单</w:t>
      </w:r>
      <w:bookmarkEnd w:id="0"/>
    </w:p>
    <w:p>
      <w:pPr>
        <w:spacing w:line="590" w:lineRule="exact"/>
        <w:jc w:val="left"/>
        <w:rPr>
          <w:rFonts w:eastAsia="方正小标宋简体" w:cs="Times New Roman"/>
          <w:sz w:val="32"/>
          <w:szCs w:val="22"/>
        </w:rPr>
      </w:pPr>
    </w:p>
    <w:p>
      <w:pPr>
        <w:spacing w:line="590" w:lineRule="exact"/>
        <w:ind w:firstLine="640"/>
        <w:jc w:val="left"/>
        <w:rPr>
          <w:rFonts w:eastAsia="黑体" w:cs="Times New Roman"/>
          <w:sz w:val="32"/>
          <w:szCs w:val="22"/>
        </w:rPr>
      </w:pPr>
      <w:r>
        <w:rPr>
          <w:rFonts w:eastAsia="黑体" w:cs="Times New Roman"/>
          <w:sz w:val="32"/>
          <w:szCs w:val="22"/>
        </w:rPr>
        <w:t>一、禁止类投资项目</w:t>
      </w:r>
    </w:p>
    <w:p>
      <w:pPr>
        <w:spacing w:line="590" w:lineRule="exact"/>
        <w:ind w:firstLine="640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一）不符合国家和项目所在地产业政策的境内投资项目。国家有关部门明确不主张开展经营活动的高危、敏感地区的境外投资项目，或我国法律法规禁止境外投资的项目，以及投资所在国（地区）法律法规禁止投资的项目；</w:t>
      </w:r>
    </w:p>
    <w:p>
      <w:pPr>
        <w:spacing w:line="590" w:lineRule="exact"/>
        <w:ind w:firstLine="640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（二）未按规定履行完成必要备案程序的境内外投资项目；</w:t>
      </w:r>
    </w:p>
    <w:p>
      <w:pPr>
        <w:spacing w:line="590" w:lineRule="exact"/>
        <w:ind w:firstLine="640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（三）不符合国有企业发展战略规划的境内外投资项目；</w:t>
      </w:r>
    </w:p>
    <w:p>
      <w:pPr>
        <w:spacing w:line="590" w:lineRule="exact"/>
        <w:ind w:firstLine="640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（四）不符合企业投资决策程序和管理制度的境内外投资项目；</w:t>
      </w:r>
    </w:p>
    <w:p>
      <w:pPr>
        <w:spacing w:line="590" w:lineRule="exact"/>
        <w:ind w:firstLine="640" w:firstLineChars="200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（五）未明确融资、投资、管理、退出方式和相关责任人投资境内外项目；</w:t>
      </w:r>
    </w:p>
    <w:p>
      <w:pPr>
        <w:spacing w:line="590" w:lineRule="exact"/>
        <w:ind w:firstLine="640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（六）投资预期年化收益低于同期5年期国债利率的商业性境内投资项目，投资预期年化收益低于投资所在国（地区）10年期国债（政府债）利率的商业性境外投资项目；</w:t>
      </w:r>
    </w:p>
    <w:p>
      <w:pPr>
        <w:spacing w:line="590" w:lineRule="exact"/>
        <w:ind w:firstLine="640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（七）非房地产主业企业新购土地开展商业性房地产（商业和住宅）投资项目；</w:t>
      </w:r>
    </w:p>
    <w:p>
      <w:pPr>
        <w:spacing w:line="590" w:lineRule="exact"/>
        <w:ind w:firstLine="640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（八）将一个完整项目拆分为若干子项目以规避可能的出资人审查；</w:t>
      </w:r>
    </w:p>
    <w:p>
      <w:pPr>
        <w:spacing w:line="590" w:lineRule="exact"/>
        <w:ind w:firstLine="640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（九）单项投资额大于国有企业上年度合并报表所有者权益值50%的境外项目；</w:t>
      </w:r>
    </w:p>
    <w:p>
      <w:pPr>
        <w:spacing w:line="590" w:lineRule="exact"/>
        <w:ind w:firstLine="640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（十）落后产能投资、并购项目。</w:t>
      </w:r>
    </w:p>
    <w:p>
      <w:pPr>
        <w:spacing w:line="590" w:lineRule="exact"/>
        <w:ind w:firstLine="640"/>
        <w:rPr>
          <w:rFonts w:eastAsia="仿宋_GB2312" w:cs="Times New Roman"/>
          <w:sz w:val="32"/>
          <w:szCs w:val="22"/>
        </w:rPr>
      </w:pPr>
      <w:r>
        <w:rPr>
          <w:rFonts w:eastAsia="黑体" w:cs="Times New Roman"/>
          <w:sz w:val="32"/>
          <w:szCs w:val="22"/>
        </w:rPr>
        <w:t>二、特别监管类项目</w:t>
      </w:r>
    </w:p>
    <w:p>
      <w:pPr>
        <w:spacing w:line="590" w:lineRule="exact"/>
        <w:ind w:firstLine="640"/>
        <w:jc w:val="left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国有企业投资以下项目或从事以下投资行为，应在履行内部决策程序后，由区财政局（国资办）初审后报区政府批准：</w:t>
      </w:r>
    </w:p>
    <w:p>
      <w:pPr>
        <w:spacing w:line="590" w:lineRule="exact"/>
        <w:ind w:firstLine="640"/>
        <w:jc w:val="left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（一）属于财政性资金安排或通过政府配置资源方式投资的投资项目；</w:t>
      </w:r>
    </w:p>
    <w:p>
      <w:pPr>
        <w:spacing w:line="590" w:lineRule="exact"/>
        <w:ind w:firstLine="640"/>
        <w:jc w:val="left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（二）单项投资额大于国有企业上年度合并报表所有者权益值10%（含10%）以上且5000万元以上的项目；</w:t>
      </w:r>
    </w:p>
    <w:p>
      <w:pPr>
        <w:spacing w:line="590" w:lineRule="exact"/>
        <w:ind w:firstLine="640"/>
        <w:rPr>
          <w:rFonts w:eastAsia="仿宋_GB2312" w:cs="Times New Roman"/>
          <w:sz w:val="32"/>
          <w:szCs w:val="22"/>
        </w:rPr>
      </w:pPr>
      <w:r>
        <w:rPr>
          <w:rFonts w:eastAsia="仿宋_GB2312" w:cs="Times New Roman"/>
          <w:sz w:val="32"/>
          <w:szCs w:val="22"/>
        </w:rPr>
        <w:t>（三）不符合企业发展定位，但确需国有资本引领孵化的产业投资项目；</w:t>
      </w:r>
    </w:p>
    <w:p>
      <w:pPr>
        <w:spacing w:line="590" w:lineRule="exact"/>
        <w:ind w:firstLine="640"/>
        <w:rPr>
          <w:rFonts w:hint="eastAsia" w:eastAsia="仿宋_GB2312" w:cs="Times New Roman"/>
          <w:sz w:val="32"/>
          <w:szCs w:val="22"/>
          <w:lang w:val="en-US" w:eastAsia="zh-CN"/>
        </w:rPr>
      </w:pPr>
      <w:r>
        <w:rPr>
          <w:rFonts w:eastAsia="仿宋_GB2312" w:cs="Times New Roman"/>
          <w:sz w:val="32"/>
          <w:szCs w:val="22"/>
        </w:rPr>
        <w:t>（四）境外投资项目</w:t>
      </w:r>
      <w:r>
        <w:rPr>
          <w:rFonts w:hint="eastAsia" w:eastAsia="仿宋_GB2312" w:cs="Times New Roman"/>
          <w:sz w:val="32"/>
          <w:szCs w:val="22"/>
          <w:lang w:val="en-US" w:eastAsia="zh-CN"/>
        </w:rPr>
        <w:t>；</w:t>
      </w:r>
    </w:p>
    <w:p>
      <w:pPr>
        <w:spacing w:line="590" w:lineRule="exact"/>
        <w:ind w:firstLine="640"/>
      </w:pPr>
      <w:r>
        <w:rPr>
          <w:rFonts w:eastAsia="仿宋_GB2312" w:cs="Times New Roman"/>
          <w:sz w:val="32"/>
          <w:szCs w:val="22"/>
        </w:rPr>
        <w:t>（五）区财政局（国资办）认为需要纳入的其他项目。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6A46F5-3499-4660-8317-19435ABBE5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218667-CED5-4A0B-895D-A5F7980FF7D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0167557-A403-4E1C-A6AF-853DEB7789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44066B5-2B9B-4104-8EB6-747C1F0435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TQ4OTRjZDA1NDYyOTA2ZGU2NmJhNTEwYTc5Y2IifQ=="/>
  </w:docVars>
  <w:rsids>
    <w:rsidRoot w:val="05B549DA"/>
    <w:rsid w:val="05B5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2023-10-11T02:26:00Z</dcterms:created>
  <dc:creator>心心心</dc:creator>
  <cp:lastModifiedBy>心心心</cp:lastModifiedBy>
  <dcterms:modified xsi:type="dcterms:W3CDTF">2023-10-11T02:27:21Z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4816257BECB54936AD4A296C6B9C20E4_11</vt:lpwstr>
  </property>
</Properties>
</file>