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 w:bidi="ar"/>
        </w:rPr>
        <w:t>2023年洛阳镇新一轮太湖综合治理工作考核表</w:t>
      </w:r>
    </w:p>
    <w:tbl>
      <w:tblPr>
        <w:tblStyle w:val="3"/>
        <w:tblW w:w="150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435"/>
        <w:gridCol w:w="3259"/>
        <w:gridCol w:w="1792"/>
        <w:gridCol w:w="982"/>
        <w:gridCol w:w="5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lang w:eastAsia="zh-CN" w:bidi="ar"/>
              </w:rPr>
              <w:t>类别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lang w:eastAsia="zh-CN" w:bidi="ar"/>
              </w:rPr>
              <w:t>指标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lang w:eastAsia="zh-CN" w:bidi="ar"/>
              </w:rPr>
              <w:t>年度建设任务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lang w:eastAsia="zh-CN" w:bidi="ar"/>
              </w:rPr>
              <w:t>评分部门（区级）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lang w:eastAsia="zh-CN" w:bidi="ar"/>
              </w:rPr>
              <w:t>分值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0"/>
                <w:szCs w:val="20"/>
                <w:lang w:eastAsia="zh-CN" w:bidi="ar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1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涉磷企业整治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涉磷企业规范化整治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eastAsia="zh-CN" w:bidi="ar"/>
              </w:rPr>
              <w:t>完成涉磷企业规范化整治。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生态环境局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按完成比例得分。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农业农村环境整治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池塘标准化改造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eastAsia="zh-CN" w:bidi="ar"/>
              </w:rPr>
              <w:t>累计完成0.027万亩。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按完成情况评分。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高标准农田建设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完成0.012万亩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按完成情况评分。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农药减量化施用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完成农药强度监测点17个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农业农村局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按完成情况评分。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废旧农膜回收利用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地膜减量替代试验，地膜残留监测点1个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农业农村局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满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秸秆机械化还田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开展水稻、小麦秸秆机械化还田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农业农村局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按完成情况评分。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农村公厕新建和改扩建项目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完成15座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农业农村局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按完成比例得分。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提升秸秆综合利用水平，水稻秸秆离田率达10%，综合利用率稳定达到95%以上。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按完成比例得分。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畜禽粪污综合利用率稳定在95%以上。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农业农村局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畜禽粪污综合利用率达到95%以上得2分，每降低1个百分点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扣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开展农药包装废弃物回收处置。力争全区农药包装废弃物回收覆盖率达100%，无害化处理率100%，农药包装废弃物回收监测评价良好以上等级率达90%以上。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按完成比例得分。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强化农村生活垃圾治理，推进农村生活垃圾就地分类和资源化利用。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城管局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按完成情况评分。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完成直播稻控减任务。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按完成情况评分。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  <w:t>污水收集处理能力提升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农村生活污水治理率达72%以上。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生态环境局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按完成比例得分。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设施正常运行率达85%以上。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生态环境局、农业农村局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配合做好农村生活污水处理设施运行维护工作得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1.5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分；协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助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 w:bidi="ar"/>
              </w:rPr>
              <w:t>运维单位及时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妥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 w:bidi="ar"/>
              </w:rPr>
              <w:t>善处理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影响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 w:bidi="ar"/>
              </w:rPr>
              <w:t>设施正常运行的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矛盾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 w:bidi="ar"/>
              </w:rPr>
              <w:t>问题得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1.5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农村生活污水治理项目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完成3个行政村生活污水治理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生态环境局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全面开展乡镇污水系统问题排查，按照市要求编制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kern w:val="2"/>
                <w:sz w:val="20"/>
                <w:szCs w:val="20"/>
                <w:lang w:eastAsia="zh-CN"/>
              </w:rPr>
              <w:t>一镇一策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kern w:val="2"/>
                <w:sz w:val="20"/>
                <w:szCs w:val="20"/>
                <w:lang w:eastAsia="zh-CN"/>
              </w:rPr>
              <w:t>系统化治理方案（含工作计划）。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水利局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按完成情况评分。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河道综合治理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武进区农村生态河道建设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完成3条生态河道建设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hint="eastAsia" w:eastAsia="仿宋_GB2312"/>
                <w:sz w:val="20"/>
                <w:szCs w:val="20"/>
                <w:lang w:eastAsia="zh-CN" w:bidi="ar"/>
              </w:rPr>
              <w:t>水利局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按完成比例得分。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eastAsia="zh-CN"/>
              </w:rPr>
              <w:t>劣Ⅴ类支流支浜整治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eastAsia="zh-CN"/>
              </w:rPr>
              <w:t>完成13条支浜整治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hint="eastAsia" w:eastAsia="仿宋_GB2312"/>
                <w:sz w:val="20"/>
                <w:szCs w:val="20"/>
                <w:lang w:eastAsia="zh-CN" w:bidi="ar"/>
              </w:rPr>
              <w:t>生态办、</w:t>
            </w: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生态环境局、水利局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完成1条得2分。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岑村陆家头浜综合整治工程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  <w:t>水利局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满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武进“小微水体”整治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推进实施“小微水体”整治10个。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水利局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按完成比例得分。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  <w:t>有机废弃物处理利用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强化水葫芦、水花生主动拦截和打捞力度，推进水生植物协同处置。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水利局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建立工作制度及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队伍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 w:bidi="ar"/>
              </w:rPr>
              <w:t>，开展相关工作得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满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 w:bidi="ar"/>
              </w:rPr>
              <w:t>分；未开展不得分。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做好有机肥推广工作。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完成2900吨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农业农村局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按完成比例得分。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因地制宜建设农贸市场、农村易腐垃圾小型处理设施，75%的涉农镇（街道）建成有机易腐垃圾处理设施。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做好设备的运行维护，保证正常使用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城管局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完成得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满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 w:bidi="ar"/>
              </w:rPr>
              <w:t>分，未完成不得分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环太湖有机废弃物处理利用示范区建设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配合完成项目建设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生态办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完成年度任务得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满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/>
              </w:rPr>
              <w:t>分，未完成按比例得分。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  <w:lang w:eastAsia="zh-CN"/>
              </w:rPr>
              <w:t>生态环境治理现代化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环境应急物资库项目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建设与区域环境风险相匹配的环境应急物资库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生态环境局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满</w:t>
            </w:r>
            <w:r>
              <w:rPr>
                <w:rFonts w:hint="eastAsia" w:ascii="___WRD_EMBED_SUB_41" w:hAnsi="___WRD_EMBED_SUB_41" w:eastAsia="___WRD_EMBED_SUB_41" w:cs="___WRD_EMBED_SUB_41"/>
                <w:color w:val="000000"/>
                <w:sz w:val="20"/>
                <w:szCs w:val="20"/>
                <w:lang w:eastAsia="zh-CN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主要河道一级支浜水质自动监测项目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/>
              </w:rPr>
              <w:t>完成1个水质自动监测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eastAsia="zh-CN" w:bidi="ar"/>
              </w:rPr>
            </w:pPr>
            <w:r>
              <w:rPr>
                <w:rStyle w:val="6"/>
                <w:rFonts w:eastAsia="仿宋_GB2312"/>
                <w:sz w:val="20"/>
                <w:szCs w:val="20"/>
                <w:lang w:eastAsia="zh-CN" w:bidi="ar"/>
              </w:rPr>
              <w:t>生态环境局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完成1个得3分。</w:t>
            </w:r>
          </w:p>
        </w:tc>
      </w:tr>
    </w:tbl>
    <w:p>
      <w:pPr>
        <w:rPr>
          <w:rFonts w:ascii="Times New Roman" w:hAnsi="Times New Roman" w:cs="Times New Roman"/>
          <w:color w:val="010302"/>
          <w:lang w:eastAsia="zh-CN"/>
        </w:rPr>
        <w:sectPr>
          <w:pgSz w:w="16850" w:h="11910" w:orient="landscape"/>
          <w:pgMar w:top="500" w:right="500" w:bottom="500" w:left="400" w:header="708" w:footer="708" w:gutter="0"/>
          <w:cols w:space="720" w:num="1"/>
          <w:docGrid w:linePitch="360" w:charSpace="0"/>
        </w:sectPr>
      </w:pPr>
      <w:bookmarkStart w:id="0" w:name="_GoBack"/>
      <w:bookmarkEnd w:id="0"/>
    </w:p>
    <w:p/>
    <w:sectPr>
      <w:type w:val="continuous"/>
      <w:pgSz w:w="16850" w:h="11930"/>
      <w:pgMar w:top="500" w:right="500" w:bottom="400" w:left="500" w:header="708" w:footer="708" w:gutter="0"/>
      <w:cols w:equalWidth="0" w:num="3">
        <w:col w:w="1888" w:space="4835"/>
        <w:col w:w="2462" w:space="3623"/>
        <w:col w:w="2044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__WRD_EMBED_SUB_41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dkNDNlNDJkY2I1Y2RkZjk4ODE5MWE3YTljZDYifQ=="/>
  </w:docVars>
  <w:rsids>
    <w:rsidRoot w:val="4E752D4D"/>
    <w:rsid w:val="4E7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1199</Words>
  <Characters>1246</Characters>
  <Lines>0</Lines>
  <Paragraphs>0</Paragraphs>
  <TotalTime>1</TotalTime>
  <ScaleCrop>false</ScaleCrop>
  <LinksUpToDate>false</LinksUpToDate>
  <CharactersWithSpaces>1246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2023-10-10T03:20:00Z</dcterms:created>
  <dc:creator>WPS_1617243092</dc:creator>
  <cp:lastModifiedBy>WPS_1617243092</cp:lastModifiedBy>
  <dcterms:modified xsi:type="dcterms:W3CDTF">2023-10-10T03:22:29Z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E31CCA7BD633405690592A6040D84F17</vt:lpwstr>
  </property>
</Properties>
</file>