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eastAsia="方正小标宋简体"/>
          <w:snapToGrid w:val="0"/>
          <w:kern w:val="0"/>
          <w:sz w:val="36"/>
          <w:szCs w:val="36"/>
        </w:rPr>
      </w:pPr>
      <w:r>
        <w:rPr>
          <w:rFonts w:hint="eastAsia" w:eastAsia="方正小标宋简体"/>
          <w:snapToGrid w:val="0"/>
          <w:kern w:val="0"/>
          <w:sz w:val="36"/>
          <w:szCs w:val="36"/>
        </w:rPr>
        <w:t>湖塘镇</w:t>
      </w:r>
      <w:r>
        <w:rPr>
          <w:rFonts w:eastAsia="方正小标宋简体"/>
          <w:snapToGrid w:val="0"/>
          <w:kern w:val="0"/>
          <w:sz w:val="36"/>
          <w:szCs w:val="36"/>
        </w:rPr>
        <w:t>“大棚房”问题专项清理整治行动</w:t>
      </w:r>
    </w:p>
    <w:p>
      <w:pPr>
        <w:widowControl/>
        <w:spacing w:line="600" w:lineRule="exact"/>
        <w:jc w:val="center"/>
        <w:rPr>
          <w:rFonts w:eastAsia="方正小标宋简体"/>
          <w:kern w:val="0"/>
          <w:sz w:val="36"/>
          <w:szCs w:val="36"/>
        </w:rPr>
      </w:pPr>
      <w:r>
        <w:rPr>
          <w:rFonts w:eastAsia="方正小标宋简体"/>
          <w:snapToGrid w:val="0"/>
          <w:kern w:val="0"/>
          <w:sz w:val="36"/>
          <w:szCs w:val="36"/>
        </w:rPr>
        <w:t>“回头看”工作实施方案</w:t>
      </w:r>
    </w:p>
    <w:p>
      <w:pPr>
        <w:spacing w:line="400" w:lineRule="exact"/>
        <w:jc w:val="center"/>
        <w:rPr>
          <w:rFonts w:eastAsia="楷体_GB2312"/>
          <w:sz w:val="32"/>
          <w:szCs w:val="32"/>
        </w:rPr>
      </w:pPr>
    </w:p>
    <w:p>
      <w:pPr>
        <w:snapToGrid w:val="0"/>
        <w:spacing w:line="520" w:lineRule="exact"/>
        <w:ind w:firstLine="640" w:firstLineChars="200"/>
        <w:rPr>
          <w:rFonts w:eastAsia="仿宋_GB2312"/>
          <w:sz w:val="32"/>
          <w:szCs w:val="32"/>
        </w:rPr>
      </w:pPr>
      <w:r>
        <w:rPr>
          <w:rFonts w:eastAsia="仿宋_GB2312"/>
          <w:sz w:val="32"/>
          <w:szCs w:val="32"/>
        </w:rPr>
        <w:t>为切实加强耕地保护，坚决遏制</w:t>
      </w:r>
      <w:r>
        <w:rPr>
          <w:rFonts w:eastAsia="仿宋_GB2312"/>
          <w:sz w:val="32"/>
          <w:szCs w:val="32"/>
          <w:lang w:val="zh-CN"/>
        </w:rPr>
        <w:t>“大棚房”问题</w:t>
      </w:r>
      <w:r>
        <w:rPr>
          <w:rFonts w:eastAsia="仿宋_GB2312"/>
          <w:sz w:val="32"/>
          <w:szCs w:val="32"/>
        </w:rPr>
        <w:t>死灰复燃，按照省市部署</w:t>
      </w:r>
      <w:r>
        <w:rPr>
          <w:rFonts w:hint="eastAsia" w:eastAsia="仿宋_GB2312"/>
          <w:sz w:val="32"/>
          <w:szCs w:val="32"/>
        </w:rPr>
        <w:t>及区政府办关于印发《武进区</w:t>
      </w:r>
      <w:r>
        <w:rPr>
          <w:rFonts w:eastAsia="仿宋_GB2312"/>
          <w:sz w:val="32"/>
          <w:szCs w:val="32"/>
        </w:rPr>
        <w:t>“大棚房”问题专项清理整治行动“回头看”工作实施方案</w:t>
      </w:r>
      <w:r>
        <w:rPr>
          <w:rFonts w:hint="eastAsia" w:eastAsia="仿宋_GB2312"/>
          <w:sz w:val="32"/>
          <w:szCs w:val="32"/>
        </w:rPr>
        <w:t>”》（武政办发〔2021〕44号）文件要求</w:t>
      </w:r>
      <w:r>
        <w:rPr>
          <w:rFonts w:eastAsia="仿宋_GB2312"/>
          <w:sz w:val="32"/>
          <w:szCs w:val="32"/>
        </w:rPr>
        <w:t>，特制定</w:t>
      </w:r>
      <w:r>
        <w:rPr>
          <w:rFonts w:hint="eastAsia" w:eastAsia="仿宋_GB2312"/>
          <w:sz w:val="32"/>
          <w:szCs w:val="32"/>
        </w:rPr>
        <w:t>湖塘镇“大棚房”问题专项清理整治行动“回头看”工作实施方案</w:t>
      </w:r>
      <w:r>
        <w:rPr>
          <w:rFonts w:eastAsia="仿宋_GB2312"/>
          <w:sz w:val="32"/>
          <w:szCs w:val="32"/>
        </w:rPr>
        <w:t>。</w:t>
      </w:r>
    </w:p>
    <w:p>
      <w:pPr>
        <w:snapToGrid w:val="0"/>
        <w:spacing w:line="520" w:lineRule="exact"/>
        <w:ind w:firstLine="640" w:firstLineChars="200"/>
        <w:rPr>
          <w:rFonts w:eastAsia="黑体"/>
          <w:sz w:val="32"/>
          <w:szCs w:val="32"/>
        </w:rPr>
      </w:pPr>
      <w:bookmarkStart w:id="0" w:name="bookmark13"/>
      <w:bookmarkStart w:id="1" w:name="bookmark14"/>
      <w:bookmarkStart w:id="2" w:name="bookmark11"/>
      <w:bookmarkStart w:id="3" w:name="bookmark12"/>
      <w:r>
        <w:rPr>
          <w:rFonts w:hAnsi="黑体" w:eastAsia="黑体"/>
          <w:sz w:val="32"/>
          <w:szCs w:val="32"/>
        </w:rPr>
        <w:t>一</w:t>
      </w:r>
      <w:bookmarkEnd w:id="0"/>
      <w:r>
        <w:rPr>
          <w:rFonts w:hAnsi="黑体" w:eastAsia="黑体"/>
          <w:sz w:val="32"/>
          <w:szCs w:val="32"/>
        </w:rPr>
        <w:t>、总体要求</w:t>
      </w:r>
      <w:bookmarkEnd w:id="1"/>
      <w:bookmarkEnd w:id="2"/>
      <w:bookmarkEnd w:id="3"/>
    </w:p>
    <w:p>
      <w:pPr>
        <w:snapToGrid w:val="0"/>
        <w:spacing w:line="520" w:lineRule="exact"/>
        <w:ind w:firstLine="640" w:firstLineChars="200"/>
        <w:rPr>
          <w:rFonts w:eastAsia="仿宋_GB2312"/>
          <w:sz w:val="32"/>
          <w:szCs w:val="32"/>
        </w:rPr>
      </w:pPr>
      <w:r>
        <w:rPr>
          <w:rFonts w:eastAsia="仿宋_GB2312"/>
          <w:sz w:val="32"/>
          <w:szCs w:val="32"/>
        </w:rPr>
        <w:t>全面贯彻党的十九大和十九届二中、三中、四中、五中全会精神，以习近平新时代中国特色社会主义思想为指导，认真落实党中央、国务院和省、市、区党委、政府关于加强耕地保护、全面实施乡村振兴战略、制止耕地</w:t>
      </w:r>
      <w:r>
        <w:rPr>
          <w:rFonts w:eastAsia="仿宋_GB2312"/>
          <w:sz w:val="32"/>
          <w:szCs w:val="32"/>
          <w:lang w:val="zh-CN"/>
        </w:rPr>
        <w:t>“非</w:t>
      </w:r>
      <w:r>
        <w:rPr>
          <w:rFonts w:eastAsia="仿宋_GB2312"/>
          <w:sz w:val="32"/>
          <w:szCs w:val="32"/>
        </w:rPr>
        <w:t>农化</w:t>
      </w:r>
      <w:r>
        <w:rPr>
          <w:rFonts w:eastAsia="仿宋_GB2312"/>
          <w:sz w:val="32"/>
          <w:szCs w:val="32"/>
          <w:lang w:val="zh-CN"/>
        </w:rPr>
        <w:t>”的决</w:t>
      </w:r>
      <w:r>
        <w:rPr>
          <w:rFonts w:eastAsia="仿宋_GB2312"/>
          <w:sz w:val="32"/>
          <w:szCs w:val="32"/>
        </w:rPr>
        <w:t>策部署，坚持实事求是、问题导向，旗帜鲜明、态度坚决，全面开展</w:t>
      </w:r>
      <w:r>
        <w:rPr>
          <w:rFonts w:eastAsia="仿宋_GB2312"/>
          <w:sz w:val="32"/>
          <w:szCs w:val="32"/>
          <w:lang w:val="zh-CN"/>
        </w:rPr>
        <w:t>“大棚</w:t>
      </w:r>
      <w:r>
        <w:rPr>
          <w:rFonts w:eastAsia="仿宋_GB2312"/>
          <w:sz w:val="32"/>
          <w:szCs w:val="32"/>
        </w:rPr>
        <w:t>房”问题专项清理整治行动</w:t>
      </w:r>
      <w:r>
        <w:rPr>
          <w:rFonts w:eastAsia="仿宋_GB2312"/>
          <w:sz w:val="32"/>
          <w:szCs w:val="32"/>
          <w:lang w:val="zh-CN"/>
        </w:rPr>
        <w:t>“回</w:t>
      </w:r>
      <w:r>
        <w:rPr>
          <w:rFonts w:eastAsia="仿宋_GB2312"/>
          <w:sz w:val="32"/>
          <w:szCs w:val="32"/>
        </w:rPr>
        <w:t>头看”，建立问题清单和整治台账，回头排查、回头整治、边排查边整治，巩固</w:t>
      </w:r>
      <w:r>
        <w:rPr>
          <w:rFonts w:eastAsia="仿宋_GB2312"/>
          <w:sz w:val="32"/>
          <w:szCs w:val="32"/>
          <w:lang w:val="zh-CN"/>
        </w:rPr>
        <w:t>“大</w:t>
      </w:r>
      <w:r>
        <w:rPr>
          <w:rFonts w:eastAsia="仿宋_GB2312"/>
          <w:sz w:val="32"/>
          <w:szCs w:val="32"/>
        </w:rPr>
        <w:t>棚房</w:t>
      </w:r>
      <w:r>
        <w:rPr>
          <w:rFonts w:eastAsia="仿宋_GB2312"/>
          <w:sz w:val="32"/>
          <w:szCs w:val="32"/>
          <w:lang w:val="zh-CN"/>
        </w:rPr>
        <w:t>”问题</w:t>
      </w:r>
      <w:r>
        <w:rPr>
          <w:rFonts w:eastAsia="仿宋_GB2312"/>
          <w:sz w:val="32"/>
          <w:szCs w:val="32"/>
        </w:rPr>
        <w:t>专项清理整治行动等三农治理成果，进一步健全完善常态长效监管机制，严防死灰复燃，坚决制止耕地“非农化</w:t>
      </w:r>
      <w:r>
        <w:rPr>
          <w:rFonts w:eastAsia="仿宋_GB2312"/>
          <w:sz w:val="32"/>
          <w:szCs w:val="32"/>
          <w:lang w:val="zh-CN"/>
        </w:rPr>
        <w:t>”，为</w:t>
      </w:r>
      <w:r>
        <w:rPr>
          <w:rFonts w:eastAsia="仿宋_GB2312"/>
          <w:sz w:val="32"/>
          <w:szCs w:val="32"/>
        </w:rPr>
        <w:t>确保国家粮食安全、促进农业健康发展、全面推进乡村振兴打下坚实基础。</w:t>
      </w:r>
    </w:p>
    <w:p>
      <w:pPr>
        <w:snapToGrid w:val="0"/>
        <w:spacing w:line="520" w:lineRule="exact"/>
        <w:ind w:firstLine="640" w:firstLineChars="200"/>
        <w:rPr>
          <w:rFonts w:eastAsia="黑体"/>
          <w:sz w:val="32"/>
          <w:szCs w:val="32"/>
        </w:rPr>
      </w:pPr>
      <w:bookmarkStart w:id="4" w:name="bookmark17"/>
      <w:bookmarkStart w:id="5" w:name="bookmark16"/>
      <w:bookmarkStart w:id="6" w:name="bookmark15"/>
      <w:bookmarkStart w:id="7" w:name="bookmark18"/>
      <w:r>
        <w:rPr>
          <w:rFonts w:hAnsi="黑体" w:eastAsia="黑体"/>
          <w:sz w:val="32"/>
          <w:szCs w:val="32"/>
        </w:rPr>
        <w:t>二</w:t>
      </w:r>
      <w:bookmarkEnd w:id="4"/>
      <w:r>
        <w:rPr>
          <w:rFonts w:hAnsi="黑体" w:eastAsia="黑体"/>
          <w:sz w:val="32"/>
          <w:szCs w:val="32"/>
        </w:rPr>
        <w:t>、</w:t>
      </w:r>
      <w:r>
        <w:rPr>
          <w:rFonts w:eastAsia="黑体"/>
          <w:sz w:val="32"/>
          <w:szCs w:val="32"/>
        </w:rPr>
        <w:t>“</w:t>
      </w:r>
      <w:r>
        <w:rPr>
          <w:rFonts w:hAnsi="黑体" w:eastAsia="黑体"/>
          <w:sz w:val="32"/>
          <w:szCs w:val="32"/>
        </w:rPr>
        <w:t>回头看</w:t>
      </w:r>
      <w:r>
        <w:rPr>
          <w:rFonts w:eastAsia="黑体"/>
          <w:sz w:val="32"/>
          <w:szCs w:val="32"/>
        </w:rPr>
        <w:t>”</w:t>
      </w:r>
      <w:r>
        <w:rPr>
          <w:rFonts w:hAnsi="黑体" w:eastAsia="黑体"/>
          <w:sz w:val="32"/>
          <w:szCs w:val="32"/>
        </w:rPr>
        <w:t>排查整治范围</w:t>
      </w:r>
      <w:bookmarkEnd w:id="5"/>
      <w:bookmarkEnd w:id="6"/>
      <w:bookmarkEnd w:id="7"/>
    </w:p>
    <w:p>
      <w:pPr>
        <w:snapToGrid w:val="0"/>
        <w:spacing w:line="520" w:lineRule="exact"/>
        <w:ind w:firstLine="640" w:firstLineChars="200"/>
        <w:rPr>
          <w:rFonts w:eastAsia="仿宋_GB2312"/>
          <w:sz w:val="32"/>
          <w:szCs w:val="32"/>
        </w:rPr>
      </w:pPr>
      <w:r>
        <w:rPr>
          <w:rFonts w:eastAsia="仿宋_GB2312"/>
          <w:sz w:val="32"/>
          <w:szCs w:val="32"/>
          <w:lang w:val="zh-CN"/>
        </w:rPr>
        <w:t>“大棚</w:t>
      </w:r>
      <w:r>
        <w:rPr>
          <w:rFonts w:eastAsia="仿宋_GB2312"/>
          <w:sz w:val="32"/>
          <w:szCs w:val="32"/>
        </w:rPr>
        <w:t>房”问题专项清理整治行动</w:t>
      </w:r>
      <w:r>
        <w:rPr>
          <w:rFonts w:eastAsia="仿宋_GB2312"/>
          <w:sz w:val="32"/>
          <w:szCs w:val="32"/>
          <w:lang w:val="zh-CN"/>
        </w:rPr>
        <w:t>“回头</w:t>
      </w:r>
      <w:r>
        <w:rPr>
          <w:rFonts w:eastAsia="仿宋_GB2312"/>
          <w:sz w:val="32"/>
          <w:szCs w:val="32"/>
        </w:rPr>
        <w:t>看”</w:t>
      </w:r>
      <w:r>
        <w:rPr>
          <w:rFonts w:hint="eastAsia" w:eastAsia="仿宋_GB2312"/>
          <w:sz w:val="32"/>
          <w:szCs w:val="32"/>
        </w:rPr>
        <w:t>（以下简称“回头看”）</w:t>
      </w:r>
      <w:r>
        <w:rPr>
          <w:rFonts w:eastAsia="仿宋_GB2312"/>
          <w:sz w:val="32"/>
          <w:szCs w:val="32"/>
        </w:rPr>
        <w:t>重点聚焦三类问题：</w:t>
      </w:r>
    </w:p>
    <w:p>
      <w:pPr>
        <w:snapToGrid w:val="0"/>
        <w:spacing w:line="520" w:lineRule="exact"/>
        <w:ind w:firstLine="640" w:firstLineChars="200"/>
        <w:rPr>
          <w:rFonts w:eastAsia="仿宋_GB2312"/>
          <w:sz w:val="32"/>
          <w:szCs w:val="32"/>
        </w:rPr>
      </w:pPr>
      <w:r>
        <w:rPr>
          <w:rFonts w:eastAsia="仿宋_GB2312"/>
          <w:sz w:val="32"/>
          <w:szCs w:val="32"/>
        </w:rPr>
        <w:t>一是以设施农业为名占用耕地违法违规建设与农业发展无关的设施；</w:t>
      </w:r>
    </w:p>
    <w:p>
      <w:pPr>
        <w:snapToGrid w:val="0"/>
        <w:spacing w:line="520" w:lineRule="exact"/>
        <w:ind w:firstLine="640" w:firstLineChars="200"/>
        <w:rPr>
          <w:rFonts w:eastAsia="仿宋_GB2312"/>
          <w:sz w:val="32"/>
          <w:szCs w:val="32"/>
        </w:rPr>
      </w:pPr>
      <w:r>
        <w:rPr>
          <w:rFonts w:eastAsia="仿宋_GB2312"/>
          <w:sz w:val="32"/>
          <w:szCs w:val="32"/>
        </w:rPr>
        <w:t>二是在农业大棚内违法违规占用耕地建设住宅、餐饮、娱乐等非农设施；</w:t>
      </w:r>
    </w:p>
    <w:p>
      <w:pPr>
        <w:snapToGrid w:val="0"/>
        <w:spacing w:line="520" w:lineRule="exact"/>
        <w:ind w:firstLine="640" w:firstLineChars="200"/>
        <w:rPr>
          <w:rFonts w:eastAsia="仿宋_GB2312"/>
          <w:sz w:val="32"/>
          <w:szCs w:val="32"/>
        </w:rPr>
      </w:pPr>
      <w:r>
        <w:rPr>
          <w:rFonts w:eastAsia="仿宋_GB2312"/>
          <w:sz w:val="32"/>
          <w:szCs w:val="32"/>
        </w:rPr>
        <w:t>三是农业大棚看护房建设面积严重超标准（执行“大棚房”整改标准，严格控制在“单层、15m</w:t>
      </w:r>
      <w:r>
        <w:rPr>
          <w:rFonts w:eastAsia="仿宋_GB2312"/>
          <w:sz w:val="32"/>
          <w:szCs w:val="32"/>
          <w:vertAlign w:val="superscript"/>
        </w:rPr>
        <w:t>2</w:t>
      </w:r>
      <w:r>
        <w:rPr>
          <w:rFonts w:eastAsia="仿宋_GB2312"/>
          <w:sz w:val="32"/>
          <w:szCs w:val="32"/>
        </w:rPr>
        <w:t>以内”）。</w:t>
      </w:r>
    </w:p>
    <w:p>
      <w:pPr>
        <w:snapToGrid w:val="0"/>
        <w:spacing w:line="520" w:lineRule="exact"/>
        <w:ind w:firstLine="640" w:firstLineChars="200"/>
        <w:rPr>
          <w:rFonts w:eastAsia="黑体"/>
          <w:sz w:val="32"/>
          <w:szCs w:val="32"/>
        </w:rPr>
      </w:pPr>
      <w:bookmarkStart w:id="8" w:name="bookmark21"/>
      <w:bookmarkStart w:id="9" w:name="bookmark20"/>
      <w:bookmarkStart w:id="10" w:name="bookmark22"/>
      <w:bookmarkStart w:id="11" w:name="bookmark19"/>
      <w:r>
        <w:rPr>
          <w:rFonts w:hAnsi="黑体" w:eastAsia="黑体"/>
          <w:sz w:val="32"/>
          <w:szCs w:val="32"/>
        </w:rPr>
        <w:t>三</w:t>
      </w:r>
      <w:bookmarkEnd w:id="8"/>
      <w:r>
        <w:rPr>
          <w:rFonts w:hAnsi="黑体" w:eastAsia="黑体"/>
          <w:sz w:val="32"/>
          <w:szCs w:val="32"/>
        </w:rPr>
        <w:t>、主要任务</w:t>
      </w:r>
      <w:bookmarkEnd w:id="9"/>
      <w:bookmarkEnd w:id="10"/>
      <w:bookmarkEnd w:id="11"/>
    </w:p>
    <w:p>
      <w:pPr>
        <w:snapToGrid w:val="0"/>
        <w:spacing w:line="520" w:lineRule="exact"/>
        <w:ind w:firstLine="643" w:firstLineChars="200"/>
        <w:rPr>
          <w:rFonts w:eastAsia="仿宋_GB2312"/>
          <w:sz w:val="32"/>
          <w:szCs w:val="32"/>
        </w:rPr>
      </w:pPr>
      <w:bookmarkStart w:id="12" w:name="bookmark23"/>
      <w:r>
        <w:rPr>
          <w:rFonts w:eastAsia="楷体_GB2312"/>
          <w:b/>
          <w:sz w:val="32"/>
          <w:szCs w:val="32"/>
          <w:lang w:val="zh-CN"/>
        </w:rPr>
        <w:t>（</w:t>
      </w:r>
      <w:bookmarkEnd w:id="12"/>
      <w:r>
        <w:rPr>
          <w:rFonts w:eastAsia="楷体_GB2312"/>
          <w:b/>
          <w:sz w:val="32"/>
          <w:szCs w:val="32"/>
          <w:lang w:val="zh-CN"/>
        </w:rPr>
        <w:t>一）核查“大棚房”问题专项清理整治行动整改情况。</w:t>
      </w:r>
      <w:r>
        <w:rPr>
          <w:rFonts w:eastAsia="仿宋_GB2312"/>
          <w:sz w:val="32"/>
          <w:szCs w:val="32"/>
        </w:rPr>
        <w:t>对照</w:t>
      </w:r>
      <w:r>
        <w:rPr>
          <w:rFonts w:eastAsia="仿宋_GB2312"/>
          <w:sz w:val="32"/>
          <w:szCs w:val="32"/>
          <w:lang w:val="zh-CN"/>
        </w:rPr>
        <w:t>“大</w:t>
      </w:r>
      <w:r>
        <w:rPr>
          <w:rFonts w:eastAsia="仿宋_GB2312"/>
          <w:sz w:val="32"/>
          <w:szCs w:val="32"/>
        </w:rPr>
        <w:t>棚房</w:t>
      </w:r>
      <w:r>
        <w:rPr>
          <w:rFonts w:eastAsia="仿宋_GB2312"/>
          <w:sz w:val="32"/>
          <w:szCs w:val="32"/>
          <w:lang w:val="zh-CN"/>
        </w:rPr>
        <w:t>”问题</w:t>
      </w:r>
      <w:r>
        <w:rPr>
          <w:rFonts w:eastAsia="仿宋_GB2312"/>
          <w:sz w:val="32"/>
          <w:szCs w:val="32"/>
        </w:rPr>
        <w:t>专项清理整治行动问题台账，对排查清理发现的</w:t>
      </w:r>
      <w:r>
        <w:rPr>
          <w:rFonts w:eastAsia="仿宋_GB2312"/>
          <w:sz w:val="32"/>
          <w:szCs w:val="32"/>
          <w:lang w:val="zh-CN"/>
        </w:rPr>
        <w:t>“大</w:t>
      </w:r>
      <w:r>
        <w:rPr>
          <w:rFonts w:eastAsia="仿宋_GB2312"/>
          <w:sz w:val="32"/>
          <w:szCs w:val="32"/>
        </w:rPr>
        <w:t>棚房”问题清理整治情况逐一核查是否整改到位、是否存在死灰复燃。</w:t>
      </w:r>
    </w:p>
    <w:p>
      <w:pPr>
        <w:snapToGrid w:val="0"/>
        <w:spacing w:line="520" w:lineRule="exact"/>
        <w:ind w:firstLine="643" w:firstLineChars="200"/>
        <w:rPr>
          <w:rFonts w:eastAsia="仿宋_GB2312"/>
          <w:sz w:val="32"/>
          <w:szCs w:val="32"/>
        </w:rPr>
      </w:pPr>
      <w:bookmarkStart w:id="13" w:name="bookmark24"/>
      <w:r>
        <w:rPr>
          <w:rFonts w:eastAsia="楷体_GB2312"/>
          <w:b/>
          <w:sz w:val="32"/>
          <w:szCs w:val="32"/>
          <w:lang w:val="zh-CN"/>
        </w:rPr>
        <w:t>（</w:t>
      </w:r>
      <w:bookmarkEnd w:id="13"/>
      <w:r>
        <w:rPr>
          <w:rFonts w:eastAsia="楷体_GB2312"/>
          <w:b/>
          <w:sz w:val="32"/>
          <w:szCs w:val="32"/>
          <w:lang w:val="zh-CN"/>
        </w:rPr>
        <w:t>二）排查设施农业项目实施情况。</w:t>
      </w:r>
      <w:r>
        <w:rPr>
          <w:rFonts w:eastAsia="仿宋_GB2312"/>
          <w:sz w:val="32"/>
          <w:szCs w:val="32"/>
        </w:rPr>
        <w:t>对设施农业项目（2015年以来备案的所有设施农用地和2015年前有档案记录的设施农业项目，还包括无手续但疑似存在“大棚房”问题的设施农业项目和村级秸秆堆场）实施情况开展拉网式排查，实行网格化管理、责任到人，逢园必查、逢棚必进、不留死角。</w:t>
      </w:r>
    </w:p>
    <w:p>
      <w:pPr>
        <w:snapToGrid w:val="0"/>
        <w:spacing w:line="520" w:lineRule="exact"/>
        <w:ind w:firstLine="643" w:firstLineChars="200"/>
        <w:rPr>
          <w:rFonts w:eastAsia="仿宋_GB2312"/>
          <w:sz w:val="32"/>
          <w:szCs w:val="32"/>
        </w:rPr>
      </w:pPr>
      <w:bookmarkStart w:id="14" w:name="bookmark25"/>
      <w:r>
        <w:rPr>
          <w:rFonts w:eastAsia="楷体_GB2312"/>
          <w:b/>
          <w:sz w:val="32"/>
          <w:szCs w:val="32"/>
          <w:lang w:val="zh-CN"/>
        </w:rPr>
        <w:t>（</w:t>
      </w:r>
      <w:bookmarkEnd w:id="14"/>
      <w:r>
        <w:rPr>
          <w:rFonts w:eastAsia="楷体_GB2312"/>
          <w:b/>
          <w:sz w:val="32"/>
          <w:szCs w:val="32"/>
          <w:lang w:val="zh-CN"/>
        </w:rPr>
        <w:t>三）坚决排查整治。</w:t>
      </w:r>
      <w:r>
        <w:rPr>
          <w:rFonts w:eastAsia="仿宋_GB2312"/>
          <w:sz w:val="32"/>
          <w:szCs w:val="32"/>
        </w:rPr>
        <w:t>依据核查、排查结果，对照《农业农村部 自然资源部关于印发&lt;“大棚房”问题专项清理整治行动“回头看”方案&gt;的通知》（农农发〔2021〕5号），以及《自然资源部、农业农村部关于设施农业用地管理有关问题的通知》（自然资规〔2019〕4号）、《自然资源部、国家发展改革委、农业农村部关于保障和规范农村一二三产业融合发展用地的通知》（自然资发〔2021〕16号）、《江苏省自然资源厅、江苏省农业农村厅关于规范设施农业用地管理支持设施农业健康发展的通知》（苏自然资规发〔2020〕3号）、《江苏省自然资源厅、江苏省农业农村厅关于保障农村一二三产业融合发展用地促进全省乡村振兴的通知》（苏自然资发〔2019〕297号）、江苏省开展“大棚房”问题专项清理整治行动领导小组《关于扎实做好“大棚房”问题专项清理整治行动整改工作的意见》（苏农传</w:t>
      </w:r>
      <w:r>
        <w:rPr>
          <w:rFonts w:eastAsia="仿宋"/>
          <w:sz w:val="32"/>
          <w:szCs w:val="32"/>
        </w:rPr>
        <w:t>﹝</w:t>
      </w:r>
      <w:r>
        <w:rPr>
          <w:rFonts w:eastAsia="仿宋_GB2312"/>
          <w:sz w:val="32"/>
          <w:szCs w:val="32"/>
        </w:rPr>
        <w:t>2019</w:t>
      </w:r>
      <w:r>
        <w:rPr>
          <w:rFonts w:eastAsia="仿宋"/>
          <w:sz w:val="32"/>
          <w:szCs w:val="32"/>
        </w:rPr>
        <w:t>﹞</w:t>
      </w:r>
      <w:r>
        <w:rPr>
          <w:rFonts w:eastAsia="仿宋_GB2312"/>
          <w:sz w:val="32"/>
          <w:szCs w:val="32"/>
        </w:rPr>
        <w:t>7号），对发现的违法违规问题，区分类型，依法依规整治整改。</w:t>
      </w:r>
    </w:p>
    <w:p>
      <w:pPr>
        <w:snapToGrid w:val="0"/>
        <w:spacing w:line="520" w:lineRule="exact"/>
        <w:ind w:firstLine="643" w:firstLineChars="200"/>
        <w:rPr>
          <w:rFonts w:eastAsia="仿宋_GB2312"/>
          <w:sz w:val="32"/>
          <w:szCs w:val="32"/>
        </w:rPr>
      </w:pPr>
      <w:bookmarkStart w:id="15" w:name="bookmark26"/>
      <w:r>
        <w:rPr>
          <w:rFonts w:eastAsia="楷体_GB2312"/>
          <w:b/>
          <w:sz w:val="32"/>
          <w:szCs w:val="32"/>
          <w:lang w:val="zh-CN"/>
        </w:rPr>
        <w:t>（</w:t>
      </w:r>
      <w:bookmarkEnd w:id="15"/>
      <w:r>
        <w:rPr>
          <w:rFonts w:eastAsia="楷体_GB2312"/>
          <w:b/>
          <w:sz w:val="32"/>
          <w:szCs w:val="32"/>
          <w:lang w:val="zh-CN"/>
        </w:rPr>
        <w:t>四）严格执法惩治惩处。</w:t>
      </w:r>
      <w:r>
        <w:rPr>
          <w:rFonts w:eastAsia="仿宋_GB2312"/>
          <w:sz w:val="32"/>
          <w:szCs w:val="32"/>
        </w:rPr>
        <w:t>依照《中华人民共和国土地管理法》、《基本农田保护条例》、《国务院办公厅关于坚决制止耕地“非农化”行为的通知》、《省政府办公厅关于严格耕地保护坚决制止耕地“非农化”行为的通知》（苏政办发〔2020〕77号）、《江苏省农业农村厅、江苏省自然资源厅关于建立常态长效监管机制防止“非农化”问题反弹的通知》（苏农业〔2019〕19号）、《市政府办公室关于严格耕地保护坚决制止耕地“非农化”行为的通知》（常政办发〔2021〕7号）等相关法律法规和政策文件，对违法违规建设“大棚房”的责任主体，依法依规从严查处；对涉嫌犯罪的，坚决移送公安、司法部门。</w:t>
      </w:r>
    </w:p>
    <w:p>
      <w:pPr>
        <w:snapToGrid w:val="0"/>
        <w:spacing w:line="520" w:lineRule="exact"/>
        <w:ind w:firstLine="643" w:firstLineChars="200"/>
        <w:rPr>
          <w:rFonts w:eastAsia="仿宋_GB2312"/>
          <w:sz w:val="32"/>
          <w:szCs w:val="32"/>
        </w:rPr>
      </w:pPr>
      <w:bookmarkStart w:id="16" w:name="bookmark27"/>
      <w:r>
        <w:rPr>
          <w:rFonts w:eastAsia="楷体_GB2312"/>
          <w:b/>
          <w:sz w:val="32"/>
          <w:szCs w:val="32"/>
          <w:lang w:val="zh-CN"/>
        </w:rPr>
        <w:t>（</w:t>
      </w:r>
      <w:bookmarkEnd w:id="16"/>
      <w:r>
        <w:rPr>
          <w:rFonts w:eastAsia="楷体_GB2312"/>
          <w:b/>
          <w:sz w:val="32"/>
          <w:szCs w:val="32"/>
          <w:lang w:val="zh-CN"/>
        </w:rPr>
        <w:t>五）严肃执纪问责。</w:t>
      </w:r>
      <w:r>
        <w:rPr>
          <w:rFonts w:eastAsia="仿宋_GB2312"/>
          <w:sz w:val="32"/>
          <w:szCs w:val="32"/>
        </w:rPr>
        <w:t>依照《中国共产党纪律处分条例》《中华人民共和国监察法》等法律法规，在“回头看</w:t>
      </w:r>
      <w:r>
        <w:rPr>
          <w:rFonts w:eastAsia="仿宋_GB2312"/>
          <w:sz w:val="32"/>
          <w:szCs w:val="32"/>
          <w:lang w:val="zh-CN"/>
        </w:rPr>
        <w:t>”中</w:t>
      </w:r>
      <w:r>
        <w:rPr>
          <w:rFonts w:eastAsia="仿宋_GB2312"/>
          <w:sz w:val="32"/>
          <w:szCs w:val="32"/>
        </w:rPr>
        <w:t>发现的不作为、乱作为、失职渎职的公职人员，要移交纪检监察部门，加强沟通协调，对涉嫌有内外勾结、搞利益交换和谋取私利等腐败行为的，要依法依纪严肃处理。</w:t>
      </w:r>
    </w:p>
    <w:p>
      <w:pPr>
        <w:snapToGrid w:val="0"/>
        <w:spacing w:line="520" w:lineRule="exact"/>
        <w:ind w:firstLine="643" w:firstLineChars="200"/>
        <w:rPr>
          <w:rFonts w:eastAsia="仿宋_GB2312"/>
          <w:sz w:val="32"/>
          <w:szCs w:val="32"/>
        </w:rPr>
      </w:pPr>
      <w:bookmarkStart w:id="17" w:name="bookmark28"/>
      <w:r>
        <w:rPr>
          <w:rFonts w:eastAsia="楷体_GB2312"/>
          <w:b/>
          <w:sz w:val="32"/>
          <w:szCs w:val="32"/>
          <w:lang w:val="zh-CN"/>
        </w:rPr>
        <w:t>（</w:t>
      </w:r>
      <w:bookmarkEnd w:id="17"/>
      <w:r>
        <w:rPr>
          <w:rFonts w:eastAsia="楷体_GB2312"/>
          <w:b/>
          <w:sz w:val="32"/>
          <w:szCs w:val="32"/>
          <w:lang w:val="zh-CN"/>
        </w:rPr>
        <w:t>六）尽快恢复耕地生产功能。</w:t>
      </w:r>
      <w:r>
        <w:rPr>
          <w:rFonts w:eastAsia="仿宋_GB2312"/>
          <w:sz w:val="32"/>
          <w:szCs w:val="32"/>
        </w:rPr>
        <w:t>对违法违规占用耕地建设的</w:t>
      </w:r>
      <w:r>
        <w:rPr>
          <w:rFonts w:eastAsia="仿宋_GB2312"/>
          <w:sz w:val="32"/>
          <w:szCs w:val="32"/>
          <w:lang w:val="zh-CN"/>
        </w:rPr>
        <w:t>“大</w:t>
      </w:r>
      <w:r>
        <w:rPr>
          <w:rFonts w:eastAsia="仿宋_GB2312"/>
          <w:sz w:val="32"/>
          <w:szCs w:val="32"/>
        </w:rPr>
        <w:t>棚房</w:t>
      </w:r>
      <w:r>
        <w:rPr>
          <w:rFonts w:eastAsia="仿宋_GB2312"/>
          <w:sz w:val="32"/>
          <w:szCs w:val="32"/>
          <w:lang w:val="zh-CN"/>
        </w:rPr>
        <w:t>”等非</w:t>
      </w:r>
      <w:r>
        <w:rPr>
          <w:rFonts w:eastAsia="仿宋_GB2312"/>
          <w:sz w:val="32"/>
          <w:szCs w:val="32"/>
        </w:rPr>
        <w:t>农设施，清理整治后，要按照“谁破坏、谁恢复</w:t>
      </w:r>
      <w:r>
        <w:rPr>
          <w:rFonts w:eastAsia="仿宋_GB2312"/>
          <w:sz w:val="32"/>
          <w:szCs w:val="32"/>
          <w:lang w:val="zh-CN"/>
        </w:rPr>
        <w:t>”的原</w:t>
      </w:r>
      <w:r>
        <w:rPr>
          <w:rFonts w:eastAsia="仿宋_GB2312"/>
          <w:sz w:val="32"/>
          <w:szCs w:val="32"/>
        </w:rPr>
        <w:t>则，采取综合措施，尽快恢复农业生产，防止撂荒闲置。</w:t>
      </w:r>
    </w:p>
    <w:p>
      <w:pPr>
        <w:snapToGrid w:val="0"/>
        <w:spacing w:line="520" w:lineRule="exact"/>
        <w:ind w:firstLine="640" w:firstLineChars="200"/>
        <w:rPr>
          <w:rFonts w:eastAsia="黑体"/>
          <w:sz w:val="32"/>
          <w:szCs w:val="32"/>
        </w:rPr>
      </w:pPr>
      <w:bookmarkStart w:id="18" w:name="bookmark31"/>
      <w:bookmarkStart w:id="19" w:name="bookmark32"/>
      <w:bookmarkStart w:id="20" w:name="bookmark30"/>
      <w:bookmarkStart w:id="21" w:name="bookmark29"/>
      <w:r>
        <w:rPr>
          <w:rFonts w:hAnsi="黑体" w:eastAsia="黑体"/>
          <w:sz w:val="32"/>
          <w:szCs w:val="32"/>
        </w:rPr>
        <w:t>四</w:t>
      </w:r>
      <w:bookmarkEnd w:id="18"/>
      <w:r>
        <w:rPr>
          <w:rFonts w:hAnsi="黑体" w:eastAsia="黑体"/>
          <w:sz w:val="32"/>
          <w:szCs w:val="32"/>
        </w:rPr>
        <w:t>、责任分工</w:t>
      </w:r>
      <w:bookmarkEnd w:id="19"/>
      <w:bookmarkEnd w:id="20"/>
      <w:bookmarkEnd w:id="21"/>
    </w:p>
    <w:p>
      <w:pPr>
        <w:snapToGrid w:val="0"/>
        <w:spacing w:line="520" w:lineRule="exact"/>
        <w:ind w:firstLine="640" w:firstLineChars="200"/>
        <w:rPr>
          <w:rFonts w:eastAsia="仿宋_GB2312"/>
          <w:sz w:val="32"/>
          <w:szCs w:val="32"/>
        </w:rPr>
      </w:pPr>
      <w:r>
        <w:rPr>
          <w:rFonts w:eastAsia="仿宋_GB2312"/>
          <w:sz w:val="32"/>
          <w:szCs w:val="32"/>
        </w:rPr>
        <w:t>严格落实属地管理责任，明确责任主体，逐级压实责任，切实把清理整治措施落到实处，确保取得实效。</w:t>
      </w:r>
    </w:p>
    <w:p>
      <w:pPr>
        <w:snapToGrid w:val="0"/>
        <w:spacing w:line="520" w:lineRule="exact"/>
        <w:ind w:firstLine="643" w:firstLineChars="200"/>
        <w:rPr>
          <w:rFonts w:eastAsia="仿宋_GB2312"/>
          <w:sz w:val="32"/>
          <w:szCs w:val="32"/>
        </w:rPr>
      </w:pPr>
      <w:r>
        <w:rPr>
          <w:rFonts w:eastAsia="楷体_GB2312"/>
          <w:b/>
          <w:sz w:val="32"/>
          <w:szCs w:val="32"/>
          <w:lang w:val="zh-CN"/>
        </w:rPr>
        <w:t>（</w:t>
      </w:r>
      <w:r>
        <w:rPr>
          <w:rFonts w:hint="eastAsia" w:eastAsia="楷体_GB2312"/>
          <w:b/>
          <w:sz w:val="32"/>
          <w:szCs w:val="32"/>
          <w:lang w:val="zh-CN"/>
        </w:rPr>
        <w:t>一</w:t>
      </w:r>
      <w:r>
        <w:rPr>
          <w:rFonts w:eastAsia="楷体_GB2312"/>
          <w:b/>
          <w:sz w:val="32"/>
          <w:szCs w:val="32"/>
          <w:lang w:val="zh-CN"/>
        </w:rPr>
        <w:t>）镇级承担任务落实主体责任。</w:t>
      </w:r>
      <w:r>
        <w:rPr>
          <w:rFonts w:hint="eastAsia" w:eastAsia="仿宋_GB2312"/>
          <w:sz w:val="32"/>
          <w:szCs w:val="32"/>
        </w:rPr>
        <w:t>成立由</w:t>
      </w:r>
      <w:r>
        <w:rPr>
          <w:rFonts w:eastAsia="仿宋_GB2312"/>
          <w:sz w:val="32"/>
          <w:szCs w:val="32"/>
        </w:rPr>
        <w:t>镇党委、政府主要领导亲自挂帅，分管领导</w:t>
      </w:r>
      <w:r>
        <w:rPr>
          <w:rFonts w:hint="eastAsia" w:eastAsia="仿宋_GB2312"/>
          <w:sz w:val="32"/>
          <w:szCs w:val="32"/>
        </w:rPr>
        <w:t>任总</w:t>
      </w:r>
      <w:r>
        <w:rPr>
          <w:rFonts w:eastAsia="仿宋_GB2312"/>
          <w:sz w:val="32"/>
          <w:szCs w:val="32"/>
        </w:rPr>
        <w:t>指挥，对</w:t>
      </w:r>
      <w:r>
        <w:rPr>
          <w:rFonts w:hint="eastAsia" w:eastAsia="仿宋_GB2312"/>
          <w:sz w:val="32"/>
          <w:szCs w:val="32"/>
        </w:rPr>
        <w:t>全镇</w:t>
      </w:r>
      <w:r>
        <w:rPr>
          <w:rFonts w:eastAsia="仿宋_GB2312"/>
          <w:sz w:val="32"/>
          <w:szCs w:val="32"/>
        </w:rPr>
        <w:t>“大棚房”问题及开展“回头看”工作负总责。</w:t>
      </w:r>
    </w:p>
    <w:p>
      <w:pPr>
        <w:snapToGrid w:val="0"/>
        <w:spacing w:line="520" w:lineRule="exact"/>
        <w:ind w:firstLine="643" w:firstLineChars="200"/>
        <w:rPr>
          <w:rFonts w:eastAsia="仿宋_GB2312"/>
          <w:sz w:val="32"/>
          <w:szCs w:val="32"/>
        </w:rPr>
      </w:pPr>
      <w:r>
        <w:rPr>
          <w:rFonts w:eastAsia="楷体_GB2312"/>
          <w:b/>
          <w:sz w:val="32"/>
          <w:szCs w:val="32"/>
          <w:lang w:val="zh-CN"/>
        </w:rPr>
        <w:t>（</w:t>
      </w:r>
      <w:r>
        <w:rPr>
          <w:rFonts w:hint="eastAsia" w:eastAsia="楷体_GB2312"/>
          <w:b/>
          <w:sz w:val="32"/>
          <w:szCs w:val="32"/>
          <w:lang w:val="zh-CN"/>
        </w:rPr>
        <w:t>二</w:t>
      </w:r>
      <w:r>
        <w:rPr>
          <w:rFonts w:eastAsia="楷体_GB2312"/>
          <w:b/>
          <w:sz w:val="32"/>
          <w:szCs w:val="32"/>
          <w:lang w:val="zh-CN"/>
        </w:rPr>
        <w:t>）</w:t>
      </w:r>
      <w:r>
        <w:rPr>
          <w:rFonts w:hint="eastAsia" w:eastAsia="楷体_GB2312"/>
          <w:b/>
          <w:sz w:val="32"/>
          <w:szCs w:val="32"/>
          <w:lang w:val="zh-CN"/>
        </w:rPr>
        <w:t>各社区（园区）承担任务落实第一责任。</w:t>
      </w:r>
      <w:r>
        <w:rPr>
          <w:rFonts w:eastAsia="仿宋_GB2312"/>
          <w:sz w:val="32"/>
          <w:szCs w:val="32"/>
        </w:rPr>
        <w:t>各</w:t>
      </w:r>
      <w:r>
        <w:rPr>
          <w:rFonts w:hint="eastAsia" w:eastAsia="仿宋_GB2312"/>
          <w:sz w:val="32"/>
          <w:szCs w:val="32"/>
        </w:rPr>
        <w:t>社区（园区）</w:t>
      </w:r>
      <w:r>
        <w:rPr>
          <w:rFonts w:eastAsia="仿宋_GB2312"/>
          <w:sz w:val="32"/>
          <w:szCs w:val="32"/>
        </w:rPr>
        <w:t>要尽快成立“大棚房”问题专项清理整治行动“回头看”工作</w:t>
      </w:r>
      <w:r>
        <w:rPr>
          <w:rFonts w:hint="eastAsia" w:eastAsia="仿宋_GB2312"/>
          <w:sz w:val="32"/>
          <w:szCs w:val="32"/>
        </w:rPr>
        <w:t>长效管理工作</w:t>
      </w:r>
      <w:r>
        <w:rPr>
          <w:rFonts w:eastAsia="仿宋_GB2312"/>
          <w:sz w:val="32"/>
          <w:szCs w:val="32"/>
        </w:rPr>
        <w:t>小组，</w:t>
      </w:r>
      <w:r>
        <w:rPr>
          <w:rFonts w:hint="eastAsia" w:eastAsia="仿宋_GB2312"/>
          <w:sz w:val="32"/>
          <w:szCs w:val="32"/>
        </w:rPr>
        <w:t>指定专门联络员，对</w:t>
      </w:r>
      <w:r>
        <w:rPr>
          <w:rFonts w:eastAsia="仿宋_GB2312"/>
          <w:sz w:val="32"/>
          <w:szCs w:val="32"/>
        </w:rPr>
        <w:t>辖区内“大棚房”</w:t>
      </w:r>
      <w:r>
        <w:rPr>
          <w:rFonts w:hint="eastAsia" w:eastAsia="仿宋_GB2312"/>
          <w:sz w:val="32"/>
          <w:szCs w:val="32"/>
        </w:rPr>
        <w:t>工作排查上报、督促整改、长效管控责任。</w:t>
      </w:r>
    </w:p>
    <w:p>
      <w:pPr>
        <w:snapToGrid w:val="0"/>
        <w:spacing w:line="520" w:lineRule="exact"/>
        <w:ind w:firstLine="643" w:firstLineChars="200"/>
        <w:rPr>
          <w:rFonts w:eastAsia="仿宋_GB2312"/>
          <w:sz w:val="32"/>
          <w:szCs w:val="32"/>
        </w:rPr>
      </w:pPr>
      <w:bookmarkStart w:id="22" w:name="bookmark35"/>
      <w:r>
        <w:rPr>
          <w:rFonts w:eastAsia="楷体_GB2312"/>
          <w:b/>
          <w:sz w:val="32"/>
          <w:szCs w:val="32"/>
          <w:lang w:val="zh-CN"/>
        </w:rPr>
        <w:t>（</w:t>
      </w:r>
      <w:bookmarkEnd w:id="22"/>
      <w:r>
        <w:rPr>
          <w:rFonts w:hint="eastAsia" w:eastAsia="楷体_GB2312"/>
          <w:b/>
          <w:sz w:val="32"/>
          <w:szCs w:val="32"/>
          <w:lang w:val="zh-CN"/>
        </w:rPr>
        <w:t>三</w:t>
      </w:r>
      <w:r>
        <w:rPr>
          <w:rFonts w:eastAsia="楷体_GB2312"/>
          <w:b/>
          <w:sz w:val="32"/>
          <w:szCs w:val="32"/>
          <w:lang w:val="zh-CN"/>
        </w:rPr>
        <w:t>）部门协同形成合力。</w:t>
      </w:r>
      <w:r>
        <w:rPr>
          <w:rFonts w:hint="eastAsia" w:eastAsia="仿宋_GB2312"/>
          <w:sz w:val="32"/>
          <w:szCs w:val="32"/>
        </w:rPr>
        <w:t>由农村工作局、自然资源和规划所</w:t>
      </w:r>
      <w:r>
        <w:rPr>
          <w:rFonts w:eastAsia="仿宋_GB2312"/>
          <w:sz w:val="32"/>
          <w:szCs w:val="32"/>
        </w:rPr>
        <w:t>按照相关法律法规规定，在</w:t>
      </w:r>
      <w:r>
        <w:rPr>
          <w:rFonts w:hint="eastAsia" w:eastAsia="仿宋_GB2312"/>
          <w:sz w:val="32"/>
          <w:szCs w:val="32"/>
        </w:rPr>
        <w:t>镇党委和政府</w:t>
      </w:r>
      <w:r>
        <w:rPr>
          <w:rFonts w:eastAsia="仿宋_GB2312"/>
          <w:sz w:val="32"/>
          <w:szCs w:val="32"/>
        </w:rPr>
        <w:t>统一部署下，</w:t>
      </w:r>
      <w:r>
        <w:rPr>
          <w:rFonts w:hint="eastAsia" w:eastAsia="仿宋_GB2312"/>
          <w:sz w:val="32"/>
          <w:szCs w:val="32"/>
        </w:rPr>
        <w:t>发挥好牵头作用，</w:t>
      </w:r>
      <w:r>
        <w:rPr>
          <w:rFonts w:eastAsia="仿宋_GB2312"/>
          <w:sz w:val="32"/>
          <w:szCs w:val="32"/>
        </w:rPr>
        <w:t>加强</w:t>
      </w:r>
      <w:r>
        <w:rPr>
          <w:rFonts w:eastAsia="仿宋_GB2312"/>
          <w:sz w:val="32"/>
          <w:szCs w:val="32"/>
          <w:lang w:val="zh-CN"/>
        </w:rPr>
        <w:t>“回头</w:t>
      </w:r>
      <w:r>
        <w:rPr>
          <w:rFonts w:eastAsia="仿宋_GB2312"/>
          <w:sz w:val="32"/>
          <w:szCs w:val="32"/>
        </w:rPr>
        <w:t>看”指导和督促。领导小组各成员单位各尽其责、共同负责，加强配合、联合行动，落实</w:t>
      </w:r>
      <w:r>
        <w:rPr>
          <w:rFonts w:eastAsia="仿宋_GB2312"/>
          <w:sz w:val="32"/>
          <w:szCs w:val="32"/>
          <w:lang w:val="zh-CN"/>
        </w:rPr>
        <w:t>“回头</w:t>
      </w:r>
      <w:r>
        <w:rPr>
          <w:rFonts w:eastAsia="仿宋_GB2312"/>
          <w:sz w:val="32"/>
          <w:szCs w:val="32"/>
        </w:rPr>
        <w:t>看</w:t>
      </w:r>
      <w:r>
        <w:rPr>
          <w:rFonts w:eastAsia="仿宋_GB2312"/>
          <w:sz w:val="32"/>
          <w:szCs w:val="32"/>
          <w:lang w:val="zh-CN"/>
        </w:rPr>
        <w:t>”各项</w:t>
      </w:r>
      <w:r>
        <w:rPr>
          <w:rFonts w:eastAsia="仿宋_GB2312"/>
          <w:sz w:val="32"/>
          <w:szCs w:val="32"/>
        </w:rPr>
        <w:t>措施。</w:t>
      </w:r>
    </w:p>
    <w:p>
      <w:pPr>
        <w:snapToGrid w:val="0"/>
        <w:spacing w:line="520" w:lineRule="exact"/>
        <w:ind w:firstLine="640" w:firstLineChars="200"/>
        <w:rPr>
          <w:rFonts w:eastAsia="黑体"/>
          <w:sz w:val="32"/>
          <w:szCs w:val="32"/>
        </w:rPr>
      </w:pPr>
      <w:bookmarkStart w:id="23" w:name="bookmark38"/>
      <w:bookmarkStart w:id="24" w:name="bookmark37"/>
      <w:bookmarkStart w:id="25" w:name="bookmark36"/>
      <w:bookmarkStart w:id="26" w:name="bookmark39"/>
      <w:r>
        <w:rPr>
          <w:rFonts w:hAnsi="黑体" w:eastAsia="黑体"/>
          <w:sz w:val="32"/>
          <w:szCs w:val="32"/>
        </w:rPr>
        <w:t>五</w:t>
      </w:r>
      <w:bookmarkEnd w:id="23"/>
      <w:r>
        <w:rPr>
          <w:rFonts w:hAnsi="黑体" w:eastAsia="黑体"/>
          <w:sz w:val="32"/>
          <w:szCs w:val="32"/>
        </w:rPr>
        <w:t>、工作步骤</w:t>
      </w:r>
      <w:bookmarkEnd w:id="24"/>
      <w:bookmarkEnd w:id="25"/>
      <w:bookmarkEnd w:id="26"/>
    </w:p>
    <w:p>
      <w:pPr>
        <w:snapToGrid w:val="0"/>
        <w:spacing w:line="520" w:lineRule="exact"/>
        <w:ind w:firstLine="640" w:firstLineChars="200"/>
        <w:rPr>
          <w:rFonts w:eastAsia="仿宋_GB2312"/>
          <w:sz w:val="32"/>
          <w:szCs w:val="32"/>
        </w:rPr>
      </w:pPr>
      <w:r>
        <w:rPr>
          <w:rFonts w:eastAsia="仿宋_GB2312"/>
          <w:sz w:val="32"/>
          <w:szCs w:val="32"/>
        </w:rPr>
        <w:t>各</w:t>
      </w:r>
      <w:r>
        <w:rPr>
          <w:rFonts w:hint="eastAsia" w:eastAsia="仿宋_GB2312"/>
          <w:sz w:val="32"/>
          <w:szCs w:val="32"/>
        </w:rPr>
        <w:t>社区（园区）和相关部门</w:t>
      </w:r>
      <w:r>
        <w:rPr>
          <w:rFonts w:eastAsia="仿宋_GB2312"/>
          <w:sz w:val="32"/>
          <w:szCs w:val="32"/>
        </w:rPr>
        <w:t>要统一思想、落实责任、联合行动，</w:t>
      </w:r>
      <w:r>
        <w:rPr>
          <w:rFonts w:hint="eastAsia" w:eastAsia="仿宋_GB2312"/>
          <w:sz w:val="32"/>
          <w:szCs w:val="32"/>
        </w:rPr>
        <w:t>落实</w:t>
      </w:r>
      <w:r>
        <w:rPr>
          <w:rFonts w:eastAsia="仿宋_GB2312"/>
          <w:sz w:val="32"/>
          <w:szCs w:val="32"/>
          <w:lang w:val="zh-CN"/>
        </w:rPr>
        <w:t>“回头</w:t>
      </w:r>
      <w:r>
        <w:rPr>
          <w:rFonts w:eastAsia="仿宋_GB2312"/>
          <w:sz w:val="32"/>
          <w:szCs w:val="32"/>
        </w:rPr>
        <w:t>看”行动方案，明确目标任务，迅速组织开展。</w:t>
      </w:r>
    </w:p>
    <w:p>
      <w:pPr>
        <w:snapToGrid w:val="0"/>
        <w:spacing w:line="520" w:lineRule="exact"/>
        <w:ind w:firstLine="643" w:firstLineChars="200"/>
        <w:rPr>
          <w:rFonts w:eastAsia="仿宋_GB2312"/>
          <w:sz w:val="32"/>
          <w:szCs w:val="32"/>
        </w:rPr>
      </w:pPr>
      <w:r>
        <w:rPr>
          <w:rFonts w:eastAsia="楷体_GB2312"/>
          <w:b/>
          <w:sz w:val="32"/>
          <w:szCs w:val="32"/>
          <w:lang w:val="zh-CN"/>
        </w:rPr>
        <w:t>（一）全面排查。</w:t>
      </w:r>
      <w:r>
        <w:rPr>
          <w:rFonts w:eastAsia="仿宋_GB2312"/>
          <w:sz w:val="32"/>
          <w:szCs w:val="32"/>
        </w:rPr>
        <w:t>时间从6月2</w:t>
      </w:r>
      <w:r>
        <w:rPr>
          <w:rFonts w:hint="eastAsia" w:eastAsia="仿宋_GB2312"/>
          <w:sz w:val="32"/>
          <w:szCs w:val="32"/>
        </w:rPr>
        <w:t>5</w:t>
      </w:r>
      <w:r>
        <w:rPr>
          <w:rFonts w:eastAsia="仿宋_GB2312"/>
          <w:sz w:val="32"/>
          <w:szCs w:val="32"/>
        </w:rPr>
        <w:t>日至6月</w:t>
      </w:r>
      <w:r>
        <w:rPr>
          <w:rFonts w:hint="eastAsia" w:eastAsia="仿宋_GB2312"/>
          <w:sz w:val="32"/>
          <w:szCs w:val="32"/>
        </w:rPr>
        <w:t>30</w:t>
      </w:r>
      <w:r>
        <w:rPr>
          <w:rFonts w:eastAsia="仿宋_GB2312"/>
          <w:sz w:val="32"/>
          <w:szCs w:val="32"/>
        </w:rPr>
        <w:t>日。各</w:t>
      </w:r>
      <w:r>
        <w:rPr>
          <w:rFonts w:hint="eastAsia" w:eastAsia="仿宋_GB2312"/>
          <w:sz w:val="32"/>
          <w:szCs w:val="32"/>
        </w:rPr>
        <w:t>社区（园区）</w:t>
      </w:r>
      <w:r>
        <w:rPr>
          <w:rFonts w:eastAsia="仿宋_GB2312"/>
          <w:sz w:val="32"/>
          <w:szCs w:val="32"/>
        </w:rPr>
        <w:t>组织开展全面排查，对排查情况形成核查报告、核查汇总表、问题明细表（见附件</w:t>
      </w:r>
      <w:r>
        <w:rPr>
          <w:rFonts w:hint="eastAsia" w:eastAsia="仿宋_GB2312"/>
          <w:sz w:val="32"/>
          <w:szCs w:val="32"/>
        </w:rPr>
        <w:t>2</w:t>
      </w:r>
      <w:r>
        <w:rPr>
          <w:rFonts w:eastAsia="仿宋_GB2312"/>
          <w:sz w:val="32"/>
          <w:szCs w:val="32"/>
        </w:rPr>
        <w:t>、</w:t>
      </w:r>
      <w:r>
        <w:rPr>
          <w:rFonts w:hint="eastAsia" w:eastAsia="仿宋_GB2312"/>
          <w:sz w:val="32"/>
          <w:szCs w:val="32"/>
        </w:rPr>
        <w:t>3</w:t>
      </w:r>
      <w:r>
        <w:rPr>
          <w:rFonts w:eastAsia="仿宋_GB2312"/>
          <w:sz w:val="32"/>
          <w:szCs w:val="32"/>
        </w:rPr>
        <w:t>、</w:t>
      </w:r>
      <w:r>
        <w:rPr>
          <w:rFonts w:hint="eastAsia" w:eastAsia="仿宋_GB2312"/>
          <w:sz w:val="32"/>
          <w:szCs w:val="32"/>
        </w:rPr>
        <w:t>4</w:t>
      </w:r>
      <w:r>
        <w:rPr>
          <w:rFonts w:eastAsia="仿宋_GB2312"/>
          <w:sz w:val="32"/>
          <w:szCs w:val="32"/>
        </w:rPr>
        <w:t>），于6月</w:t>
      </w:r>
      <w:r>
        <w:rPr>
          <w:rFonts w:hint="eastAsia" w:eastAsia="仿宋_GB2312"/>
          <w:sz w:val="32"/>
          <w:szCs w:val="32"/>
        </w:rPr>
        <w:t>30</w:t>
      </w:r>
      <w:r>
        <w:rPr>
          <w:rFonts w:eastAsia="仿宋_GB2312"/>
          <w:sz w:val="32"/>
          <w:szCs w:val="32"/>
        </w:rPr>
        <w:t>日前，经</w:t>
      </w:r>
      <w:r>
        <w:rPr>
          <w:rFonts w:hint="eastAsia" w:eastAsia="仿宋_GB2312"/>
          <w:sz w:val="32"/>
          <w:szCs w:val="32"/>
        </w:rPr>
        <w:t>各社区</w:t>
      </w:r>
      <w:r>
        <w:rPr>
          <w:rFonts w:eastAsia="仿宋_GB2312"/>
          <w:sz w:val="32"/>
          <w:szCs w:val="32"/>
        </w:rPr>
        <w:t>主要领导签字同意，以</w:t>
      </w:r>
      <w:r>
        <w:rPr>
          <w:rFonts w:hint="eastAsia" w:eastAsia="仿宋_GB2312"/>
          <w:sz w:val="32"/>
          <w:szCs w:val="32"/>
        </w:rPr>
        <w:t>书面</w:t>
      </w:r>
      <w:r>
        <w:rPr>
          <w:rFonts w:eastAsia="仿宋_GB2312"/>
          <w:sz w:val="32"/>
          <w:szCs w:val="32"/>
        </w:rPr>
        <w:t>正式报告形式</w:t>
      </w:r>
      <w:r>
        <w:rPr>
          <w:rFonts w:hint="eastAsia" w:eastAsia="仿宋_GB2312"/>
          <w:sz w:val="32"/>
          <w:szCs w:val="32"/>
        </w:rPr>
        <w:t>上报至农村工作局农业农技岗</w:t>
      </w:r>
      <w:r>
        <w:rPr>
          <w:rFonts w:eastAsia="仿宋_GB2312"/>
          <w:sz w:val="32"/>
          <w:szCs w:val="32"/>
        </w:rPr>
        <w:t>。核查没有发现问题的也要零报告。</w:t>
      </w:r>
    </w:p>
    <w:p>
      <w:pPr>
        <w:snapToGrid w:val="0"/>
        <w:spacing w:line="520" w:lineRule="exact"/>
        <w:ind w:firstLine="643" w:firstLineChars="200"/>
        <w:rPr>
          <w:rFonts w:eastAsia="仿宋_GB2312"/>
          <w:sz w:val="32"/>
          <w:szCs w:val="32"/>
        </w:rPr>
      </w:pPr>
      <w:r>
        <w:rPr>
          <w:rFonts w:eastAsia="楷体_GB2312"/>
          <w:b/>
          <w:sz w:val="32"/>
          <w:szCs w:val="32"/>
          <w:lang w:val="zh-CN"/>
        </w:rPr>
        <w:t>（二）</w:t>
      </w:r>
      <w:r>
        <w:rPr>
          <w:rFonts w:hint="eastAsia" w:eastAsia="楷体_GB2312"/>
          <w:b/>
          <w:sz w:val="32"/>
          <w:szCs w:val="32"/>
          <w:lang w:val="zh-CN"/>
        </w:rPr>
        <w:t>镇</w:t>
      </w:r>
      <w:r>
        <w:rPr>
          <w:rFonts w:eastAsia="楷体_GB2312"/>
          <w:b/>
          <w:sz w:val="32"/>
          <w:szCs w:val="32"/>
          <w:lang w:val="zh-CN"/>
        </w:rPr>
        <w:t>级核实。</w:t>
      </w:r>
      <w:r>
        <w:rPr>
          <w:rFonts w:eastAsia="仿宋_GB2312"/>
          <w:sz w:val="32"/>
          <w:szCs w:val="32"/>
        </w:rPr>
        <w:t>时间从6月2</w:t>
      </w:r>
      <w:r>
        <w:rPr>
          <w:rFonts w:hint="eastAsia" w:eastAsia="仿宋_GB2312"/>
          <w:sz w:val="32"/>
          <w:szCs w:val="32"/>
        </w:rPr>
        <w:t>5</w:t>
      </w:r>
      <w:r>
        <w:rPr>
          <w:rFonts w:eastAsia="仿宋_GB2312"/>
          <w:sz w:val="32"/>
          <w:szCs w:val="32"/>
        </w:rPr>
        <w:t>日至</w:t>
      </w:r>
      <w:r>
        <w:rPr>
          <w:rFonts w:hint="eastAsia" w:eastAsia="仿宋_GB2312"/>
          <w:sz w:val="32"/>
          <w:szCs w:val="32"/>
        </w:rPr>
        <w:t>6</w:t>
      </w:r>
      <w:r>
        <w:rPr>
          <w:rFonts w:eastAsia="仿宋_GB2312"/>
          <w:sz w:val="32"/>
          <w:szCs w:val="32"/>
        </w:rPr>
        <w:t>月</w:t>
      </w:r>
      <w:r>
        <w:rPr>
          <w:rFonts w:hint="eastAsia" w:eastAsia="仿宋_GB2312"/>
          <w:sz w:val="32"/>
          <w:szCs w:val="32"/>
        </w:rPr>
        <w:t>30</w:t>
      </w:r>
      <w:r>
        <w:rPr>
          <w:rFonts w:eastAsia="仿宋_GB2312"/>
          <w:sz w:val="32"/>
          <w:szCs w:val="32"/>
        </w:rPr>
        <w:t>日。</w:t>
      </w:r>
      <w:r>
        <w:rPr>
          <w:rFonts w:hint="eastAsia" w:eastAsia="仿宋_GB2312"/>
          <w:sz w:val="32"/>
          <w:szCs w:val="32"/>
        </w:rPr>
        <w:t>农村工作局和</w:t>
      </w:r>
      <w:r>
        <w:rPr>
          <w:rFonts w:eastAsia="仿宋_GB2312"/>
          <w:sz w:val="32"/>
          <w:szCs w:val="32"/>
        </w:rPr>
        <w:t>自然资源和规划</w:t>
      </w:r>
      <w:r>
        <w:rPr>
          <w:rFonts w:hint="eastAsia" w:eastAsia="仿宋_GB2312"/>
          <w:sz w:val="32"/>
          <w:szCs w:val="32"/>
        </w:rPr>
        <w:t>所</w:t>
      </w:r>
      <w:r>
        <w:rPr>
          <w:rFonts w:eastAsia="仿宋_GB2312"/>
          <w:sz w:val="32"/>
          <w:szCs w:val="32"/>
        </w:rPr>
        <w:t>联合对各</w:t>
      </w:r>
      <w:r>
        <w:rPr>
          <w:rFonts w:hint="eastAsia" w:eastAsia="仿宋_GB2312"/>
          <w:sz w:val="32"/>
          <w:szCs w:val="32"/>
        </w:rPr>
        <w:t>社区</w:t>
      </w:r>
      <w:r>
        <w:rPr>
          <w:rFonts w:eastAsia="仿宋_GB2312"/>
          <w:sz w:val="32"/>
          <w:szCs w:val="32"/>
        </w:rPr>
        <w:t>报告信息进行核实，发现与实际不符的，指导并督促相关</w:t>
      </w:r>
      <w:r>
        <w:rPr>
          <w:rFonts w:hint="eastAsia" w:eastAsia="仿宋_GB2312"/>
          <w:sz w:val="32"/>
          <w:szCs w:val="32"/>
        </w:rPr>
        <w:t>社区</w:t>
      </w:r>
      <w:r>
        <w:rPr>
          <w:rFonts w:eastAsia="仿宋_GB2312"/>
          <w:sz w:val="32"/>
          <w:szCs w:val="32"/>
        </w:rPr>
        <w:t>及时纠正并重新上报。</w:t>
      </w:r>
    </w:p>
    <w:p>
      <w:pPr>
        <w:snapToGrid w:val="0"/>
        <w:spacing w:line="520" w:lineRule="exact"/>
        <w:ind w:firstLine="643" w:firstLineChars="200"/>
        <w:rPr>
          <w:rFonts w:eastAsia="仿宋_GB2312"/>
          <w:sz w:val="32"/>
          <w:szCs w:val="32"/>
        </w:rPr>
      </w:pPr>
      <w:r>
        <w:rPr>
          <w:rFonts w:eastAsia="楷体_GB2312"/>
          <w:b/>
          <w:sz w:val="32"/>
          <w:szCs w:val="32"/>
          <w:lang w:val="zh-CN"/>
        </w:rPr>
        <w:t>（三）坚决整治。</w:t>
      </w:r>
      <w:r>
        <w:rPr>
          <w:rFonts w:eastAsia="仿宋_GB2312"/>
          <w:sz w:val="32"/>
          <w:szCs w:val="32"/>
        </w:rPr>
        <w:t>时间从6月20日至8月5日。按照边查边改、即知即改原则，各</w:t>
      </w:r>
      <w:r>
        <w:rPr>
          <w:rFonts w:hint="eastAsia" w:eastAsia="仿宋_GB2312"/>
          <w:sz w:val="32"/>
          <w:szCs w:val="32"/>
        </w:rPr>
        <w:t>社区（园区）</w:t>
      </w:r>
      <w:r>
        <w:rPr>
          <w:rFonts w:eastAsia="仿宋_GB2312"/>
          <w:sz w:val="32"/>
          <w:szCs w:val="32"/>
        </w:rPr>
        <w:t>按照“回头看</w:t>
      </w:r>
      <w:r>
        <w:rPr>
          <w:rFonts w:eastAsia="仿宋_GB2312"/>
          <w:sz w:val="32"/>
          <w:szCs w:val="32"/>
          <w:lang w:val="zh-CN"/>
        </w:rPr>
        <w:t>”方案</w:t>
      </w:r>
      <w:r>
        <w:rPr>
          <w:rFonts w:eastAsia="仿宋_GB2312"/>
          <w:sz w:val="32"/>
          <w:szCs w:val="32"/>
        </w:rPr>
        <w:t>和部、省、市</w:t>
      </w:r>
      <w:r>
        <w:rPr>
          <w:rFonts w:hint="eastAsia" w:eastAsia="仿宋_GB2312"/>
          <w:sz w:val="32"/>
          <w:szCs w:val="32"/>
        </w:rPr>
        <w:t>、区</w:t>
      </w:r>
      <w:r>
        <w:rPr>
          <w:rFonts w:eastAsia="仿宋_GB2312"/>
          <w:sz w:val="32"/>
          <w:szCs w:val="32"/>
        </w:rPr>
        <w:t>政策性文件要求，开展问题查处、整治整改。同时，实行整治整改任务书制度，对所有违法违规问题建立问题清单和整改台账，逐一编号并落实到各</w:t>
      </w:r>
      <w:r>
        <w:rPr>
          <w:rFonts w:hint="eastAsia" w:eastAsia="仿宋_GB2312"/>
          <w:sz w:val="32"/>
          <w:szCs w:val="32"/>
        </w:rPr>
        <w:t>社区（园区）</w:t>
      </w:r>
      <w:r>
        <w:rPr>
          <w:rFonts w:eastAsia="仿宋_GB2312"/>
          <w:sz w:val="32"/>
          <w:szCs w:val="32"/>
        </w:rPr>
        <w:t>，提出具体整改任务和整改举措，明确整改完成期限。按照“自查、验收、复核”的方式，对所有违法违规项目逐个检查验收，逐个对账销号，确保按期、全面、彻底整治整改到位。</w:t>
      </w:r>
    </w:p>
    <w:p>
      <w:pPr>
        <w:snapToGrid w:val="0"/>
        <w:spacing w:line="520" w:lineRule="exact"/>
        <w:ind w:firstLine="640" w:firstLineChars="200"/>
        <w:rPr>
          <w:rFonts w:eastAsia="黑体"/>
          <w:sz w:val="32"/>
          <w:szCs w:val="32"/>
        </w:rPr>
      </w:pPr>
      <w:bookmarkStart w:id="27" w:name="bookmark42"/>
      <w:bookmarkStart w:id="28" w:name="bookmark40"/>
      <w:bookmarkStart w:id="29" w:name="bookmark43"/>
      <w:bookmarkStart w:id="30" w:name="bookmark41"/>
      <w:r>
        <w:rPr>
          <w:rFonts w:hAnsi="黑体" w:eastAsia="黑体"/>
          <w:sz w:val="32"/>
          <w:szCs w:val="32"/>
        </w:rPr>
        <w:t>六</w:t>
      </w:r>
      <w:bookmarkEnd w:id="27"/>
      <w:r>
        <w:rPr>
          <w:rFonts w:hAnsi="黑体" w:eastAsia="黑体"/>
          <w:sz w:val="32"/>
          <w:szCs w:val="32"/>
        </w:rPr>
        <w:t>、工作要求</w:t>
      </w:r>
      <w:bookmarkEnd w:id="28"/>
      <w:bookmarkEnd w:id="29"/>
      <w:bookmarkEnd w:id="30"/>
    </w:p>
    <w:p>
      <w:pPr>
        <w:snapToGrid w:val="0"/>
        <w:spacing w:line="520" w:lineRule="exact"/>
        <w:ind w:firstLine="643" w:firstLineChars="200"/>
        <w:rPr>
          <w:rFonts w:eastAsia="仿宋_GB2312"/>
          <w:sz w:val="32"/>
          <w:szCs w:val="32"/>
        </w:rPr>
      </w:pPr>
      <w:bookmarkStart w:id="31" w:name="bookmark44"/>
      <w:r>
        <w:rPr>
          <w:rFonts w:eastAsia="楷体_GB2312"/>
          <w:b/>
          <w:sz w:val="32"/>
          <w:szCs w:val="32"/>
          <w:lang w:val="zh-CN"/>
        </w:rPr>
        <w:t>（</w:t>
      </w:r>
      <w:bookmarkEnd w:id="31"/>
      <w:r>
        <w:rPr>
          <w:rFonts w:eastAsia="楷体_GB2312"/>
          <w:b/>
          <w:sz w:val="32"/>
          <w:szCs w:val="32"/>
          <w:lang w:val="zh-CN"/>
        </w:rPr>
        <w:t>一）加强组织领导。</w:t>
      </w:r>
      <w:r>
        <w:rPr>
          <w:rFonts w:eastAsia="仿宋_GB2312"/>
          <w:sz w:val="32"/>
          <w:szCs w:val="32"/>
        </w:rPr>
        <w:t>各</w:t>
      </w:r>
      <w:r>
        <w:rPr>
          <w:rFonts w:hint="eastAsia" w:eastAsia="仿宋_GB2312"/>
          <w:sz w:val="32"/>
          <w:szCs w:val="32"/>
        </w:rPr>
        <w:t>社区（园区）</w:t>
      </w:r>
      <w:r>
        <w:rPr>
          <w:rFonts w:eastAsia="仿宋_GB2312"/>
          <w:sz w:val="32"/>
          <w:szCs w:val="32"/>
        </w:rPr>
        <w:t>要高度重视，充分认识</w:t>
      </w:r>
      <w:r>
        <w:rPr>
          <w:rFonts w:eastAsia="仿宋_GB2312"/>
          <w:sz w:val="32"/>
          <w:szCs w:val="32"/>
          <w:lang w:val="zh-CN"/>
        </w:rPr>
        <w:t>“回头</w:t>
      </w:r>
      <w:r>
        <w:rPr>
          <w:rFonts w:eastAsia="仿宋_GB2312"/>
          <w:sz w:val="32"/>
          <w:szCs w:val="32"/>
        </w:rPr>
        <w:t>看”的重要性、复杂性、艰巨性，严格属地管理，压实属地责任，及时解决</w:t>
      </w:r>
      <w:r>
        <w:rPr>
          <w:rFonts w:eastAsia="仿宋_GB2312"/>
          <w:sz w:val="32"/>
          <w:szCs w:val="32"/>
          <w:lang w:val="zh-CN"/>
        </w:rPr>
        <w:t>“回头</w:t>
      </w:r>
      <w:r>
        <w:rPr>
          <w:rFonts w:eastAsia="仿宋_GB2312"/>
          <w:sz w:val="32"/>
          <w:szCs w:val="32"/>
        </w:rPr>
        <w:t>看”中出现的问题，切实把各项任务落到实处，确保取得实效和农村稳定。各</w:t>
      </w:r>
      <w:r>
        <w:rPr>
          <w:rFonts w:hint="eastAsia" w:eastAsia="仿宋_GB2312"/>
          <w:sz w:val="32"/>
          <w:szCs w:val="32"/>
        </w:rPr>
        <w:t>社区（园区）</w:t>
      </w:r>
      <w:r>
        <w:rPr>
          <w:rFonts w:eastAsia="仿宋_GB2312"/>
          <w:sz w:val="32"/>
          <w:szCs w:val="32"/>
        </w:rPr>
        <w:t>于6月2</w:t>
      </w:r>
      <w:r>
        <w:rPr>
          <w:rFonts w:hint="eastAsia" w:eastAsia="仿宋_GB2312"/>
          <w:sz w:val="32"/>
          <w:szCs w:val="32"/>
        </w:rPr>
        <w:t>8</w:t>
      </w:r>
      <w:r>
        <w:rPr>
          <w:rFonts w:eastAsia="仿宋_GB2312"/>
          <w:sz w:val="32"/>
          <w:szCs w:val="32"/>
        </w:rPr>
        <w:t>日之前将《</w:t>
      </w:r>
      <w:r>
        <w:rPr>
          <w:rFonts w:eastAsia="仿宋_GB2312"/>
          <w:sz w:val="32"/>
          <w:szCs w:val="32"/>
          <w:lang w:val="zh-CN"/>
        </w:rPr>
        <w:t>“大棚房”问题专项清理整治行动“回头看”工作联络员信息表</w:t>
      </w:r>
      <w:r>
        <w:rPr>
          <w:rFonts w:eastAsia="仿宋_GB2312"/>
          <w:sz w:val="32"/>
          <w:szCs w:val="32"/>
        </w:rPr>
        <w:t>》（附件</w:t>
      </w:r>
      <w:r>
        <w:rPr>
          <w:rFonts w:hint="eastAsia" w:eastAsia="仿宋_GB2312"/>
          <w:sz w:val="32"/>
          <w:szCs w:val="32"/>
        </w:rPr>
        <w:t>4</w:t>
      </w:r>
      <w:r>
        <w:rPr>
          <w:rFonts w:eastAsia="仿宋_GB2312"/>
          <w:sz w:val="32"/>
          <w:szCs w:val="32"/>
        </w:rPr>
        <w:t>）报送至</w:t>
      </w:r>
      <w:r>
        <w:rPr>
          <w:rFonts w:hint="eastAsia" w:eastAsia="仿宋_GB2312"/>
          <w:sz w:val="32"/>
          <w:szCs w:val="32"/>
        </w:rPr>
        <w:t>农村工作局农业农技岗</w:t>
      </w:r>
      <w:r>
        <w:rPr>
          <w:rFonts w:eastAsia="仿宋_GB2312"/>
          <w:sz w:val="32"/>
          <w:szCs w:val="32"/>
        </w:rPr>
        <w:t>。</w:t>
      </w:r>
    </w:p>
    <w:p>
      <w:pPr>
        <w:snapToGrid w:val="0"/>
        <w:spacing w:line="520" w:lineRule="exact"/>
        <w:ind w:firstLine="643" w:firstLineChars="200"/>
        <w:rPr>
          <w:rFonts w:eastAsia="仿宋_GB2312"/>
          <w:sz w:val="32"/>
          <w:szCs w:val="32"/>
        </w:rPr>
      </w:pPr>
      <w:bookmarkStart w:id="32" w:name="bookmark45"/>
      <w:r>
        <w:rPr>
          <w:rFonts w:eastAsia="楷体_GB2312"/>
          <w:b/>
          <w:sz w:val="32"/>
          <w:szCs w:val="32"/>
          <w:lang w:val="zh-CN"/>
        </w:rPr>
        <w:t>（</w:t>
      </w:r>
      <w:bookmarkEnd w:id="32"/>
      <w:r>
        <w:rPr>
          <w:rFonts w:eastAsia="楷体_GB2312"/>
          <w:b/>
          <w:sz w:val="32"/>
          <w:szCs w:val="32"/>
          <w:lang w:val="zh-CN"/>
        </w:rPr>
        <w:t>二）强化部门协作。</w:t>
      </w:r>
      <w:r>
        <w:rPr>
          <w:rFonts w:eastAsia="仿宋_GB2312"/>
          <w:sz w:val="32"/>
          <w:szCs w:val="32"/>
        </w:rPr>
        <w:t>各相关部门要各司其职、各负其责，积极参与</w:t>
      </w:r>
      <w:r>
        <w:rPr>
          <w:rFonts w:eastAsia="仿宋_GB2312"/>
          <w:sz w:val="32"/>
          <w:szCs w:val="32"/>
          <w:lang w:val="zh-CN"/>
        </w:rPr>
        <w:t>“回</w:t>
      </w:r>
      <w:r>
        <w:rPr>
          <w:rFonts w:eastAsia="仿宋_GB2312"/>
          <w:sz w:val="32"/>
          <w:szCs w:val="32"/>
        </w:rPr>
        <w:t>头看”，建立健全信息共享、情况通报、督导检查、联合查处等机制，结合各自职责共同推进新闻宣传、舆论引导、执纪执法等任务，加强协调配合，形成工作合力。</w:t>
      </w:r>
    </w:p>
    <w:p>
      <w:pPr>
        <w:snapToGrid w:val="0"/>
        <w:spacing w:line="520" w:lineRule="exact"/>
        <w:ind w:firstLine="643" w:firstLineChars="200"/>
        <w:rPr>
          <w:rFonts w:eastAsia="仿宋_GB2312"/>
          <w:sz w:val="32"/>
          <w:szCs w:val="32"/>
        </w:rPr>
      </w:pPr>
      <w:bookmarkStart w:id="33" w:name="bookmark46"/>
      <w:r>
        <w:rPr>
          <w:rFonts w:eastAsia="楷体_GB2312"/>
          <w:b/>
          <w:sz w:val="32"/>
          <w:szCs w:val="32"/>
          <w:lang w:val="zh-CN"/>
        </w:rPr>
        <w:t>（</w:t>
      </w:r>
      <w:bookmarkEnd w:id="33"/>
      <w:r>
        <w:rPr>
          <w:rFonts w:eastAsia="楷体_GB2312"/>
          <w:b/>
          <w:sz w:val="32"/>
          <w:szCs w:val="32"/>
          <w:lang w:val="zh-CN"/>
        </w:rPr>
        <w:t>三）切实履行职责。</w:t>
      </w:r>
      <w:r>
        <w:rPr>
          <w:rFonts w:eastAsia="仿宋_GB2312"/>
          <w:sz w:val="32"/>
          <w:szCs w:val="32"/>
        </w:rPr>
        <w:t>要把排查和整治贯穿</w:t>
      </w:r>
      <w:r>
        <w:rPr>
          <w:rFonts w:eastAsia="仿宋_GB2312"/>
          <w:sz w:val="32"/>
          <w:szCs w:val="32"/>
          <w:lang w:val="zh-CN"/>
        </w:rPr>
        <w:t>“回头</w:t>
      </w:r>
      <w:r>
        <w:rPr>
          <w:rFonts w:eastAsia="仿宋_GB2312"/>
          <w:sz w:val="32"/>
          <w:szCs w:val="32"/>
        </w:rPr>
        <w:t>看”全过程，深入查、彻底查、反复查，做到不漏报、不少报、不瞒报。要把整治作为</w:t>
      </w:r>
      <w:r>
        <w:rPr>
          <w:rFonts w:eastAsia="仿宋_GB2312"/>
          <w:sz w:val="32"/>
          <w:szCs w:val="32"/>
          <w:lang w:val="zh-CN"/>
        </w:rPr>
        <w:t>“回</w:t>
      </w:r>
      <w:r>
        <w:rPr>
          <w:rFonts w:eastAsia="仿宋_GB2312"/>
          <w:sz w:val="32"/>
          <w:szCs w:val="32"/>
        </w:rPr>
        <w:t>头看</w:t>
      </w:r>
      <w:r>
        <w:rPr>
          <w:rFonts w:eastAsia="仿宋_GB2312"/>
          <w:sz w:val="32"/>
          <w:szCs w:val="32"/>
          <w:lang w:val="zh-CN"/>
        </w:rPr>
        <w:t>”的重</w:t>
      </w:r>
      <w:r>
        <w:rPr>
          <w:rFonts w:eastAsia="仿宋_GB2312"/>
          <w:sz w:val="32"/>
          <w:szCs w:val="32"/>
        </w:rPr>
        <w:t>点任务，倒排工期，挂牌督战，坚决整治，做到不拖延、不回避、不敷衍。要讲究方式方法，把握政策，区分情况，依法依规，严格标准，避免工作简单化、“扩大化”、“一刀切”。</w:t>
      </w:r>
    </w:p>
    <w:p>
      <w:pPr>
        <w:spacing w:line="520" w:lineRule="exact"/>
        <w:ind w:firstLine="643" w:firstLineChars="200"/>
        <w:rPr>
          <w:rFonts w:eastAsia="仿宋_GB2312"/>
          <w:sz w:val="32"/>
          <w:szCs w:val="32"/>
        </w:rPr>
      </w:pPr>
      <w:bookmarkStart w:id="34" w:name="bookmark47"/>
      <w:r>
        <w:rPr>
          <w:rFonts w:eastAsia="楷体_GB2312"/>
          <w:b/>
          <w:sz w:val="32"/>
          <w:szCs w:val="32"/>
          <w:lang w:val="zh-CN"/>
        </w:rPr>
        <w:t>（</w:t>
      </w:r>
      <w:bookmarkEnd w:id="34"/>
      <w:r>
        <w:rPr>
          <w:rFonts w:eastAsia="楷体_GB2312"/>
          <w:b/>
          <w:sz w:val="32"/>
          <w:szCs w:val="32"/>
          <w:lang w:val="zh-CN"/>
        </w:rPr>
        <w:t>四）严肃督导问责。</w:t>
      </w:r>
      <w:r>
        <w:rPr>
          <w:rFonts w:hint="eastAsia" w:eastAsia="仿宋_GB2312"/>
          <w:sz w:val="32"/>
          <w:szCs w:val="32"/>
          <w:lang w:val="zh-CN"/>
        </w:rPr>
        <w:t>镇</w:t>
      </w:r>
      <w:r>
        <w:rPr>
          <w:rFonts w:eastAsia="仿宋_GB2312"/>
          <w:sz w:val="32"/>
          <w:szCs w:val="32"/>
        </w:rPr>
        <w:t>“回头看”工作协调推进领导小组适时组织开展督导检查，对重点地区排查整治情况开展实地抽查核查。健全问责机制，对违法违规问题，要发现一起、查处一起，进行警示教育。</w:t>
      </w:r>
    </w:p>
    <w:p>
      <w:pPr>
        <w:snapToGrid w:val="0"/>
        <w:spacing w:line="520" w:lineRule="exact"/>
        <w:ind w:firstLine="643" w:firstLineChars="200"/>
        <w:rPr>
          <w:rFonts w:eastAsia="仿宋_GB2312"/>
          <w:sz w:val="32"/>
          <w:szCs w:val="32"/>
        </w:rPr>
      </w:pPr>
      <w:bookmarkStart w:id="35" w:name="bookmark48"/>
      <w:r>
        <w:rPr>
          <w:rFonts w:eastAsia="楷体_GB2312"/>
          <w:b/>
          <w:sz w:val="32"/>
          <w:szCs w:val="32"/>
          <w:lang w:val="zh-CN"/>
        </w:rPr>
        <w:t>（</w:t>
      </w:r>
      <w:bookmarkEnd w:id="35"/>
      <w:r>
        <w:rPr>
          <w:rFonts w:eastAsia="楷体_GB2312"/>
          <w:b/>
          <w:sz w:val="32"/>
          <w:szCs w:val="32"/>
          <w:lang w:val="zh-CN"/>
        </w:rPr>
        <w:t>五）定期上报信息。</w:t>
      </w:r>
      <w:r>
        <w:rPr>
          <w:rFonts w:eastAsia="仿宋_GB2312"/>
          <w:sz w:val="32"/>
          <w:szCs w:val="32"/>
        </w:rPr>
        <w:t>实行</w:t>
      </w:r>
      <w:r>
        <w:rPr>
          <w:rFonts w:eastAsia="仿宋_GB2312"/>
          <w:sz w:val="32"/>
          <w:szCs w:val="32"/>
          <w:lang w:val="zh-CN"/>
        </w:rPr>
        <w:t>“回头</w:t>
      </w:r>
      <w:r>
        <w:rPr>
          <w:rFonts w:eastAsia="仿宋_GB2312"/>
          <w:sz w:val="32"/>
          <w:szCs w:val="32"/>
        </w:rPr>
        <w:t>看”信息周</w:t>
      </w:r>
      <w:r>
        <w:rPr>
          <w:rFonts w:hint="eastAsia" w:eastAsia="仿宋_GB2312"/>
          <w:sz w:val="32"/>
          <w:szCs w:val="32"/>
        </w:rPr>
        <w:t>一报告</w:t>
      </w:r>
      <w:r>
        <w:rPr>
          <w:rFonts w:eastAsia="仿宋_GB2312"/>
          <w:sz w:val="32"/>
          <w:szCs w:val="32"/>
        </w:rPr>
        <w:t>制度。各</w:t>
      </w:r>
      <w:r>
        <w:rPr>
          <w:rFonts w:hint="eastAsia" w:eastAsia="仿宋_GB2312"/>
          <w:sz w:val="32"/>
          <w:szCs w:val="32"/>
        </w:rPr>
        <w:t>社区（园区）</w:t>
      </w:r>
      <w:r>
        <w:rPr>
          <w:rFonts w:eastAsia="仿宋_GB2312"/>
          <w:sz w:val="32"/>
          <w:szCs w:val="32"/>
        </w:rPr>
        <w:t>要在加快工作进度的同时，及时调度汇总工作进展情况，对发现的重大情况随时上报。</w:t>
      </w:r>
    </w:p>
    <w:p>
      <w:pPr>
        <w:snapToGrid w:val="0"/>
        <w:spacing w:line="520" w:lineRule="exact"/>
        <w:ind w:firstLine="643" w:firstLineChars="200"/>
        <w:rPr>
          <w:rFonts w:eastAsia="仿宋_GB2312"/>
          <w:sz w:val="32"/>
          <w:szCs w:val="32"/>
        </w:rPr>
      </w:pPr>
      <w:bookmarkStart w:id="36" w:name="bookmark49"/>
      <w:r>
        <w:rPr>
          <w:rFonts w:eastAsia="楷体_GB2312"/>
          <w:b/>
          <w:sz w:val="32"/>
          <w:szCs w:val="32"/>
          <w:lang w:val="zh-CN"/>
        </w:rPr>
        <w:t>（</w:t>
      </w:r>
      <w:bookmarkEnd w:id="36"/>
      <w:r>
        <w:rPr>
          <w:rFonts w:eastAsia="楷体_GB2312"/>
          <w:b/>
          <w:sz w:val="32"/>
          <w:szCs w:val="32"/>
          <w:lang w:val="zh-CN"/>
        </w:rPr>
        <w:t>六）接受社会监督。</w:t>
      </w:r>
      <w:r>
        <w:rPr>
          <w:rFonts w:eastAsia="仿宋_GB2312"/>
          <w:sz w:val="32"/>
          <w:szCs w:val="32"/>
        </w:rPr>
        <w:t>在“回头看”期间，设立群众举报电话，接受群众举报，接受舆论监督，并积极与</w:t>
      </w:r>
      <w:r>
        <w:rPr>
          <w:rFonts w:hint="eastAsia" w:eastAsia="仿宋_GB2312"/>
          <w:sz w:val="32"/>
          <w:szCs w:val="32"/>
        </w:rPr>
        <w:t>办公室纪律监察岗</w:t>
      </w:r>
      <w:r>
        <w:rPr>
          <w:rFonts w:eastAsia="仿宋_GB2312"/>
          <w:sz w:val="32"/>
          <w:szCs w:val="32"/>
        </w:rPr>
        <w:t>保持联系，严肃处理纪委监委接到的</w:t>
      </w:r>
      <w:r>
        <w:rPr>
          <w:rFonts w:eastAsia="仿宋_GB2312"/>
          <w:sz w:val="32"/>
          <w:szCs w:val="32"/>
          <w:lang w:val="zh-CN"/>
        </w:rPr>
        <w:t>“大棚</w:t>
      </w:r>
      <w:r>
        <w:rPr>
          <w:rFonts w:eastAsia="仿宋_GB2312"/>
          <w:sz w:val="32"/>
          <w:szCs w:val="32"/>
        </w:rPr>
        <w:t>房”问题线索和群众举报。</w:t>
      </w:r>
    </w:p>
    <w:p>
      <w:pPr>
        <w:snapToGrid w:val="0"/>
        <w:spacing w:line="520" w:lineRule="exact"/>
        <w:ind w:firstLine="640" w:firstLineChars="200"/>
        <w:rPr>
          <w:rFonts w:eastAsia="仿宋_GB2312"/>
          <w:sz w:val="32"/>
          <w:szCs w:val="32"/>
        </w:rPr>
      </w:pPr>
      <w:r>
        <w:rPr>
          <w:rFonts w:eastAsia="仿宋_GB2312"/>
          <w:sz w:val="32"/>
          <w:szCs w:val="32"/>
        </w:rPr>
        <w:t>联系人：</w:t>
      </w:r>
      <w:r>
        <w:rPr>
          <w:rFonts w:hint="eastAsia" w:eastAsia="仿宋_GB2312"/>
          <w:sz w:val="32"/>
          <w:szCs w:val="32"/>
        </w:rPr>
        <w:t>吴真一</w:t>
      </w:r>
      <w:r>
        <w:rPr>
          <w:rFonts w:hint="eastAsia" w:eastAsia="仿宋_GB2312"/>
          <w:sz w:val="32"/>
          <w:szCs w:val="32"/>
          <w:lang w:val="en-US" w:eastAsia="zh-CN"/>
        </w:rPr>
        <w:t>，</w:t>
      </w:r>
      <w:r>
        <w:rPr>
          <w:rFonts w:eastAsia="仿宋_GB2312"/>
          <w:sz w:val="32"/>
          <w:szCs w:val="32"/>
        </w:rPr>
        <w:t>QQ：</w:t>
      </w:r>
      <w:r>
        <w:rPr>
          <w:rFonts w:hint="eastAsia" w:eastAsia="仿宋_GB2312"/>
          <w:sz w:val="32"/>
          <w:szCs w:val="32"/>
        </w:rPr>
        <w:t>343884904</w:t>
      </w:r>
      <w:r>
        <w:rPr>
          <w:rFonts w:eastAsia="仿宋_GB2312"/>
          <w:sz w:val="32"/>
          <w:szCs w:val="32"/>
        </w:rPr>
        <w:t>。</w:t>
      </w:r>
    </w:p>
    <w:p>
      <w:pPr>
        <w:spacing w:line="520" w:lineRule="exact"/>
        <w:ind w:firstLine="640" w:firstLineChars="200"/>
        <w:rPr>
          <w:rFonts w:eastAsia="仿宋_GB2312"/>
          <w:sz w:val="32"/>
          <w:szCs w:val="32"/>
        </w:rPr>
      </w:pPr>
      <w:r>
        <w:rPr>
          <w:rFonts w:hint="eastAsia" w:eastAsia="仿宋_GB2312"/>
          <w:sz w:val="32"/>
          <w:szCs w:val="32"/>
        </w:rPr>
        <w:t>农村工作局农业农技岗</w:t>
      </w:r>
      <w:r>
        <w:rPr>
          <w:rFonts w:eastAsia="仿宋_GB2312"/>
          <w:sz w:val="32"/>
          <w:szCs w:val="32"/>
        </w:rPr>
        <w:t xml:space="preserve">  0519—86</w:t>
      </w:r>
      <w:r>
        <w:rPr>
          <w:rFonts w:hint="eastAsia" w:eastAsia="仿宋_GB2312"/>
          <w:sz w:val="32"/>
          <w:szCs w:val="32"/>
        </w:rPr>
        <w:t>554245</w:t>
      </w:r>
    </w:p>
    <w:p>
      <w:pPr>
        <w:snapToGrid w:val="0"/>
        <w:spacing w:line="520" w:lineRule="exact"/>
        <w:ind w:firstLine="640" w:firstLineChars="200"/>
        <w:rPr>
          <w:rFonts w:eastAsia="仿宋_GB2312"/>
          <w:sz w:val="32"/>
          <w:szCs w:val="32"/>
        </w:rPr>
      </w:pPr>
      <w:r>
        <w:rPr>
          <w:rFonts w:eastAsia="仿宋_GB2312"/>
          <w:sz w:val="32"/>
          <w:szCs w:val="32"/>
        </w:rPr>
        <w:t>自然资源和规划局</w:t>
      </w:r>
      <w:r>
        <w:rPr>
          <w:rFonts w:hint="eastAsia" w:eastAsia="仿宋_GB2312"/>
          <w:sz w:val="32"/>
          <w:szCs w:val="32"/>
        </w:rPr>
        <w:t>所</w:t>
      </w:r>
      <w:r>
        <w:rPr>
          <w:rFonts w:eastAsia="仿宋_GB2312"/>
          <w:sz w:val="32"/>
          <w:szCs w:val="32"/>
        </w:rPr>
        <w:t xml:space="preserve"> 0519—</w:t>
      </w:r>
      <w:r>
        <w:rPr>
          <w:rFonts w:hint="eastAsia" w:eastAsia="仿宋_GB2312"/>
          <w:sz w:val="32"/>
          <w:szCs w:val="32"/>
        </w:rPr>
        <w:t>86556350</w:t>
      </w:r>
    </w:p>
    <w:p>
      <w:pPr>
        <w:snapToGrid w:val="0"/>
        <w:spacing w:line="520" w:lineRule="exact"/>
        <w:ind w:left="2053" w:leftChars="303" w:hanging="1417" w:hangingChars="443"/>
        <w:rPr>
          <w:rFonts w:eastAsia="仿宋_GB2312"/>
          <w:sz w:val="32"/>
          <w:szCs w:val="32"/>
        </w:rPr>
      </w:pPr>
    </w:p>
    <w:p>
      <w:pPr>
        <w:snapToGrid w:val="0"/>
        <w:spacing w:line="520" w:lineRule="exact"/>
        <w:ind w:firstLine="640" w:firstLineChars="200"/>
        <w:rPr>
          <w:rFonts w:eastAsia="仿宋_GB2312"/>
          <w:sz w:val="32"/>
          <w:szCs w:val="32"/>
        </w:rPr>
      </w:pPr>
      <w:r>
        <w:rPr>
          <w:rFonts w:eastAsia="仿宋_GB2312"/>
          <w:sz w:val="32"/>
          <w:szCs w:val="32"/>
        </w:rPr>
        <w:t>附件</w:t>
      </w:r>
      <w:r>
        <w:rPr>
          <w:rFonts w:eastAsia="仿宋_GB2312"/>
          <w:sz w:val="32"/>
          <w:szCs w:val="32"/>
          <w:lang w:val="zh-CN"/>
        </w:rPr>
        <w:t>：1</w:t>
      </w:r>
      <w:r>
        <w:rPr>
          <w:rFonts w:hint="eastAsia" w:eastAsia="仿宋_GB2312"/>
          <w:sz w:val="32"/>
          <w:szCs w:val="32"/>
          <w:lang w:val="zh-CN"/>
        </w:rPr>
        <w:t>、</w:t>
      </w:r>
      <w:r>
        <w:rPr>
          <w:rFonts w:hint="eastAsia" w:eastAsia="仿宋_GB2312"/>
          <w:sz w:val="32"/>
          <w:szCs w:val="32"/>
        </w:rPr>
        <w:t>湖塘镇</w:t>
      </w:r>
      <w:r>
        <w:rPr>
          <w:rFonts w:eastAsia="仿宋_GB2312"/>
          <w:sz w:val="32"/>
          <w:szCs w:val="32"/>
        </w:rPr>
        <w:t>“大棚房”问题专项清理整治行动“回头看”</w:t>
      </w:r>
    </w:p>
    <w:p>
      <w:pPr>
        <w:snapToGrid w:val="0"/>
        <w:spacing w:line="520" w:lineRule="exact"/>
        <w:ind w:firstLine="640" w:firstLineChars="200"/>
        <w:rPr>
          <w:rFonts w:eastAsia="仿宋_GB2312"/>
          <w:sz w:val="32"/>
          <w:szCs w:val="32"/>
        </w:rPr>
      </w:pPr>
      <w:r>
        <w:rPr>
          <w:rFonts w:hint="eastAsia" w:eastAsia="仿宋_GB2312"/>
          <w:sz w:val="32"/>
          <w:szCs w:val="32"/>
        </w:rPr>
        <w:t xml:space="preserve">         </w:t>
      </w:r>
      <w:r>
        <w:rPr>
          <w:rFonts w:eastAsia="仿宋_GB2312"/>
          <w:sz w:val="32"/>
          <w:szCs w:val="32"/>
        </w:rPr>
        <w:t>工作协调推进领导小组成员名单</w:t>
      </w:r>
    </w:p>
    <w:p>
      <w:pPr>
        <w:snapToGrid w:val="0"/>
        <w:spacing w:line="520" w:lineRule="exact"/>
        <w:ind w:firstLine="1600" w:firstLineChars="500"/>
        <w:rPr>
          <w:rFonts w:eastAsia="仿宋_GB2312"/>
          <w:sz w:val="32"/>
          <w:szCs w:val="32"/>
          <w:lang w:val="zh-CN"/>
        </w:rPr>
      </w:pPr>
      <w:r>
        <w:rPr>
          <w:rFonts w:hint="eastAsia" w:eastAsia="仿宋_GB2312"/>
          <w:sz w:val="32"/>
          <w:szCs w:val="32"/>
        </w:rPr>
        <w:t>2、</w:t>
      </w:r>
      <w:r>
        <w:rPr>
          <w:rFonts w:eastAsia="仿宋_GB2312"/>
          <w:sz w:val="32"/>
          <w:szCs w:val="32"/>
        </w:rPr>
        <w:t>2021年</w:t>
      </w:r>
      <w:r>
        <w:rPr>
          <w:rFonts w:hint="eastAsia" w:eastAsia="仿宋_GB2312"/>
          <w:sz w:val="32"/>
          <w:szCs w:val="32"/>
        </w:rPr>
        <w:t>湖塘镇</w:t>
      </w:r>
      <w:r>
        <w:rPr>
          <w:rFonts w:eastAsia="仿宋_GB2312"/>
          <w:sz w:val="32"/>
          <w:szCs w:val="32"/>
        </w:rPr>
        <w:t>设施农用地使用核查报告编制要点</w:t>
      </w:r>
    </w:p>
    <w:p>
      <w:pPr>
        <w:snapToGrid w:val="0"/>
        <w:spacing w:line="520" w:lineRule="exact"/>
        <w:ind w:firstLine="1600" w:firstLineChars="500"/>
        <w:rPr>
          <w:rFonts w:eastAsia="仿宋_GB2312"/>
          <w:spacing w:val="-6"/>
          <w:sz w:val="32"/>
          <w:szCs w:val="32"/>
        </w:rPr>
      </w:pPr>
      <w:r>
        <w:rPr>
          <w:rFonts w:hint="eastAsia" w:eastAsia="仿宋_GB2312"/>
          <w:sz w:val="32"/>
          <w:szCs w:val="32"/>
        </w:rPr>
        <w:t>3、</w:t>
      </w:r>
      <w:r>
        <w:rPr>
          <w:rFonts w:eastAsia="仿宋_GB2312"/>
          <w:spacing w:val="-6"/>
          <w:sz w:val="32"/>
          <w:szCs w:val="32"/>
        </w:rPr>
        <w:t>2021年</w:t>
      </w:r>
      <w:r>
        <w:rPr>
          <w:rFonts w:hint="eastAsia" w:eastAsia="仿宋_GB2312"/>
          <w:spacing w:val="-6"/>
          <w:sz w:val="32"/>
          <w:szCs w:val="32"/>
        </w:rPr>
        <w:t>湖塘镇</w:t>
      </w:r>
      <w:r>
        <w:rPr>
          <w:rFonts w:eastAsia="仿宋_GB2312"/>
          <w:spacing w:val="-6"/>
          <w:sz w:val="32"/>
          <w:szCs w:val="32"/>
        </w:rPr>
        <w:t>设施农用地使用核查汇总</w:t>
      </w:r>
      <w:r>
        <w:rPr>
          <w:rFonts w:hint="eastAsia" w:eastAsia="仿宋_GB2312"/>
          <w:spacing w:val="-6"/>
          <w:sz w:val="32"/>
          <w:szCs w:val="32"/>
        </w:rPr>
        <w:t>表</w:t>
      </w:r>
    </w:p>
    <w:p>
      <w:pPr>
        <w:snapToGrid w:val="0"/>
        <w:spacing w:line="520" w:lineRule="exact"/>
        <w:ind w:firstLine="1600" w:firstLineChars="500"/>
        <w:rPr>
          <w:rFonts w:eastAsia="仿宋_GB2312"/>
          <w:sz w:val="32"/>
          <w:szCs w:val="32"/>
        </w:rPr>
      </w:pPr>
      <w:r>
        <w:rPr>
          <w:rFonts w:eastAsia="仿宋_GB2312"/>
          <w:sz w:val="32"/>
          <w:szCs w:val="32"/>
          <w:lang w:val="zh-CN"/>
        </w:rPr>
        <w:t>4</w:t>
      </w:r>
      <w:r>
        <w:rPr>
          <w:rFonts w:hint="eastAsia" w:eastAsia="仿宋_GB2312"/>
          <w:sz w:val="32"/>
          <w:szCs w:val="32"/>
          <w:lang w:val="zh-CN"/>
        </w:rPr>
        <w:t>、</w:t>
      </w:r>
      <w:r>
        <w:rPr>
          <w:rFonts w:eastAsia="仿宋_GB2312"/>
          <w:sz w:val="32"/>
          <w:szCs w:val="32"/>
          <w:lang w:val="zh-CN"/>
        </w:rPr>
        <w:t>“大</w:t>
      </w:r>
      <w:r>
        <w:rPr>
          <w:rFonts w:eastAsia="仿宋_GB2312"/>
          <w:sz w:val="32"/>
          <w:szCs w:val="32"/>
        </w:rPr>
        <w:t>棚房”问题</w:t>
      </w:r>
      <w:r>
        <w:rPr>
          <w:rFonts w:eastAsia="仿宋_GB2312"/>
          <w:sz w:val="32"/>
          <w:szCs w:val="32"/>
          <w:lang w:val="zh-CN"/>
        </w:rPr>
        <w:t>“回</w:t>
      </w:r>
      <w:r>
        <w:rPr>
          <w:rFonts w:eastAsia="仿宋_GB2312"/>
          <w:sz w:val="32"/>
          <w:szCs w:val="32"/>
        </w:rPr>
        <w:t>头看”违规问题明细表</w:t>
      </w:r>
    </w:p>
    <w:p>
      <w:pPr>
        <w:snapToGrid w:val="0"/>
        <w:spacing w:line="520" w:lineRule="exact"/>
        <w:ind w:firstLine="1600" w:firstLineChars="500"/>
        <w:rPr>
          <w:rFonts w:eastAsia="仿宋_GB2312"/>
          <w:sz w:val="32"/>
          <w:szCs w:val="32"/>
        </w:rPr>
      </w:pPr>
      <w:r>
        <w:rPr>
          <w:rFonts w:eastAsia="仿宋_GB2312"/>
          <w:sz w:val="32"/>
          <w:szCs w:val="32"/>
        </w:rPr>
        <w:t>5</w:t>
      </w:r>
      <w:r>
        <w:rPr>
          <w:rFonts w:hint="eastAsia" w:eastAsia="仿宋_GB2312"/>
          <w:sz w:val="32"/>
          <w:szCs w:val="32"/>
        </w:rPr>
        <w:t>、</w:t>
      </w:r>
      <w:r>
        <w:rPr>
          <w:rFonts w:eastAsia="仿宋_GB2312"/>
          <w:sz w:val="32"/>
          <w:szCs w:val="32"/>
        </w:rPr>
        <w:t>“大棚房”问题专项清理整治行动“回头看”工作联</w:t>
      </w:r>
    </w:p>
    <w:p>
      <w:pPr>
        <w:snapToGrid w:val="0"/>
        <w:spacing w:line="520" w:lineRule="exact"/>
        <w:ind w:firstLine="1600" w:firstLineChars="500"/>
        <w:rPr>
          <w:rFonts w:eastAsia="仿宋_GB2312"/>
          <w:sz w:val="32"/>
          <w:szCs w:val="32"/>
        </w:rPr>
      </w:pPr>
      <w:r>
        <w:rPr>
          <w:rFonts w:hint="eastAsia" w:eastAsia="仿宋_GB2312"/>
          <w:sz w:val="32"/>
          <w:szCs w:val="32"/>
        </w:rPr>
        <w:t xml:space="preserve">   </w:t>
      </w:r>
      <w:r>
        <w:rPr>
          <w:rFonts w:eastAsia="仿宋_GB2312"/>
          <w:sz w:val="32"/>
          <w:szCs w:val="32"/>
        </w:rPr>
        <w:t>络员信息表</w:t>
      </w:r>
    </w:p>
    <w:p>
      <w:pPr>
        <w:widowControl/>
        <w:spacing w:line="520" w:lineRule="exact"/>
        <w:rPr>
          <w:rFonts w:hAnsi="黑体" w:eastAsia="黑体"/>
          <w:sz w:val="32"/>
          <w:szCs w:val="32"/>
        </w:rPr>
      </w:pPr>
      <w:r>
        <w:rPr>
          <w:rFonts w:hAnsi="黑体" w:eastAsia="黑体"/>
          <w:sz w:val="32"/>
          <w:szCs w:val="32"/>
        </w:rPr>
        <w:br w:type="page"/>
      </w:r>
    </w:p>
    <w:p>
      <w:pPr>
        <w:spacing w:line="560" w:lineRule="exact"/>
        <w:rPr>
          <w:rFonts w:eastAsia="黑体"/>
          <w:sz w:val="32"/>
          <w:szCs w:val="32"/>
        </w:rPr>
      </w:pPr>
      <w:r>
        <w:rPr>
          <w:rFonts w:hAnsi="黑体" w:eastAsia="黑体"/>
          <w:sz w:val="32"/>
          <w:szCs w:val="32"/>
        </w:rPr>
        <w:t>附件</w:t>
      </w:r>
      <w:r>
        <w:rPr>
          <w:rFonts w:eastAsia="黑体"/>
          <w:sz w:val="32"/>
          <w:szCs w:val="32"/>
        </w:rPr>
        <w:t>1</w:t>
      </w:r>
    </w:p>
    <w:p>
      <w:pPr>
        <w:jc w:val="center"/>
        <w:rPr>
          <w:rFonts w:eastAsia="方正小标宋简体"/>
          <w:sz w:val="36"/>
          <w:szCs w:val="36"/>
        </w:rPr>
      </w:pPr>
      <w:r>
        <w:rPr>
          <w:rFonts w:hint="eastAsia" w:eastAsia="方正小标宋简体"/>
          <w:sz w:val="36"/>
          <w:szCs w:val="36"/>
        </w:rPr>
        <w:t>湖塘镇</w:t>
      </w:r>
      <w:r>
        <w:rPr>
          <w:rFonts w:eastAsia="方正小标宋简体"/>
          <w:sz w:val="36"/>
          <w:szCs w:val="36"/>
        </w:rPr>
        <w:t>“大棚房”问题专项清理整治行动</w:t>
      </w:r>
    </w:p>
    <w:p>
      <w:pPr>
        <w:jc w:val="center"/>
        <w:rPr>
          <w:rFonts w:eastAsia="方正小标宋简体"/>
          <w:sz w:val="36"/>
          <w:szCs w:val="36"/>
        </w:rPr>
      </w:pPr>
      <w:r>
        <w:rPr>
          <w:rFonts w:eastAsia="方正小标宋简体"/>
          <w:sz w:val="36"/>
          <w:szCs w:val="36"/>
        </w:rPr>
        <w:t>“回头看”工作协调推进领导小组成员名单</w:t>
      </w:r>
    </w:p>
    <w:p>
      <w:pPr>
        <w:jc w:val="center"/>
        <w:rPr>
          <w:rFonts w:eastAsia="仿宋_GB2312"/>
          <w:sz w:val="32"/>
          <w:szCs w:val="32"/>
        </w:rPr>
      </w:pPr>
    </w:p>
    <w:p>
      <w:pPr>
        <w:snapToGrid w:val="0"/>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根据部、省、市政府关于开展“大棚房”问题专项清理整治行动“回头看”工作</w:t>
      </w:r>
      <w:r>
        <w:rPr>
          <w:rFonts w:hint="eastAsia" w:ascii="仿宋_GB2312" w:hAnsi="仿宋_GB2312" w:eastAsia="仿宋_GB2312" w:cs="仿宋_GB2312"/>
          <w:sz w:val="32"/>
          <w:szCs w:val="32"/>
          <w:lang w:val="zh-CN"/>
        </w:rPr>
        <w:t>的</w:t>
      </w:r>
      <w:r>
        <w:rPr>
          <w:rFonts w:hint="eastAsia" w:ascii="仿宋_GB2312" w:hAnsi="仿宋_GB2312" w:eastAsia="仿宋_GB2312" w:cs="仿宋_GB2312"/>
          <w:sz w:val="32"/>
          <w:szCs w:val="32"/>
        </w:rPr>
        <w:t>决策部署，加强对全镇开展“大棚房”问题专项清理整治行动“回头看”工作行动的组织领导和统筹协调，经研究，决定成立湖塘“大棚房”问题专项清理整治行动“回头看”工作协调推进领导小组。现将有关事项通知如下：</w:t>
      </w:r>
    </w:p>
    <w:p>
      <w:pPr>
        <w:snapToGrid w:val="0"/>
        <w:spacing w:line="55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一、领导小组</w:t>
      </w:r>
    </w:p>
    <w:p>
      <w:pPr>
        <w:snapToGrid w:val="0"/>
        <w:spacing w:line="550" w:lineRule="exact"/>
        <w:ind w:firstLine="640" w:firstLineChars="200"/>
        <w:rPr>
          <w:rFonts w:ascii="仿宋_GB2312" w:hAnsi="仿宋_GB2312" w:eastAsia="仿宋_GB2312" w:cs="仿宋_GB2312"/>
          <w:spacing w:val="-11"/>
          <w:sz w:val="32"/>
          <w:szCs w:val="32"/>
        </w:rPr>
      </w:pPr>
      <w:r>
        <w:rPr>
          <w:rFonts w:hint="eastAsia" w:ascii="仿宋_GB2312" w:hAnsi="仿宋_GB2312" w:eastAsia="仿宋_GB2312" w:cs="仿宋_GB2312"/>
          <w:sz w:val="32"/>
          <w:szCs w:val="32"/>
        </w:rPr>
        <w:t>组  长：</w:t>
      </w:r>
      <w:r>
        <w:rPr>
          <w:rFonts w:hint="eastAsia" w:ascii="仿宋_GB2312" w:hAnsi="仿宋_GB2312" w:eastAsia="仿宋_GB2312" w:cs="仿宋_GB2312"/>
          <w:spacing w:val="-11"/>
          <w:sz w:val="32"/>
          <w:szCs w:val="32"/>
        </w:rPr>
        <w:t>王   芳   党委副书记、镇长候选人</w:t>
      </w:r>
    </w:p>
    <w:p>
      <w:pPr>
        <w:snapToGrid w:val="0"/>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副组长：杨文杰   </w:t>
      </w:r>
      <w:r>
        <w:rPr>
          <w:rFonts w:hint="eastAsia" w:ascii="仿宋_GB2312" w:hAnsi="仿宋_GB2312" w:eastAsia="仿宋_GB2312" w:cs="仿宋_GB2312"/>
          <w:spacing w:val="-11"/>
          <w:sz w:val="32"/>
          <w:szCs w:val="32"/>
        </w:rPr>
        <w:t>党委委员、纪委书记</w:t>
      </w:r>
    </w:p>
    <w:p>
      <w:pPr>
        <w:snapToGrid w:val="0"/>
        <w:spacing w:line="55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张建军   副镇长</w:t>
      </w:r>
    </w:p>
    <w:p>
      <w:pPr>
        <w:snapToGrid w:val="0"/>
        <w:spacing w:line="55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王轶峰   副镇长候选人</w:t>
      </w:r>
    </w:p>
    <w:p>
      <w:pPr>
        <w:snapToGrid w:val="0"/>
        <w:spacing w:line="55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成  员：</w:t>
      </w:r>
      <w:r>
        <w:rPr>
          <w:rFonts w:hint="eastAsia" w:ascii="仿宋_GB2312" w:hAnsi="仿宋_GB2312" w:eastAsia="仿宋_GB2312" w:cs="仿宋_GB2312"/>
          <w:sz w:val="32"/>
          <w:szCs w:val="32"/>
        </w:rPr>
        <w:t>夏宝军   财政和资产管理局副局长</w:t>
      </w:r>
    </w:p>
    <w:p>
      <w:pPr>
        <w:snapToGrid w:val="0"/>
        <w:spacing w:line="550" w:lineRule="exact"/>
        <w:ind w:firstLine="1920" w:firstLineChars="6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吴真一   农村工作局农业农技岗三级岗C档</w:t>
      </w:r>
    </w:p>
    <w:p>
      <w:pPr>
        <w:snapToGrid w:val="0"/>
        <w:spacing w:line="55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潘  栋   综合行政执法局综合事务岗</w:t>
      </w:r>
      <w:r>
        <w:rPr>
          <w:rFonts w:hint="eastAsia" w:ascii="仿宋_GB2312" w:hAnsi="仿宋_GB2312" w:eastAsia="仿宋_GB2312" w:cs="仿宋_GB2312"/>
          <w:color w:val="000000" w:themeColor="text1"/>
          <w:sz w:val="32"/>
          <w:szCs w:val="32"/>
        </w:rPr>
        <w:t>三级岗C档</w:t>
      </w:r>
    </w:p>
    <w:p>
      <w:pPr>
        <w:snapToGrid w:val="0"/>
        <w:spacing w:line="55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金静菊   办公室宣传岗</w:t>
      </w:r>
      <w:r>
        <w:rPr>
          <w:rFonts w:hint="eastAsia" w:ascii="仿宋_GB2312" w:hAnsi="仿宋_GB2312" w:eastAsia="仿宋_GB2312" w:cs="仿宋_GB2312"/>
          <w:color w:val="000000" w:themeColor="text1"/>
          <w:sz w:val="32"/>
          <w:szCs w:val="32"/>
        </w:rPr>
        <w:t>三级岗C档</w:t>
      </w:r>
    </w:p>
    <w:p>
      <w:pPr>
        <w:snapToGrid w:val="0"/>
        <w:spacing w:line="55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管  军   区市场监督管理局湖塘分局分局长</w:t>
      </w:r>
    </w:p>
    <w:p>
      <w:pPr>
        <w:snapToGrid w:val="0"/>
        <w:spacing w:line="55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rPr>
        <w:t>张  辉   自然资源和规划所所长</w:t>
      </w:r>
    </w:p>
    <w:p>
      <w:pPr>
        <w:snapToGrid w:val="0"/>
        <w:spacing w:line="55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张志伟   湖塘派出所所长</w:t>
      </w:r>
    </w:p>
    <w:p>
      <w:pPr>
        <w:snapToGrid w:val="0"/>
        <w:spacing w:line="55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陆俊健   马杭派出所所长</w:t>
      </w:r>
    </w:p>
    <w:p>
      <w:pPr>
        <w:snapToGrid w:val="0"/>
        <w:spacing w:line="55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王恒山   鸣凰派出所所长</w:t>
      </w:r>
    </w:p>
    <w:p>
      <w:pPr>
        <w:snapToGrid w:val="0"/>
        <w:spacing w:line="550" w:lineRule="exact"/>
        <w:ind w:firstLine="640" w:firstLineChars="200"/>
        <w:rPr>
          <w:rFonts w:eastAsia="仿宋_GB2312"/>
          <w:sz w:val="32"/>
          <w:szCs w:val="32"/>
        </w:rPr>
      </w:pPr>
      <w:r>
        <w:rPr>
          <w:rFonts w:eastAsia="仿宋_GB2312"/>
          <w:sz w:val="32"/>
          <w:szCs w:val="32"/>
        </w:rPr>
        <w:t>领导小组</w:t>
      </w:r>
      <w:r>
        <w:rPr>
          <w:rFonts w:hint="eastAsia" w:eastAsia="仿宋_GB2312"/>
          <w:sz w:val="32"/>
          <w:szCs w:val="32"/>
        </w:rPr>
        <w:t>下设办公室，</w:t>
      </w:r>
      <w:r>
        <w:rPr>
          <w:rFonts w:eastAsia="仿宋_GB2312"/>
          <w:sz w:val="32"/>
          <w:szCs w:val="32"/>
        </w:rPr>
        <w:t>办公室设在</w:t>
      </w:r>
      <w:r>
        <w:rPr>
          <w:rFonts w:hint="eastAsia" w:eastAsia="仿宋_GB2312"/>
          <w:sz w:val="32"/>
          <w:szCs w:val="32"/>
        </w:rPr>
        <w:t>农村工作局农业农技岗</w:t>
      </w:r>
      <w:r>
        <w:rPr>
          <w:rFonts w:eastAsia="仿宋_GB2312"/>
          <w:sz w:val="32"/>
          <w:szCs w:val="32"/>
        </w:rPr>
        <w:t>，由</w:t>
      </w:r>
      <w:r>
        <w:rPr>
          <w:rFonts w:hint="eastAsia" w:eastAsia="仿宋_GB2312"/>
          <w:sz w:val="32"/>
          <w:szCs w:val="32"/>
        </w:rPr>
        <w:t>吴真一同志</w:t>
      </w:r>
      <w:r>
        <w:rPr>
          <w:rFonts w:eastAsia="仿宋_GB2312"/>
          <w:sz w:val="32"/>
          <w:szCs w:val="32"/>
        </w:rPr>
        <w:t>兼任办公室主任。</w:t>
      </w:r>
    </w:p>
    <w:p>
      <w:pPr>
        <w:snapToGrid w:val="0"/>
        <w:spacing w:line="550" w:lineRule="exact"/>
        <w:ind w:firstLine="640" w:firstLineChars="200"/>
        <w:rPr>
          <w:rFonts w:eastAsia="黑体"/>
          <w:sz w:val="32"/>
          <w:szCs w:val="32"/>
        </w:rPr>
      </w:pPr>
      <w:r>
        <w:rPr>
          <w:rFonts w:hAnsi="黑体" w:eastAsia="黑体"/>
          <w:sz w:val="32"/>
          <w:szCs w:val="32"/>
        </w:rPr>
        <w:t>二、职责分工</w:t>
      </w:r>
    </w:p>
    <w:p>
      <w:pPr>
        <w:snapToGrid w:val="0"/>
        <w:spacing w:line="550" w:lineRule="exact"/>
        <w:ind w:firstLine="640" w:firstLineChars="200"/>
        <w:rPr>
          <w:rFonts w:eastAsia="仿宋_GB2312"/>
          <w:sz w:val="32"/>
          <w:szCs w:val="32"/>
        </w:rPr>
      </w:pPr>
      <w:r>
        <w:rPr>
          <w:rFonts w:eastAsia="楷体_GB2312"/>
          <w:sz w:val="32"/>
          <w:szCs w:val="32"/>
        </w:rPr>
        <w:t>领导小组：</w:t>
      </w:r>
      <w:r>
        <w:rPr>
          <w:rFonts w:eastAsia="仿宋_GB2312"/>
          <w:sz w:val="32"/>
          <w:szCs w:val="32"/>
        </w:rPr>
        <w:t>负责统筹组织开展我</w:t>
      </w:r>
      <w:r>
        <w:rPr>
          <w:rFonts w:hint="eastAsia" w:eastAsia="仿宋_GB2312"/>
          <w:sz w:val="32"/>
          <w:szCs w:val="32"/>
        </w:rPr>
        <w:t>镇</w:t>
      </w:r>
      <w:r>
        <w:rPr>
          <w:rFonts w:eastAsia="仿宋_GB2312"/>
          <w:sz w:val="32"/>
          <w:szCs w:val="32"/>
        </w:rPr>
        <w:t>“大棚房”问题专项清理整治行动“回头看”工作，准确把握政策界限，研究制定“回头看”实施方案和有关措施，协调解决“回头看”中的重大事项和问题，研究部署有关工作。</w:t>
      </w:r>
    </w:p>
    <w:p>
      <w:pPr>
        <w:snapToGrid w:val="0"/>
        <w:spacing w:line="550" w:lineRule="exact"/>
        <w:ind w:firstLine="640" w:firstLineChars="200"/>
        <w:rPr>
          <w:rFonts w:eastAsia="仿宋_GB2312"/>
          <w:sz w:val="32"/>
          <w:szCs w:val="32"/>
        </w:rPr>
      </w:pPr>
      <w:r>
        <w:rPr>
          <w:rFonts w:eastAsia="楷体_GB2312"/>
          <w:sz w:val="32"/>
          <w:szCs w:val="32"/>
        </w:rPr>
        <w:t>自然资源</w:t>
      </w:r>
      <w:r>
        <w:rPr>
          <w:rFonts w:hint="eastAsia" w:eastAsia="楷体_GB2312"/>
          <w:sz w:val="32"/>
          <w:szCs w:val="32"/>
        </w:rPr>
        <w:t>与</w:t>
      </w:r>
      <w:r>
        <w:rPr>
          <w:rFonts w:eastAsia="楷体_GB2312"/>
          <w:sz w:val="32"/>
          <w:szCs w:val="32"/>
        </w:rPr>
        <w:t>规划</w:t>
      </w:r>
      <w:r>
        <w:rPr>
          <w:rFonts w:hint="eastAsia" w:eastAsia="楷体_GB2312"/>
          <w:sz w:val="32"/>
          <w:szCs w:val="32"/>
        </w:rPr>
        <w:t>所：</w:t>
      </w:r>
      <w:r>
        <w:rPr>
          <w:rFonts w:eastAsia="仿宋_GB2312"/>
          <w:sz w:val="32"/>
          <w:szCs w:val="32"/>
        </w:rPr>
        <w:t>根据掌握的设施农用地备案信息等台账资料，协同确定排查重点区域和重点对象、甄别违法违规问题等任务。</w:t>
      </w:r>
    </w:p>
    <w:p>
      <w:pPr>
        <w:snapToGrid w:val="0"/>
        <w:spacing w:line="550" w:lineRule="exact"/>
        <w:ind w:firstLine="640" w:firstLineChars="200"/>
        <w:rPr>
          <w:rFonts w:eastAsia="仿宋_GB2312"/>
          <w:sz w:val="32"/>
          <w:szCs w:val="32"/>
        </w:rPr>
      </w:pPr>
      <w:r>
        <w:rPr>
          <w:rFonts w:eastAsia="楷体_GB2312"/>
          <w:sz w:val="32"/>
          <w:szCs w:val="32"/>
        </w:rPr>
        <w:t>办公室</w:t>
      </w:r>
      <w:r>
        <w:rPr>
          <w:rFonts w:hint="eastAsia" w:eastAsia="楷体_GB2312"/>
          <w:sz w:val="32"/>
          <w:szCs w:val="32"/>
        </w:rPr>
        <w:t>综合文秘岗</w:t>
      </w:r>
      <w:r>
        <w:rPr>
          <w:rFonts w:eastAsia="楷体_GB2312"/>
          <w:sz w:val="32"/>
          <w:szCs w:val="32"/>
        </w:rPr>
        <w:t>：</w:t>
      </w:r>
      <w:r>
        <w:rPr>
          <w:rFonts w:eastAsia="仿宋_GB2312"/>
          <w:sz w:val="32"/>
          <w:szCs w:val="32"/>
        </w:rPr>
        <w:t>负责协调推进领导小组日常工作。协调成员单位，督促落实领导小组议定事项；协调推进“回头看”</w:t>
      </w:r>
      <w:r>
        <w:rPr>
          <w:rFonts w:eastAsia="仿宋_GB2312"/>
          <w:sz w:val="32"/>
          <w:szCs w:val="32"/>
          <w:lang w:val="zh-CN"/>
        </w:rPr>
        <w:t>重点</w:t>
      </w:r>
      <w:r>
        <w:rPr>
          <w:rFonts w:eastAsia="仿宋_GB2312"/>
          <w:sz w:val="32"/>
          <w:szCs w:val="32"/>
        </w:rPr>
        <w:t>任务、工作措施和责任分工的组织落实；完成领导小组安排的其他工作。</w:t>
      </w:r>
    </w:p>
    <w:p>
      <w:pPr>
        <w:snapToGrid w:val="0"/>
        <w:spacing w:line="550" w:lineRule="exact"/>
        <w:ind w:firstLine="640" w:firstLineChars="200"/>
        <w:rPr>
          <w:rFonts w:eastAsia="仿宋_GB2312"/>
          <w:sz w:val="32"/>
          <w:szCs w:val="32"/>
        </w:rPr>
      </w:pPr>
      <w:r>
        <w:rPr>
          <w:rFonts w:eastAsia="楷体_GB2312"/>
          <w:sz w:val="32"/>
          <w:szCs w:val="32"/>
        </w:rPr>
        <w:t>办公室宣传</w:t>
      </w:r>
      <w:r>
        <w:rPr>
          <w:rFonts w:hint="eastAsia" w:eastAsia="楷体_GB2312"/>
          <w:sz w:val="32"/>
          <w:szCs w:val="32"/>
        </w:rPr>
        <w:t>岗</w:t>
      </w:r>
      <w:r>
        <w:rPr>
          <w:rFonts w:eastAsia="楷体_GB2312"/>
          <w:sz w:val="32"/>
          <w:szCs w:val="32"/>
        </w:rPr>
        <w:t>：</w:t>
      </w:r>
      <w:r>
        <w:rPr>
          <w:rFonts w:eastAsia="仿宋_GB2312"/>
          <w:sz w:val="32"/>
          <w:szCs w:val="32"/>
        </w:rPr>
        <w:t>负责协调做好有关信息发布、宣传及典型案件媒体曝光工作，</w:t>
      </w:r>
      <w:r>
        <w:rPr>
          <w:rFonts w:hint="eastAsia" w:eastAsia="仿宋_GB2312"/>
          <w:sz w:val="32"/>
          <w:szCs w:val="32"/>
        </w:rPr>
        <w:t>积极对接相关部门，</w:t>
      </w:r>
      <w:r>
        <w:rPr>
          <w:rFonts w:eastAsia="仿宋_GB2312"/>
          <w:sz w:val="32"/>
          <w:szCs w:val="32"/>
        </w:rPr>
        <w:t>加强舆情监测和舆论引导，防止恶意炒作、形成舆论热点。</w:t>
      </w:r>
    </w:p>
    <w:p>
      <w:pPr>
        <w:snapToGrid w:val="0"/>
        <w:spacing w:line="550" w:lineRule="exact"/>
        <w:ind w:firstLine="640" w:firstLineChars="200"/>
        <w:rPr>
          <w:rFonts w:eastAsia="仿宋_GB2312"/>
          <w:sz w:val="32"/>
          <w:szCs w:val="32"/>
        </w:rPr>
      </w:pPr>
      <w:r>
        <w:rPr>
          <w:rFonts w:hint="eastAsia" w:eastAsia="楷体_GB2312"/>
          <w:sz w:val="32"/>
          <w:szCs w:val="32"/>
        </w:rPr>
        <w:t>各派出所</w:t>
      </w:r>
      <w:r>
        <w:rPr>
          <w:rFonts w:eastAsia="楷体_GB2312"/>
          <w:sz w:val="32"/>
          <w:szCs w:val="32"/>
        </w:rPr>
        <w:t>：</w:t>
      </w:r>
      <w:r>
        <w:rPr>
          <w:rFonts w:eastAsia="仿宋_GB2312"/>
          <w:sz w:val="32"/>
          <w:szCs w:val="32"/>
        </w:rPr>
        <w:t>负责依法打击破坏土地资源犯罪行为，及时妥善处置与“大棚房</w:t>
      </w:r>
      <w:r>
        <w:rPr>
          <w:rFonts w:eastAsia="仿宋_GB2312"/>
          <w:sz w:val="32"/>
          <w:szCs w:val="32"/>
          <w:lang w:val="zh-CN"/>
        </w:rPr>
        <w:t>”问</w:t>
      </w:r>
      <w:r>
        <w:rPr>
          <w:rFonts w:eastAsia="仿宋_GB2312"/>
          <w:sz w:val="32"/>
          <w:szCs w:val="32"/>
        </w:rPr>
        <w:t>题有关的突发事件，维护社会稳定。</w:t>
      </w:r>
    </w:p>
    <w:p>
      <w:pPr>
        <w:snapToGrid w:val="0"/>
        <w:spacing w:line="550" w:lineRule="exact"/>
        <w:ind w:firstLine="640" w:firstLineChars="200"/>
        <w:rPr>
          <w:rFonts w:eastAsia="仿宋_GB2312"/>
          <w:sz w:val="32"/>
          <w:szCs w:val="32"/>
        </w:rPr>
      </w:pPr>
      <w:r>
        <w:rPr>
          <w:rFonts w:hint="eastAsia" w:eastAsia="楷体_GB2312"/>
          <w:sz w:val="32"/>
          <w:szCs w:val="32"/>
        </w:rPr>
        <w:t>财政和资产管理局</w:t>
      </w:r>
      <w:r>
        <w:rPr>
          <w:rFonts w:eastAsia="楷体_GB2312"/>
          <w:sz w:val="32"/>
          <w:szCs w:val="32"/>
        </w:rPr>
        <w:t>：</w:t>
      </w:r>
      <w:r>
        <w:rPr>
          <w:rFonts w:eastAsia="仿宋_GB2312"/>
          <w:sz w:val="32"/>
          <w:szCs w:val="32"/>
        </w:rPr>
        <w:t>参与做好“大棚房”问题中骗取涉农资金补助、改变农业设施用途的项目财政补助资金追回工作，加强财政涉农资金的使用监管。</w:t>
      </w:r>
    </w:p>
    <w:p>
      <w:pPr>
        <w:snapToGrid w:val="0"/>
        <w:spacing w:line="550" w:lineRule="exact"/>
        <w:ind w:firstLine="640" w:firstLineChars="200"/>
        <w:rPr>
          <w:rFonts w:eastAsia="仿宋_GB2312"/>
          <w:sz w:val="32"/>
          <w:szCs w:val="32"/>
        </w:rPr>
      </w:pPr>
      <w:r>
        <w:rPr>
          <w:rFonts w:hint="eastAsia" w:eastAsia="楷体_GB2312"/>
          <w:sz w:val="32"/>
          <w:szCs w:val="32"/>
        </w:rPr>
        <w:t>综合行政执法局</w:t>
      </w:r>
      <w:r>
        <w:rPr>
          <w:rFonts w:eastAsia="楷体_GB2312"/>
          <w:sz w:val="32"/>
          <w:szCs w:val="32"/>
        </w:rPr>
        <w:t>：</w:t>
      </w:r>
      <w:r>
        <w:rPr>
          <w:rFonts w:eastAsia="仿宋_GB2312"/>
          <w:sz w:val="32"/>
          <w:szCs w:val="32"/>
        </w:rPr>
        <w:t>负责指导属地做好村庄规划建设用地范围内违法违规建设“大棚房”问题的查处。</w:t>
      </w:r>
    </w:p>
    <w:p>
      <w:pPr>
        <w:snapToGrid w:val="0"/>
        <w:spacing w:line="550" w:lineRule="exact"/>
        <w:ind w:firstLine="640" w:firstLineChars="200"/>
        <w:rPr>
          <w:rFonts w:eastAsia="仿宋_GB2312"/>
          <w:sz w:val="32"/>
          <w:szCs w:val="32"/>
        </w:rPr>
      </w:pPr>
      <w:r>
        <w:rPr>
          <w:rFonts w:eastAsia="楷体_GB2312"/>
          <w:sz w:val="32"/>
          <w:szCs w:val="32"/>
        </w:rPr>
        <w:t>农</w:t>
      </w:r>
      <w:r>
        <w:rPr>
          <w:rFonts w:hint="eastAsia" w:eastAsia="楷体_GB2312"/>
          <w:sz w:val="32"/>
          <w:szCs w:val="32"/>
        </w:rPr>
        <w:t>村工作</w:t>
      </w:r>
      <w:r>
        <w:rPr>
          <w:rFonts w:eastAsia="楷体_GB2312"/>
          <w:sz w:val="32"/>
          <w:szCs w:val="32"/>
        </w:rPr>
        <w:t>局：</w:t>
      </w:r>
      <w:r>
        <w:rPr>
          <w:rFonts w:eastAsia="仿宋_GB2312"/>
          <w:sz w:val="32"/>
          <w:szCs w:val="32"/>
        </w:rPr>
        <w:t>做好排查计划制定、设施类型判别、财政项目补助梳理等工作，牵头做好违法违规问题甄别等任务。</w:t>
      </w:r>
    </w:p>
    <w:p>
      <w:pPr>
        <w:snapToGrid w:val="0"/>
        <w:spacing w:line="550" w:lineRule="exact"/>
        <w:ind w:firstLine="640" w:firstLineChars="200"/>
        <w:rPr>
          <w:rFonts w:eastAsia="楷体_GB2312"/>
          <w:sz w:val="32"/>
          <w:szCs w:val="32"/>
        </w:rPr>
      </w:pPr>
      <w:r>
        <w:rPr>
          <w:rFonts w:hint="eastAsia" w:eastAsia="楷体_GB2312"/>
          <w:sz w:val="32"/>
          <w:szCs w:val="32"/>
        </w:rPr>
        <w:t>区市场监督管理局湖塘分局</w:t>
      </w:r>
      <w:r>
        <w:rPr>
          <w:rFonts w:eastAsia="楷体_GB2312"/>
          <w:sz w:val="32"/>
          <w:szCs w:val="32"/>
        </w:rPr>
        <w:t>：</w:t>
      </w:r>
      <w:r>
        <w:rPr>
          <w:rFonts w:eastAsia="仿宋_GB2312"/>
          <w:sz w:val="32"/>
          <w:szCs w:val="32"/>
        </w:rPr>
        <w:t>负责依法查处涉及</w:t>
      </w:r>
      <w:r>
        <w:rPr>
          <w:rFonts w:eastAsia="仿宋_GB2312"/>
          <w:sz w:val="32"/>
          <w:szCs w:val="32"/>
          <w:lang w:val="zh-CN"/>
        </w:rPr>
        <w:t>“大</w:t>
      </w:r>
      <w:r>
        <w:rPr>
          <w:rFonts w:eastAsia="仿宋_GB2312"/>
          <w:sz w:val="32"/>
          <w:szCs w:val="32"/>
        </w:rPr>
        <w:t>棚房”问题的广告、互联网虚假宣传等行为。</w:t>
      </w:r>
    </w:p>
    <w:p>
      <w:pPr>
        <w:snapToGrid w:val="0"/>
        <w:spacing w:line="550" w:lineRule="exact"/>
        <w:ind w:firstLine="640" w:firstLineChars="200"/>
        <w:rPr>
          <w:rFonts w:eastAsia="黑体"/>
          <w:sz w:val="32"/>
          <w:szCs w:val="32"/>
        </w:rPr>
      </w:pPr>
      <w:r>
        <w:rPr>
          <w:rFonts w:hAnsi="黑体" w:eastAsia="黑体"/>
          <w:sz w:val="32"/>
          <w:szCs w:val="32"/>
        </w:rPr>
        <w:t>三、工作规则</w:t>
      </w:r>
    </w:p>
    <w:p>
      <w:pPr>
        <w:snapToGrid w:val="0"/>
        <w:spacing w:line="550" w:lineRule="exact"/>
        <w:ind w:firstLine="640" w:firstLineChars="200"/>
        <w:rPr>
          <w:rFonts w:eastAsia="仿宋_GB2312"/>
          <w:sz w:val="32"/>
          <w:szCs w:val="32"/>
        </w:rPr>
      </w:pPr>
      <w:r>
        <w:rPr>
          <w:rFonts w:eastAsia="仿宋_GB2312"/>
          <w:sz w:val="32"/>
          <w:szCs w:val="32"/>
        </w:rPr>
        <w:t>协调推进小组根据需要不定期召开会议，由组长召集，也可由组长委托副组长召集。会议以纪要形式明确会议议定事项。</w:t>
      </w:r>
    </w:p>
    <w:p>
      <w:pPr>
        <w:snapToGrid w:val="0"/>
        <w:spacing w:line="550" w:lineRule="exact"/>
        <w:ind w:firstLine="640" w:firstLineChars="200"/>
        <w:rPr>
          <w:rFonts w:eastAsia="仿宋_GB2312"/>
          <w:sz w:val="32"/>
          <w:szCs w:val="32"/>
        </w:rPr>
      </w:pPr>
      <w:r>
        <w:rPr>
          <w:rFonts w:eastAsia="仿宋_GB2312"/>
          <w:sz w:val="32"/>
          <w:szCs w:val="32"/>
        </w:rPr>
        <w:t>协调推进小组成员如有变动，由成员单位自行调整，并报协调推进小组办公室备案，不再另行发文。</w:t>
      </w:r>
    </w:p>
    <w:p>
      <w:pPr>
        <w:snapToGrid w:val="0"/>
        <w:spacing w:line="550" w:lineRule="exact"/>
        <w:ind w:firstLine="640" w:firstLineChars="200"/>
        <w:rPr>
          <w:rFonts w:eastAsia="仿宋_GB2312"/>
          <w:sz w:val="32"/>
          <w:szCs w:val="32"/>
        </w:rPr>
      </w:pPr>
      <w:r>
        <w:rPr>
          <w:rFonts w:eastAsia="仿宋_GB2312"/>
          <w:sz w:val="32"/>
          <w:szCs w:val="32"/>
        </w:rPr>
        <w:t>该项工作完成后，领导小组自行撤销。</w:t>
      </w:r>
    </w:p>
    <w:p>
      <w:pPr>
        <w:spacing w:line="560" w:lineRule="exact"/>
        <w:rPr>
          <w:rFonts w:hAnsi="黑体" w:eastAsia="黑体"/>
          <w:sz w:val="32"/>
          <w:szCs w:val="32"/>
        </w:rPr>
      </w:pPr>
    </w:p>
    <w:p>
      <w:pPr>
        <w:spacing w:line="560" w:lineRule="exact"/>
        <w:rPr>
          <w:rFonts w:hAnsi="黑体" w:eastAsia="黑体"/>
          <w:sz w:val="32"/>
          <w:szCs w:val="32"/>
        </w:rPr>
      </w:pPr>
    </w:p>
    <w:p>
      <w:pPr>
        <w:spacing w:line="560" w:lineRule="exact"/>
        <w:rPr>
          <w:rFonts w:hAnsi="黑体" w:eastAsia="黑体"/>
          <w:sz w:val="32"/>
          <w:szCs w:val="32"/>
        </w:rPr>
      </w:pPr>
    </w:p>
    <w:p>
      <w:pPr>
        <w:spacing w:line="560" w:lineRule="exact"/>
        <w:rPr>
          <w:rFonts w:hAnsi="黑体" w:eastAsia="黑体"/>
          <w:sz w:val="32"/>
          <w:szCs w:val="32"/>
        </w:rPr>
      </w:pPr>
    </w:p>
    <w:p>
      <w:pPr>
        <w:spacing w:line="560" w:lineRule="exact"/>
        <w:rPr>
          <w:rFonts w:hAnsi="黑体" w:eastAsia="黑体"/>
          <w:sz w:val="32"/>
          <w:szCs w:val="32"/>
        </w:rPr>
      </w:pPr>
    </w:p>
    <w:p>
      <w:pPr>
        <w:spacing w:line="560" w:lineRule="exact"/>
        <w:rPr>
          <w:rFonts w:hAnsi="黑体" w:eastAsia="黑体"/>
          <w:sz w:val="32"/>
          <w:szCs w:val="32"/>
        </w:rPr>
      </w:pPr>
    </w:p>
    <w:p>
      <w:pPr>
        <w:spacing w:line="560" w:lineRule="exact"/>
        <w:rPr>
          <w:rFonts w:hAnsi="黑体" w:eastAsia="黑体"/>
          <w:sz w:val="32"/>
          <w:szCs w:val="32"/>
        </w:rPr>
      </w:pPr>
    </w:p>
    <w:p>
      <w:pPr>
        <w:spacing w:line="560" w:lineRule="exact"/>
        <w:rPr>
          <w:rFonts w:hAnsi="黑体" w:eastAsia="黑体"/>
          <w:sz w:val="32"/>
          <w:szCs w:val="32"/>
        </w:rPr>
      </w:pPr>
    </w:p>
    <w:p>
      <w:pPr>
        <w:spacing w:line="560" w:lineRule="exact"/>
        <w:rPr>
          <w:rFonts w:hAnsi="黑体" w:eastAsia="黑体"/>
          <w:sz w:val="32"/>
          <w:szCs w:val="32"/>
        </w:rPr>
      </w:pPr>
    </w:p>
    <w:p>
      <w:pPr>
        <w:rPr>
          <w:rFonts w:hAnsi="黑体" w:eastAsia="黑体"/>
          <w:sz w:val="32"/>
          <w:szCs w:val="32"/>
        </w:rPr>
      </w:pPr>
      <w:r>
        <w:rPr>
          <w:rFonts w:hAnsi="黑体" w:eastAsia="黑体"/>
          <w:sz w:val="32"/>
          <w:szCs w:val="32"/>
        </w:rPr>
        <w:br w:type="page"/>
      </w:r>
    </w:p>
    <w:p>
      <w:pPr>
        <w:spacing w:line="560" w:lineRule="exact"/>
        <w:rPr>
          <w:rFonts w:eastAsia="黑体"/>
          <w:sz w:val="32"/>
          <w:szCs w:val="32"/>
        </w:rPr>
      </w:pPr>
      <w:r>
        <w:rPr>
          <w:rFonts w:hAnsi="黑体" w:eastAsia="黑体"/>
          <w:sz w:val="32"/>
          <w:szCs w:val="32"/>
        </w:rPr>
        <w:t>附件</w:t>
      </w:r>
      <w:r>
        <w:rPr>
          <w:rFonts w:eastAsia="黑体"/>
          <w:sz w:val="32"/>
          <w:szCs w:val="32"/>
        </w:rPr>
        <w:t>2</w:t>
      </w:r>
    </w:p>
    <w:p>
      <w:pPr>
        <w:spacing w:line="560" w:lineRule="exact"/>
        <w:jc w:val="center"/>
        <w:rPr>
          <w:rFonts w:eastAsia="方正小标宋简体"/>
          <w:sz w:val="36"/>
          <w:szCs w:val="36"/>
        </w:rPr>
      </w:pPr>
      <w:r>
        <w:rPr>
          <w:rFonts w:eastAsia="方正小标宋简体"/>
          <w:sz w:val="36"/>
          <w:szCs w:val="36"/>
        </w:rPr>
        <w:t>2021年</w:t>
      </w:r>
      <w:r>
        <w:rPr>
          <w:rFonts w:hint="eastAsia" w:eastAsia="方正小标宋简体"/>
          <w:sz w:val="36"/>
          <w:szCs w:val="36"/>
        </w:rPr>
        <w:t>湖塘镇</w:t>
      </w:r>
      <w:r>
        <w:rPr>
          <w:rFonts w:eastAsia="方正小标宋简体"/>
          <w:sz w:val="36"/>
          <w:szCs w:val="36"/>
        </w:rPr>
        <w:t>设施农用地使用核查报告编制要点</w:t>
      </w:r>
    </w:p>
    <w:p>
      <w:pPr>
        <w:spacing w:line="560" w:lineRule="exact"/>
        <w:ind w:firstLine="540" w:firstLineChars="150"/>
        <w:rPr>
          <w:rFonts w:eastAsia="仿宋_GB2312"/>
          <w:sz w:val="36"/>
          <w:szCs w:val="36"/>
        </w:rPr>
      </w:pPr>
    </w:p>
    <w:p>
      <w:pPr>
        <w:spacing w:line="560" w:lineRule="exact"/>
        <w:ind w:firstLine="640" w:firstLineChars="200"/>
        <w:rPr>
          <w:rFonts w:eastAsia="黑体"/>
          <w:sz w:val="44"/>
          <w:szCs w:val="44"/>
        </w:rPr>
      </w:pPr>
      <w:r>
        <w:rPr>
          <w:rFonts w:hAnsi="黑体" w:eastAsia="黑体"/>
          <w:sz w:val="32"/>
          <w:szCs w:val="32"/>
        </w:rPr>
        <w:t>一、生产经营概况</w:t>
      </w:r>
    </w:p>
    <w:p>
      <w:pPr>
        <w:spacing w:line="560" w:lineRule="exact"/>
        <w:ind w:firstLine="640" w:firstLineChars="200"/>
        <w:rPr>
          <w:rFonts w:eastAsia="黑体"/>
          <w:sz w:val="44"/>
          <w:szCs w:val="44"/>
        </w:rPr>
      </w:pPr>
      <w:r>
        <w:rPr>
          <w:rFonts w:eastAsia="仿宋_GB2312"/>
          <w:sz w:val="32"/>
          <w:szCs w:val="32"/>
        </w:rPr>
        <w:t>包括生产经营主体名称、位置（具体到村）、法人姓名、生产经营范围、生产农产品类型、生产总面积、设施农用地批复面积、批复备案编号等。</w:t>
      </w:r>
    </w:p>
    <w:p>
      <w:pPr>
        <w:spacing w:line="560" w:lineRule="exact"/>
        <w:ind w:firstLine="640" w:firstLineChars="200"/>
        <w:rPr>
          <w:rFonts w:eastAsia="黑体"/>
          <w:sz w:val="32"/>
          <w:szCs w:val="32"/>
        </w:rPr>
      </w:pPr>
      <w:r>
        <w:rPr>
          <w:rFonts w:hAnsi="黑体" w:eastAsia="黑体"/>
          <w:sz w:val="32"/>
          <w:szCs w:val="32"/>
        </w:rPr>
        <w:t>二、占用永久基本农田情况</w:t>
      </w:r>
    </w:p>
    <w:p>
      <w:pPr>
        <w:spacing w:line="560" w:lineRule="exact"/>
        <w:ind w:firstLine="640" w:firstLineChars="200"/>
        <w:rPr>
          <w:rFonts w:eastAsia="黑体"/>
          <w:sz w:val="32"/>
          <w:szCs w:val="32"/>
        </w:rPr>
      </w:pPr>
      <w:r>
        <w:rPr>
          <w:rFonts w:eastAsia="仿宋_GB2312"/>
          <w:sz w:val="32"/>
          <w:szCs w:val="32"/>
        </w:rPr>
        <w:t>是否占用永久基本农田；具体占用面积是多少。</w:t>
      </w:r>
    </w:p>
    <w:p>
      <w:pPr>
        <w:spacing w:line="560" w:lineRule="exact"/>
        <w:ind w:firstLine="640" w:firstLineChars="200"/>
        <w:rPr>
          <w:rFonts w:eastAsia="黑体"/>
          <w:sz w:val="32"/>
          <w:szCs w:val="32"/>
        </w:rPr>
      </w:pPr>
      <w:r>
        <w:rPr>
          <w:rFonts w:hAnsi="黑体" w:eastAsia="黑体"/>
          <w:sz w:val="32"/>
          <w:szCs w:val="32"/>
        </w:rPr>
        <w:t>三、生产经营现状</w:t>
      </w:r>
    </w:p>
    <w:p>
      <w:pPr>
        <w:spacing w:line="560" w:lineRule="exact"/>
        <w:ind w:firstLine="640" w:firstLineChars="200"/>
        <w:rPr>
          <w:rFonts w:eastAsia="黑体"/>
          <w:sz w:val="32"/>
          <w:szCs w:val="32"/>
        </w:rPr>
      </w:pPr>
      <w:r>
        <w:rPr>
          <w:rFonts w:eastAsia="仿宋_GB2312"/>
          <w:sz w:val="32"/>
          <w:szCs w:val="32"/>
        </w:rPr>
        <w:t>生产经营行为是否已发生变更；实际建设是否与批复一致；照片5张：营业执照1张，设施农用地现场照4张（室内、室外各2张）。</w:t>
      </w:r>
    </w:p>
    <w:p>
      <w:pPr>
        <w:spacing w:line="560" w:lineRule="exact"/>
        <w:ind w:firstLine="640" w:firstLineChars="200"/>
        <w:rPr>
          <w:rFonts w:eastAsia="仿宋_GB2312"/>
          <w:sz w:val="32"/>
          <w:szCs w:val="32"/>
        </w:rPr>
      </w:pPr>
      <w:r>
        <w:rPr>
          <w:rFonts w:hAnsi="黑体" w:eastAsia="黑体"/>
          <w:sz w:val="32"/>
          <w:szCs w:val="32"/>
        </w:rPr>
        <w:t>四、是否属于</w:t>
      </w:r>
      <w:r>
        <w:rPr>
          <w:rFonts w:eastAsia="黑体"/>
          <w:sz w:val="32"/>
          <w:szCs w:val="32"/>
        </w:rPr>
        <w:t>“</w:t>
      </w:r>
      <w:r>
        <w:rPr>
          <w:rFonts w:hAnsi="黑体" w:eastAsia="黑体"/>
          <w:sz w:val="32"/>
          <w:szCs w:val="32"/>
        </w:rPr>
        <w:t>大棚房</w:t>
      </w:r>
      <w:r>
        <w:rPr>
          <w:rFonts w:eastAsia="黑体"/>
          <w:sz w:val="32"/>
          <w:szCs w:val="32"/>
        </w:rPr>
        <w:t>”</w:t>
      </w:r>
    </w:p>
    <w:p>
      <w:pPr>
        <w:spacing w:line="560" w:lineRule="exact"/>
        <w:ind w:firstLine="640" w:firstLineChars="200"/>
        <w:rPr>
          <w:rFonts w:eastAsia="仿宋_GB2312"/>
          <w:sz w:val="32"/>
          <w:szCs w:val="32"/>
        </w:rPr>
      </w:pPr>
      <w:r>
        <w:rPr>
          <w:rFonts w:eastAsia="仿宋_GB2312"/>
          <w:sz w:val="32"/>
          <w:szCs w:val="32"/>
        </w:rPr>
        <w:t>给出具体判定，是否属于“大棚房”，以及属于“大棚房”的哪一类问题。</w:t>
      </w:r>
    </w:p>
    <w:p>
      <w:pPr>
        <w:spacing w:line="560" w:lineRule="exact"/>
        <w:ind w:firstLine="640" w:firstLineChars="200"/>
        <w:rPr>
          <w:rFonts w:eastAsia="仿宋_GB2312"/>
          <w:sz w:val="32"/>
          <w:szCs w:val="32"/>
        </w:rPr>
      </w:pPr>
      <w:r>
        <w:rPr>
          <w:rFonts w:eastAsia="仿宋_GB2312"/>
          <w:sz w:val="32"/>
          <w:szCs w:val="32"/>
        </w:rPr>
        <w:t>“大棚房”问题专项清理整治行动“回头看”重点聚焦三类问题，一是以设施农业为名占用耕地违法违规建设与农业发展无关的设施；二是在农业大棚内违法违规占用耕地建设住宅、餐饮、娱乐等非农设施；三是农业大棚看护房建设面积严重超标准</w:t>
      </w:r>
      <w:r>
        <w:rPr>
          <w:rFonts w:hint="eastAsia" w:eastAsia="仿宋_GB2312"/>
          <w:sz w:val="32"/>
          <w:szCs w:val="32"/>
        </w:rPr>
        <w:t>（</w:t>
      </w:r>
      <w:r>
        <w:rPr>
          <w:rFonts w:eastAsia="仿宋_GB2312"/>
          <w:sz w:val="32"/>
          <w:szCs w:val="32"/>
        </w:rPr>
        <w:t>参照《自然资源部、农业农村部关于设施农业用地管理有关问题的通知》</w:t>
      </w:r>
      <w:r>
        <w:rPr>
          <w:rFonts w:hint="eastAsia" w:eastAsia="仿宋_GB2312"/>
          <w:sz w:val="32"/>
          <w:szCs w:val="32"/>
        </w:rPr>
        <w:t>（</w:t>
      </w:r>
      <w:r>
        <w:rPr>
          <w:rFonts w:eastAsia="仿宋_GB2312"/>
          <w:sz w:val="32"/>
          <w:szCs w:val="32"/>
        </w:rPr>
        <w:t>自然资规〔2019〕4号</w:t>
      </w:r>
      <w:r>
        <w:rPr>
          <w:rFonts w:hint="eastAsia" w:eastAsia="仿宋_GB2312"/>
          <w:sz w:val="32"/>
          <w:szCs w:val="32"/>
        </w:rPr>
        <w:t>））</w:t>
      </w:r>
      <w:r>
        <w:rPr>
          <w:rFonts w:eastAsia="仿宋_GB2312"/>
          <w:sz w:val="32"/>
          <w:szCs w:val="32"/>
        </w:rPr>
        <w:t>。</w:t>
      </w:r>
    </w:p>
    <w:p>
      <w:pPr>
        <w:spacing w:line="560" w:lineRule="exact"/>
        <w:ind w:firstLine="640" w:firstLineChars="200"/>
        <w:rPr>
          <w:rFonts w:eastAsia="黑体"/>
          <w:sz w:val="32"/>
          <w:szCs w:val="32"/>
        </w:rPr>
      </w:pPr>
      <w:r>
        <w:rPr>
          <w:rFonts w:hAnsi="黑体" w:eastAsia="黑体"/>
          <w:sz w:val="32"/>
          <w:szCs w:val="32"/>
        </w:rPr>
        <w:t>五、核查范围</w:t>
      </w:r>
    </w:p>
    <w:p>
      <w:pPr>
        <w:spacing w:line="560" w:lineRule="exact"/>
        <w:ind w:firstLine="640" w:firstLineChars="200"/>
        <w:rPr>
          <w:rFonts w:eastAsia="仿宋_GB2312"/>
          <w:sz w:val="32"/>
          <w:szCs w:val="32"/>
        </w:rPr>
      </w:pPr>
      <w:bookmarkStart w:id="40" w:name="_GoBack"/>
      <w:r>
        <w:rPr>
          <w:rFonts w:eastAsia="仿宋_GB2312"/>
          <w:sz w:val="32"/>
          <w:szCs w:val="32"/>
        </w:rPr>
        <w:t>1</w:t>
      </w:r>
      <w:bookmarkEnd w:id="40"/>
      <w:r>
        <w:rPr>
          <w:rFonts w:hint="eastAsia" w:eastAsia="仿宋_GB2312"/>
          <w:sz w:val="32"/>
          <w:szCs w:val="32"/>
        </w:rPr>
        <w:t>、</w:t>
      </w:r>
      <w:r>
        <w:rPr>
          <w:rFonts w:eastAsia="仿宋_GB2312"/>
          <w:sz w:val="32"/>
          <w:szCs w:val="32"/>
        </w:rPr>
        <w:t>2015年以来备案的所有设施农用地；</w:t>
      </w:r>
    </w:p>
    <w:p>
      <w:pPr>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2015年前有档案记录的设施农用地；</w:t>
      </w:r>
    </w:p>
    <w:p>
      <w:pPr>
        <w:spacing w:line="56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无手续但存在疑似情况的设施农用地；</w:t>
      </w:r>
    </w:p>
    <w:p>
      <w:pPr>
        <w:spacing w:line="56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村级秸秆堆场。</w:t>
      </w:r>
    </w:p>
    <w:p>
      <w:pPr>
        <w:spacing w:line="560" w:lineRule="exact"/>
        <w:ind w:firstLine="640" w:firstLineChars="200"/>
        <w:rPr>
          <w:rFonts w:eastAsia="仿宋_GB2312"/>
          <w:sz w:val="32"/>
          <w:szCs w:val="32"/>
        </w:rPr>
      </w:pPr>
    </w:p>
    <w:p>
      <w:pPr>
        <w:spacing w:line="560" w:lineRule="exact"/>
        <w:ind w:right="560" w:firstLine="640" w:firstLineChars="200"/>
        <w:rPr>
          <w:rFonts w:eastAsia="仿宋_GB2312"/>
          <w:sz w:val="32"/>
          <w:szCs w:val="32"/>
        </w:rPr>
      </w:pPr>
      <w:r>
        <w:rPr>
          <w:rFonts w:eastAsia="仿宋_GB2312"/>
          <w:sz w:val="32"/>
          <w:szCs w:val="32"/>
        </w:rPr>
        <w:t>核查人员姓名：</w:t>
      </w:r>
    </w:p>
    <w:p>
      <w:pPr>
        <w:spacing w:line="560" w:lineRule="exact"/>
        <w:ind w:right="560" w:firstLine="640" w:firstLineChars="200"/>
        <w:rPr>
          <w:rFonts w:eastAsia="仿宋_GB2312"/>
          <w:sz w:val="32"/>
          <w:szCs w:val="32"/>
        </w:rPr>
      </w:pPr>
      <w:r>
        <w:rPr>
          <w:rFonts w:eastAsia="仿宋_GB2312"/>
          <w:sz w:val="32"/>
          <w:szCs w:val="32"/>
        </w:rPr>
        <w:t>镇</w:t>
      </w:r>
      <w:r>
        <w:rPr>
          <w:rFonts w:hint="eastAsia" w:eastAsia="仿宋_GB2312"/>
          <w:sz w:val="32"/>
          <w:szCs w:val="32"/>
        </w:rPr>
        <w:t>政府</w:t>
      </w:r>
      <w:r>
        <w:rPr>
          <w:rFonts w:eastAsia="仿宋_GB2312"/>
          <w:sz w:val="32"/>
          <w:szCs w:val="32"/>
        </w:rPr>
        <w:t xml:space="preserve">盖章：                                    </w:t>
      </w: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kern w:val="0"/>
          <w:sz w:val="32"/>
          <w:szCs w:val="32"/>
        </w:rPr>
      </w:pPr>
      <w:r>
        <w:rPr>
          <w:rFonts w:eastAsia="仿宋_GB2312"/>
          <w:sz w:val="32"/>
          <w:szCs w:val="32"/>
        </w:rPr>
        <w:t>核查时间：        年   月   日</w:t>
      </w:r>
    </w:p>
    <w:p/>
    <w:p>
      <w:pPr>
        <w:spacing w:line="560" w:lineRule="exact"/>
        <w:ind w:firstLine="1050" w:firstLineChars="500"/>
        <w:rPr>
          <w:rFonts w:eastAsia="仿宋_GB2312"/>
        </w:rPr>
        <w:sectPr>
          <w:headerReference r:id="rId3" w:type="default"/>
          <w:footerReference r:id="rId5" w:type="default"/>
          <w:headerReference r:id="rId4" w:type="even"/>
          <w:footerReference r:id="rId6" w:type="even"/>
          <w:pgSz w:w="11900" w:h="16840"/>
          <w:pgMar w:top="1985" w:right="1474" w:bottom="1701" w:left="1588" w:header="851" w:footer="992" w:gutter="0"/>
          <w:pgNumType w:fmt="numberInDash"/>
          <w:cols w:space="0" w:num="1"/>
          <w:docGrid w:linePitch="360" w:charSpace="0"/>
        </w:sectPr>
      </w:pPr>
    </w:p>
    <w:p>
      <w:pPr>
        <w:spacing w:line="560" w:lineRule="exact"/>
        <w:rPr>
          <w:rFonts w:eastAsia="黑体"/>
          <w:sz w:val="32"/>
          <w:szCs w:val="32"/>
        </w:rPr>
      </w:pPr>
      <w:r>
        <w:rPr>
          <w:rFonts w:hAnsi="黑体" w:eastAsia="黑体"/>
          <w:sz w:val="32"/>
          <w:szCs w:val="32"/>
        </w:rPr>
        <w:t>附件</w:t>
      </w:r>
      <w:r>
        <w:rPr>
          <w:rFonts w:eastAsia="黑体"/>
          <w:sz w:val="32"/>
          <w:szCs w:val="32"/>
        </w:rPr>
        <w:t>3</w:t>
      </w:r>
    </w:p>
    <w:p>
      <w:pPr>
        <w:jc w:val="center"/>
        <w:rPr>
          <w:rFonts w:ascii="方正小标宋简体" w:eastAsia="方正小标宋简体"/>
          <w:sz w:val="36"/>
          <w:szCs w:val="36"/>
        </w:rPr>
      </w:pPr>
      <w:r>
        <w:rPr>
          <w:rFonts w:hint="eastAsia" w:ascii="方正小标宋简体" w:eastAsia="方正小标宋简体"/>
          <w:sz w:val="36"/>
          <w:szCs w:val="36"/>
        </w:rPr>
        <w:t>2021年湖塘镇设施农用地使用核查汇总表</w:t>
      </w:r>
    </w:p>
    <w:p>
      <w:pPr>
        <w:jc w:val="center"/>
        <w:rPr>
          <w:sz w:val="36"/>
          <w:szCs w:val="36"/>
        </w:rPr>
      </w:pPr>
    </w:p>
    <w:p>
      <w:pPr>
        <w:ind w:firstLine="280" w:firstLineChars="100"/>
        <w:rPr>
          <w:rFonts w:ascii="黑体" w:hAnsi="黑体" w:eastAsia="黑体"/>
          <w:sz w:val="28"/>
          <w:szCs w:val="28"/>
        </w:rPr>
      </w:pPr>
      <w:r>
        <w:rPr>
          <w:rFonts w:hint="eastAsia" w:ascii="黑体" w:hAnsi="黑体" w:eastAsia="黑体"/>
          <w:sz w:val="28"/>
          <w:szCs w:val="28"/>
        </w:rPr>
        <w:t xml:space="preserve">社区盖章：               社区书记签字：                     </w:t>
      </w:r>
    </w:p>
    <w:p>
      <w:pPr>
        <w:ind w:firstLine="280" w:firstLineChars="100"/>
        <w:rPr>
          <w:rFonts w:ascii="黑体" w:hAnsi="黑体" w:eastAsia="黑体"/>
          <w:sz w:val="28"/>
          <w:szCs w:val="28"/>
        </w:rPr>
      </w:pPr>
      <w:r>
        <w:rPr>
          <w:rFonts w:hint="eastAsia" w:ascii="黑体" w:hAnsi="黑体" w:eastAsia="黑体"/>
          <w:sz w:val="28"/>
          <w:szCs w:val="28"/>
        </w:rPr>
        <w:t>核查人员姓名：               核查时间：     年    月    日</w:t>
      </w:r>
    </w:p>
    <w:tbl>
      <w:tblPr>
        <w:tblStyle w:val="11"/>
        <w:tblW w:w="4998"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86"/>
        <w:gridCol w:w="1218"/>
        <w:gridCol w:w="1292"/>
        <w:gridCol w:w="991"/>
        <w:gridCol w:w="991"/>
        <w:gridCol w:w="1415"/>
        <w:gridCol w:w="1318"/>
        <w:gridCol w:w="1318"/>
        <w:gridCol w:w="1378"/>
        <w:gridCol w:w="595"/>
        <w:gridCol w:w="1076"/>
        <w:gridCol w:w="11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7" w:hRule="atLeast"/>
          <w:jc w:val="center"/>
        </w:trPr>
        <w:tc>
          <w:tcPr>
            <w:tcW w:w="522" w:type="pct"/>
            <w:vMerge w:val="restart"/>
            <w:vAlign w:val="center"/>
          </w:tcPr>
          <w:p>
            <w:pPr>
              <w:jc w:val="center"/>
              <w:rPr>
                <w:rFonts w:asciiTheme="minorEastAsia" w:hAnsiTheme="minorEastAsia"/>
                <w:b/>
              </w:rPr>
            </w:pPr>
            <w:r>
              <w:rPr>
                <w:rFonts w:hint="eastAsia" w:asciiTheme="minorEastAsia" w:hAnsiTheme="minorEastAsia"/>
                <w:b/>
              </w:rPr>
              <w:t>生产经营</w:t>
            </w:r>
          </w:p>
          <w:p>
            <w:pPr>
              <w:jc w:val="center"/>
              <w:rPr>
                <w:rFonts w:asciiTheme="minorEastAsia" w:hAnsiTheme="minorEastAsia"/>
                <w:b/>
              </w:rPr>
            </w:pPr>
            <w:r>
              <w:rPr>
                <w:rFonts w:asciiTheme="minorEastAsia" w:hAnsiTheme="minorEastAsia"/>
                <w:b/>
              </w:rPr>
              <w:t>主体名称</w:t>
            </w:r>
          </w:p>
        </w:tc>
        <w:tc>
          <w:tcPr>
            <w:tcW w:w="428" w:type="pct"/>
            <w:vMerge w:val="restart"/>
            <w:vAlign w:val="center"/>
          </w:tcPr>
          <w:p>
            <w:pPr>
              <w:jc w:val="center"/>
              <w:rPr>
                <w:rFonts w:asciiTheme="minorEastAsia" w:hAnsiTheme="minorEastAsia"/>
                <w:b/>
              </w:rPr>
            </w:pPr>
            <w:r>
              <w:rPr>
                <w:rFonts w:asciiTheme="minorEastAsia" w:hAnsiTheme="minorEastAsia"/>
                <w:b/>
              </w:rPr>
              <w:t>生产经营范围</w:t>
            </w:r>
          </w:p>
        </w:tc>
        <w:tc>
          <w:tcPr>
            <w:tcW w:w="454" w:type="pct"/>
            <w:vMerge w:val="restart"/>
            <w:vAlign w:val="center"/>
          </w:tcPr>
          <w:p>
            <w:pPr>
              <w:jc w:val="center"/>
              <w:rPr>
                <w:rFonts w:asciiTheme="minorEastAsia" w:hAnsiTheme="minorEastAsia"/>
                <w:b/>
              </w:rPr>
            </w:pPr>
            <w:r>
              <w:rPr>
                <w:rFonts w:asciiTheme="minorEastAsia" w:hAnsiTheme="minorEastAsia"/>
                <w:b/>
              </w:rPr>
              <w:t>生产农产品类型</w:t>
            </w:r>
            <w:r>
              <w:rPr>
                <w:rFonts w:hint="eastAsia" w:asciiTheme="minorEastAsia" w:hAnsiTheme="minorEastAsia"/>
                <w:b/>
              </w:rPr>
              <w:t>（水产、花木、粮食等）</w:t>
            </w:r>
          </w:p>
        </w:tc>
        <w:tc>
          <w:tcPr>
            <w:tcW w:w="348" w:type="pct"/>
            <w:vMerge w:val="restart"/>
            <w:vAlign w:val="center"/>
          </w:tcPr>
          <w:p>
            <w:pPr>
              <w:jc w:val="center"/>
              <w:rPr>
                <w:rFonts w:asciiTheme="minorEastAsia" w:hAnsiTheme="minorEastAsia"/>
                <w:b/>
              </w:rPr>
            </w:pPr>
            <w:r>
              <w:rPr>
                <w:rFonts w:asciiTheme="minorEastAsia" w:hAnsiTheme="minorEastAsia"/>
                <w:b/>
              </w:rPr>
              <w:t>生产总面积</w:t>
            </w:r>
          </w:p>
          <w:p>
            <w:pPr>
              <w:jc w:val="center"/>
              <w:rPr>
                <w:rFonts w:asciiTheme="minorEastAsia" w:hAnsiTheme="minorEastAsia"/>
                <w:b/>
              </w:rPr>
            </w:pPr>
            <w:r>
              <w:rPr>
                <w:rFonts w:hint="eastAsia" w:asciiTheme="minorEastAsia" w:hAnsiTheme="minorEastAsia"/>
                <w:b/>
              </w:rPr>
              <w:t>（亩）</w:t>
            </w:r>
          </w:p>
        </w:tc>
        <w:tc>
          <w:tcPr>
            <w:tcW w:w="348" w:type="pct"/>
            <w:vMerge w:val="restart"/>
            <w:vAlign w:val="center"/>
          </w:tcPr>
          <w:p>
            <w:pPr>
              <w:jc w:val="center"/>
              <w:rPr>
                <w:rFonts w:asciiTheme="minorEastAsia" w:hAnsiTheme="minorEastAsia"/>
                <w:b/>
              </w:rPr>
            </w:pPr>
            <w:r>
              <w:rPr>
                <w:rFonts w:asciiTheme="minorEastAsia" w:hAnsiTheme="minorEastAsia"/>
                <w:b/>
              </w:rPr>
              <w:t>设施农用地批复面积</w:t>
            </w:r>
            <w:r>
              <w:rPr>
                <w:rFonts w:hint="eastAsia" w:asciiTheme="minorEastAsia" w:hAnsiTheme="minorEastAsia"/>
                <w:b/>
              </w:rPr>
              <w:t>（亩）</w:t>
            </w:r>
          </w:p>
        </w:tc>
        <w:tc>
          <w:tcPr>
            <w:tcW w:w="497" w:type="pct"/>
            <w:vMerge w:val="restart"/>
            <w:vAlign w:val="center"/>
          </w:tcPr>
          <w:p>
            <w:pPr>
              <w:jc w:val="center"/>
              <w:rPr>
                <w:rFonts w:asciiTheme="minorEastAsia" w:hAnsiTheme="minorEastAsia"/>
                <w:b/>
              </w:rPr>
            </w:pPr>
            <w:r>
              <w:rPr>
                <w:rFonts w:asciiTheme="minorEastAsia" w:hAnsiTheme="minorEastAsia"/>
                <w:b/>
              </w:rPr>
              <w:t>批复文件备案号</w:t>
            </w:r>
          </w:p>
        </w:tc>
        <w:tc>
          <w:tcPr>
            <w:tcW w:w="463" w:type="pct"/>
            <w:vMerge w:val="restart"/>
            <w:vAlign w:val="center"/>
          </w:tcPr>
          <w:p>
            <w:pPr>
              <w:jc w:val="center"/>
              <w:rPr>
                <w:rFonts w:asciiTheme="minorEastAsia" w:hAnsiTheme="minorEastAsia"/>
                <w:b/>
              </w:rPr>
            </w:pPr>
            <w:r>
              <w:rPr>
                <w:rFonts w:hint="eastAsia" w:asciiTheme="minorEastAsia" w:hAnsiTheme="minorEastAsia"/>
                <w:b/>
              </w:rPr>
              <w:t>批复使用期限</w:t>
            </w:r>
          </w:p>
        </w:tc>
        <w:tc>
          <w:tcPr>
            <w:tcW w:w="463" w:type="pct"/>
            <w:vMerge w:val="restart"/>
            <w:vAlign w:val="center"/>
          </w:tcPr>
          <w:p>
            <w:pPr>
              <w:jc w:val="center"/>
              <w:rPr>
                <w:rFonts w:asciiTheme="minorEastAsia" w:hAnsiTheme="minorEastAsia"/>
                <w:b/>
              </w:rPr>
            </w:pPr>
            <w:r>
              <w:rPr>
                <w:rFonts w:asciiTheme="minorEastAsia" w:hAnsiTheme="minorEastAsia"/>
                <w:b/>
              </w:rPr>
              <w:t>实际建设是否与批复一致</w:t>
            </w:r>
            <w:r>
              <w:rPr>
                <w:rFonts w:hint="eastAsia" w:asciiTheme="minorEastAsia" w:hAnsiTheme="minorEastAsia"/>
                <w:b/>
              </w:rPr>
              <w:t>（“是”或“否”）</w:t>
            </w:r>
          </w:p>
        </w:tc>
        <w:tc>
          <w:tcPr>
            <w:tcW w:w="693" w:type="pct"/>
            <w:gridSpan w:val="2"/>
            <w:vAlign w:val="center"/>
          </w:tcPr>
          <w:p>
            <w:pPr>
              <w:jc w:val="center"/>
              <w:rPr>
                <w:rFonts w:asciiTheme="minorEastAsia" w:hAnsiTheme="minorEastAsia"/>
                <w:b/>
              </w:rPr>
            </w:pPr>
            <w:r>
              <w:rPr>
                <w:rFonts w:asciiTheme="minorEastAsia" w:hAnsiTheme="minorEastAsia"/>
                <w:b/>
              </w:rPr>
              <w:t>是否占用永久基本农田</w:t>
            </w:r>
          </w:p>
        </w:tc>
        <w:tc>
          <w:tcPr>
            <w:tcW w:w="378" w:type="pct"/>
            <w:vMerge w:val="restart"/>
            <w:vAlign w:val="center"/>
          </w:tcPr>
          <w:p>
            <w:pPr>
              <w:jc w:val="center"/>
              <w:rPr>
                <w:rFonts w:asciiTheme="minorEastAsia" w:hAnsiTheme="minorEastAsia"/>
                <w:b/>
              </w:rPr>
            </w:pPr>
            <w:r>
              <w:rPr>
                <w:rFonts w:asciiTheme="minorEastAsia" w:hAnsiTheme="minorEastAsia"/>
                <w:b/>
              </w:rPr>
              <w:t>生产经营行为是否已发生变更</w:t>
            </w:r>
            <w:r>
              <w:rPr>
                <w:rFonts w:hint="eastAsia" w:asciiTheme="minorEastAsia" w:hAnsiTheme="minorEastAsia"/>
                <w:b/>
              </w:rPr>
              <w:t>（“是”或“否”）</w:t>
            </w:r>
          </w:p>
        </w:tc>
        <w:tc>
          <w:tcPr>
            <w:tcW w:w="399" w:type="pct"/>
            <w:vMerge w:val="restart"/>
            <w:vAlign w:val="center"/>
          </w:tcPr>
          <w:p>
            <w:pPr>
              <w:jc w:val="center"/>
              <w:rPr>
                <w:rFonts w:asciiTheme="minorEastAsia" w:hAnsiTheme="minorEastAsia"/>
                <w:b/>
              </w:rPr>
            </w:pPr>
            <w:r>
              <w:rPr>
                <w:rFonts w:hint="eastAsia" w:asciiTheme="minorEastAsia" w:hAnsiTheme="minorEastAsia"/>
                <w:b/>
              </w:rPr>
              <w:t>属于“</w:t>
            </w:r>
            <w:r>
              <w:rPr>
                <w:rFonts w:asciiTheme="minorEastAsia" w:hAnsiTheme="minorEastAsia"/>
                <w:b/>
              </w:rPr>
              <w:t>大棚房</w:t>
            </w:r>
            <w:r>
              <w:rPr>
                <w:rFonts w:hint="eastAsia" w:asciiTheme="minorEastAsia" w:hAnsiTheme="minorEastAsia"/>
                <w:b/>
              </w:rPr>
              <w:t>”的问题类型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7" w:hRule="atLeast"/>
          <w:jc w:val="center"/>
        </w:trPr>
        <w:tc>
          <w:tcPr>
            <w:tcW w:w="522" w:type="pct"/>
            <w:vMerge w:val="continue"/>
            <w:vAlign w:val="center"/>
          </w:tcPr>
          <w:p>
            <w:pPr>
              <w:jc w:val="center"/>
              <w:rPr>
                <w:rFonts w:asciiTheme="minorEastAsia" w:hAnsiTheme="minorEastAsia"/>
              </w:rPr>
            </w:pPr>
          </w:p>
        </w:tc>
        <w:tc>
          <w:tcPr>
            <w:tcW w:w="428" w:type="pct"/>
            <w:vMerge w:val="continue"/>
            <w:vAlign w:val="center"/>
          </w:tcPr>
          <w:p>
            <w:pPr>
              <w:jc w:val="center"/>
              <w:rPr>
                <w:rFonts w:asciiTheme="minorEastAsia" w:hAnsiTheme="minorEastAsia"/>
              </w:rPr>
            </w:pPr>
          </w:p>
        </w:tc>
        <w:tc>
          <w:tcPr>
            <w:tcW w:w="454" w:type="pct"/>
            <w:vMerge w:val="continue"/>
            <w:vAlign w:val="center"/>
          </w:tcPr>
          <w:p>
            <w:pPr>
              <w:jc w:val="center"/>
              <w:rPr>
                <w:rFonts w:asciiTheme="minorEastAsia" w:hAnsiTheme="minorEastAsia"/>
              </w:rPr>
            </w:pPr>
          </w:p>
        </w:tc>
        <w:tc>
          <w:tcPr>
            <w:tcW w:w="348" w:type="pct"/>
            <w:vMerge w:val="continue"/>
            <w:vAlign w:val="center"/>
          </w:tcPr>
          <w:p>
            <w:pPr>
              <w:jc w:val="center"/>
              <w:rPr>
                <w:rFonts w:asciiTheme="minorEastAsia" w:hAnsiTheme="minorEastAsia"/>
              </w:rPr>
            </w:pPr>
          </w:p>
        </w:tc>
        <w:tc>
          <w:tcPr>
            <w:tcW w:w="348" w:type="pct"/>
            <w:vMerge w:val="continue"/>
            <w:vAlign w:val="center"/>
          </w:tcPr>
          <w:p>
            <w:pPr>
              <w:jc w:val="center"/>
              <w:rPr>
                <w:rFonts w:asciiTheme="minorEastAsia" w:hAnsiTheme="minorEastAsia"/>
              </w:rPr>
            </w:pPr>
          </w:p>
        </w:tc>
        <w:tc>
          <w:tcPr>
            <w:tcW w:w="497" w:type="pct"/>
            <w:vMerge w:val="continue"/>
            <w:vAlign w:val="center"/>
          </w:tcPr>
          <w:p>
            <w:pPr>
              <w:jc w:val="center"/>
              <w:rPr>
                <w:rFonts w:asciiTheme="minorEastAsia" w:hAnsiTheme="minorEastAsia"/>
              </w:rPr>
            </w:pPr>
          </w:p>
        </w:tc>
        <w:tc>
          <w:tcPr>
            <w:tcW w:w="463" w:type="pct"/>
            <w:vMerge w:val="continue"/>
            <w:vAlign w:val="center"/>
          </w:tcPr>
          <w:p>
            <w:pPr>
              <w:jc w:val="center"/>
              <w:rPr>
                <w:rFonts w:asciiTheme="minorEastAsia" w:hAnsiTheme="minorEastAsia"/>
              </w:rPr>
            </w:pPr>
          </w:p>
        </w:tc>
        <w:tc>
          <w:tcPr>
            <w:tcW w:w="463" w:type="pct"/>
            <w:vMerge w:val="continue"/>
            <w:vAlign w:val="center"/>
          </w:tcPr>
          <w:p>
            <w:pPr>
              <w:jc w:val="center"/>
              <w:rPr>
                <w:rFonts w:asciiTheme="minorEastAsia" w:hAnsiTheme="minorEastAsia"/>
              </w:rPr>
            </w:pPr>
          </w:p>
        </w:tc>
        <w:tc>
          <w:tcPr>
            <w:tcW w:w="484" w:type="pct"/>
            <w:vAlign w:val="center"/>
          </w:tcPr>
          <w:p>
            <w:pPr>
              <w:jc w:val="center"/>
              <w:rPr>
                <w:rFonts w:asciiTheme="minorEastAsia" w:hAnsiTheme="minorEastAsia"/>
                <w:b/>
              </w:rPr>
            </w:pPr>
            <w:r>
              <w:rPr>
                <w:rFonts w:hint="eastAsia" w:asciiTheme="minorEastAsia" w:hAnsiTheme="minorEastAsia"/>
                <w:b/>
              </w:rPr>
              <w:t>是（填写占用面积，</w:t>
            </w:r>
            <w:r>
              <w:rPr>
                <w:rFonts w:hint="eastAsia" w:asciiTheme="minorEastAsia" w:hAnsiTheme="minorEastAsia"/>
                <w:b/>
                <w:sz w:val="28"/>
                <w:szCs w:val="28"/>
              </w:rPr>
              <w:t>m</w:t>
            </w:r>
            <w:r>
              <w:rPr>
                <w:rFonts w:hint="eastAsia" w:asciiTheme="minorEastAsia" w:hAnsiTheme="minorEastAsia"/>
                <w:b/>
                <w:sz w:val="28"/>
                <w:szCs w:val="28"/>
                <w:vertAlign w:val="superscript"/>
              </w:rPr>
              <w:t>2</w:t>
            </w:r>
            <w:r>
              <w:rPr>
                <w:rFonts w:hint="eastAsia" w:asciiTheme="minorEastAsia" w:hAnsiTheme="minorEastAsia"/>
                <w:b/>
              </w:rPr>
              <w:t>）</w:t>
            </w:r>
          </w:p>
        </w:tc>
        <w:tc>
          <w:tcPr>
            <w:tcW w:w="208" w:type="pct"/>
            <w:vAlign w:val="center"/>
          </w:tcPr>
          <w:p>
            <w:pPr>
              <w:jc w:val="center"/>
              <w:rPr>
                <w:rFonts w:asciiTheme="minorEastAsia" w:hAnsiTheme="minorEastAsia"/>
                <w:b/>
              </w:rPr>
            </w:pPr>
            <w:r>
              <w:rPr>
                <w:rFonts w:asciiTheme="minorEastAsia" w:hAnsiTheme="minorEastAsia"/>
                <w:b/>
              </w:rPr>
              <w:t>否</w:t>
            </w:r>
          </w:p>
        </w:tc>
        <w:tc>
          <w:tcPr>
            <w:tcW w:w="378" w:type="pct"/>
            <w:vMerge w:val="continue"/>
            <w:vAlign w:val="center"/>
          </w:tcPr>
          <w:p>
            <w:pPr>
              <w:jc w:val="center"/>
              <w:rPr>
                <w:rFonts w:asciiTheme="minorEastAsia" w:hAnsiTheme="minorEastAsia"/>
              </w:rPr>
            </w:pPr>
          </w:p>
        </w:tc>
        <w:tc>
          <w:tcPr>
            <w:tcW w:w="399" w:type="pct"/>
            <w:vMerge w:val="continue"/>
            <w:vAlign w:val="center"/>
          </w:tcPr>
          <w:p>
            <w:pPr>
              <w:jc w:val="center"/>
              <w:rPr>
                <w:rFonts w:asciiTheme="minorEastAsia" w:hAnsi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7" w:hRule="atLeast"/>
          <w:jc w:val="center"/>
        </w:trPr>
        <w:tc>
          <w:tcPr>
            <w:tcW w:w="522" w:type="pct"/>
            <w:vAlign w:val="center"/>
          </w:tcPr>
          <w:p>
            <w:pPr>
              <w:jc w:val="center"/>
              <w:rPr>
                <w:rFonts w:asciiTheme="minorEastAsia" w:hAnsiTheme="minorEastAsia"/>
              </w:rPr>
            </w:pPr>
          </w:p>
        </w:tc>
        <w:tc>
          <w:tcPr>
            <w:tcW w:w="428" w:type="pct"/>
            <w:vAlign w:val="center"/>
          </w:tcPr>
          <w:p>
            <w:pPr>
              <w:jc w:val="center"/>
              <w:rPr>
                <w:rFonts w:asciiTheme="minorEastAsia" w:hAnsiTheme="minorEastAsia"/>
              </w:rPr>
            </w:pPr>
          </w:p>
        </w:tc>
        <w:tc>
          <w:tcPr>
            <w:tcW w:w="454" w:type="pct"/>
            <w:vAlign w:val="center"/>
          </w:tcPr>
          <w:p>
            <w:pPr>
              <w:jc w:val="center"/>
              <w:rPr>
                <w:rFonts w:asciiTheme="minorEastAsia" w:hAnsiTheme="minorEastAsia"/>
              </w:rPr>
            </w:pPr>
          </w:p>
        </w:tc>
        <w:tc>
          <w:tcPr>
            <w:tcW w:w="348" w:type="pct"/>
            <w:vAlign w:val="center"/>
          </w:tcPr>
          <w:p>
            <w:pPr>
              <w:jc w:val="center"/>
              <w:rPr>
                <w:rFonts w:asciiTheme="minorEastAsia" w:hAnsiTheme="minorEastAsia"/>
              </w:rPr>
            </w:pPr>
          </w:p>
        </w:tc>
        <w:tc>
          <w:tcPr>
            <w:tcW w:w="348" w:type="pct"/>
            <w:vAlign w:val="center"/>
          </w:tcPr>
          <w:p>
            <w:pPr>
              <w:jc w:val="center"/>
              <w:rPr>
                <w:rFonts w:asciiTheme="minorEastAsia" w:hAnsiTheme="minorEastAsia"/>
              </w:rPr>
            </w:pPr>
          </w:p>
        </w:tc>
        <w:tc>
          <w:tcPr>
            <w:tcW w:w="497" w:type="pct"/>
            <w:vAlign w:val="center"/>
          </w:tcPr>
          <w:p>
            <w:pPr>
              <w:jc w:val="center"/>
              <w:rPr>
                <w:rFonts w:asciiTheme="minorEastAsia" w:hAnsiTheme="minorEastAsia"/>
              </w:rPr>
            </w:pPr>
          </w:p>
        </w:tc>
        <w:tc>
          <w:tcPr>
            <w:tcW w:w="463" w:type="pct"/>
            <w:vAlign w:val="center"/>
          </w:tcPr>
          <w:p>
            <w:pPr>
              <w:jc w:val="center"/>
              <w:rPr>
                <w:rFonts w:asciiTheme="minorEastAsia" w:hAnsiTheme="minorEastAsia"/>
              </w:rPr>
            </w:pPr>
          </w:p>
        </w:tc>
        <w:tc>
          <w:tcPr>
            <w:tcW w:w="463" w:type="pct"/>
            <w:vAlign w:val="center"/>
          </w:tcPr>
          <w:p>
            <w:pPr>
              <w:jc w:val="center"/>
              <w:rPr>
                <w:rFonts w:asciiTheme="minorEastAsia" w:hAnsiTheme="minorEastAsia"/>
              </w:rPr>
            </w:pPr>
          </w:p>
        </w:tc>
        <w:tc>
          <w:tcPr>
            <w:tcW w:w="484" w:type="pct"/>
            <w:vAlign w:val="center"/>
          </w:tcPr>
          <w:p>
            <w:pPr>
              <w:jc w:val="center"/>
              <w:rPr>
                <w:rFonts w:asciiTheme="minorEastAsia" w:hAnsiTheme="minorEastAsia"/>
              </w:rPr>
            </w:pPr>
          </w:p>
        </w:tc>
        <w:tc>
          <w:tcPr>
            <w:tcW w:w="208" w:type="pct"/>
            <w:vAlign w:val="center"/>
          </w:tcPr>
          <w:p>
            <w:pPr>
              <w:jc w:val="center"/>
              <w:rPr>
                <w:rFonts w:asciiTheme="minorEastAsia" w:hAnsiTheme="minorEastAsia"/>
              </w:rPr>
            </w:pPr>
          </w:p>
        </w:tc>
        <w:tc>
          <w:tcPr>
            <w:tcW w:w="378" w:type="pct"/>
            <w:vAlign w:val="center"/>
          </w:tcPr>
          <w:p>
            <w:pPr>
              <w:jc w:val="center"/>
              <w:rPr>
                <w:rFonts w:asciiTheme="minorEastAsia" w:hAnsiTheme="minorEastAsia"/>
              </w:rPr>
            </w:pPr>
          </w:p>
        </w:tc>
        <w:tc>
          <w:tcPr>
            <w:tcW w:w="399" w:type="pct"/>
            <w:vAlign w:val="center"/>
          </w:tcPr>
          <w:p>
            <w:pPr>
              <w:jc w:val="center"/>
              <w:rPr>
                <w:rFonts w:asciiTheme="minorEastAsia" w:hAnsi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2" w:hRule="atLeast"/>
          <w:jc w:val="center"/>
        </w:trPr>
        <w:tc>
          <w:tcPr>
            <w:tcW w:w="522" w:type="pct"/>
            <w:vAlign w:val="center"/>
          </w:tcPr>
          <w:p>
            <w:pPr>
              <w:jc w:val="center"/>
              <w:rPr>
                <w:rFonts w:asciiTheme="minorEastAsia" w:hAnsiTheme="minorEastAsia"/>
              </w:rPr>
            </w:pPr>
          </w:p>
        </w:tc>
        <w:tc>
          <w:tcPr>
            <w:tcW w:w="428" w:type="pct"/>
            <w:vAlign w:val="center"/>
          </w:tcPr>
          <w:p>
            <w:pPr>
              <w:jc w:val="center"/>
              <w:rPr>
                <w:rFonts w:asciiTheme="minorEastAsia" w:hAnsiTheme="minorEastAsia"/>
              </w:rPr>
            </w:pPr>
          </w:p>
        </w:tc>
        <w:tc>
          <w:tcPr>
            <w:tcW w:w="454" w:type="pct"/>
            <w:vAlign w:val="center"/>
          </w:tcPr>
          <w:p>
            <w:pPr>
              <w:jc w:val="center"/>
              <w:rPr>
                <w:rFonts w:asciiTheme="minorEastAsia" w:hAnsiTheme="minorEastAsia"/>
              </w:rPr>
            </w:pPr>
          </w:p>
        </w:tc>
        <w:tc>
          <w:tcPr>
            <w:tcW w:w="348" w:type="pct"/>
            <w:vAlign w:val="center"/>
          </w:tcPr>
          <w:p>
            <w:pPr>
              <w:jc w:val="center"/>
              <w:rPr>
                <w:rFonts w:asciiTheme="minorEastAsia" w:hAnsiTheme="minorEastAsia"/>
              </w:rPr>
            </w:pPr>
          </w:p>
        </w:tc>
        <w:tc>
          <w:tcPr>
            <w:tcW w:w="348" w:type="pct"/>
            <w:vAlign w:val="center"/>
          </w:tcPr>
          <w:p>
            <w:pPr>
              <w:jc w:val="center"/>
              <w:rPr>
                <w:rFonts w:asciiTheme="minorEastAsia" w:hAnsiTheme="minorEastAsia"/>
              </w:rPr>
            </w:pPr>
          </w:p>
        </w:tc>
        <w:tc>
          <w:tcPr>
            <w:tcW w:w="497" w:type="pct"/>
            <w:vAlign w:val="center"/>
          </w:tcPr>
          <w:p>
            <w:pPr>
              <w:jc w:val="center"/>
              <w:rPr>
                <w:rFonts w:asciiTheme="minorEastAsia" w:hAnsiTheme="minorEastAsia"/>
              </w:rPr>
            </w:pPr>
          </w:p>
        </w:tc>
        <w:tc>
          <w:tcPr>
            <w:tcW w:w="463" w:type="pct"/>
            <w:vAlign w:val="center"/>
          </w:tcPr>
          <w:p>
            <w:pPr>
              <w:jc w:val="center"/>
              <w:rPr>
                <w:rFonts w:asciiTheme="minorEastAsia" w:hAnsiTheme="minorEastAsia"/>
              </w:rPr>
            </w:pPr>
          </w:p>
        </w:tc>
        <w:tc>
          <w:tcPr>
            <w:tcW w:w="463" w:type="pct"/>
            <w:vAlign w:val="center"/>
          </w:tcPr>
          <w:p>
            <w:pPr>
              <w:jc w:val="center"/>
              <w:rPr>
                <w:rFonts w:asciiTheme="minorEastAsia" w:hAnsiTheme="minorEastAsia"/>
              </w:rPr>
            </w:pPr>
          </w:p>
        </w:tc>
        <w:tc>
          <w:tcPr>
            <w:tcW w:w="484" w:type="pct"/>
            <w:vAlign w:val="center"/>
          </w:tcPr>
          <w:p>
            <w:pPr>
              <w:jc w:val="center"/>
              <w:rPr>
                <w:rFonts w:asciiTheme="minorEastAsia" w:hAnsiTheme="minorEastAsia"/>
              </w:rPr>
            </w:pPr>
          </w:p>
        </w:tc>
        <w:tc>
          <w:tcPr>
            <w:tcW w:w="208" w:type="pct"/>
            <w:vAlign w:val="center"/>
          </w:tcPr>
          <w:p>
            <w:pPr>
              <w:jc w:val="center"/>
              <w:rPr>
                <w:rFonts w:asciiTheme="minorEastAsia" w:hAnsiTheme="minorEastAsia"/>
              </w:rPr>
            </w:pPr>
          </w:p>
        </w:tc>
        <w:tc>
          <w:tcPr>
            <w:tcW w:w="378" w:type="pct"/>
            <w:vAlign w:val="center"/>
          </w:tcPr>
          <w:p>
            <w:pPr>
              <w:jc w:val="center"/>
              <w:rPr>
                <w:rFonts w:asciiTheme="minorEastAsia" w:hAnsiTheme="minorEastAsia"/>
              </w:rPr>
            </w:pPr>
          </w:p>
        </w:tc>
        <w:tc>
          <w:tcPr>
            <w:tcW w:w="399" w:type="pct"/>
            <w:vAlign w:val="center"/>
          </w:tcPr>
          <w:p>
            <w:pPr>
              <w:jc w:val="center"/>
              <w:rPr>
                <w:rFonts w:asciiTheme="minorEastAsia" w:hAnsi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7" w:hRule="atLeast"/>
          <w:jc w:val="center"/>
        </w:trPr>
        <w:tc>
          <w:tcPr>
            <w:tcW w:w="522" w:type="pct"/>
            <w:vAlign w:val="center"/>
          </w:tcPr>
          <w:p>
            <w:pPr>
              <w:jc w:val="center"/>
              <w:rPr>
                <w:rFonts w:asciiTheme="minorEastAsia" w:hAnsiTheme="minorEastAsia"/>
              </w:rPr>
            </w:pPr>
          </w:p>
        </w:tc>
        <w:tc>
          <w:tcPr>
            <w:tcW w:w="428" w:type="pct"/>
            <w:vAlign w:val="center"/>
          </w:tcPr>
          <w:p>
            <w:pPr>
              <w:jc w:val="center"/>
              <w:rPr>
                <w:rFonts w:asciiTheme="minorEastAsia" w:hAnsiTheme="minorEastAsia"/>
              </w:rPr>
            </w:pPr>
          </w:p>
        </w:tc>
        <w:tc>
          <w:tcPr>
            <w:tcW w:w="454" w:type="pct"/>
            <w:vAlign w:val="center"/>
          </w:tcPr>
          <w:p>
            <w:pPr>
              <w:jc w:val="center"/>
              <w:rPr>
                <w:rFonts w:asciiTheme="minorEastAsia" w:hAnsiTheme="minorEastAsia"/>
              </w:rPr>
            </w:pPr>
          </w:p>
        </w:tc>
        <w:tc>
          <w:tcPr>
            <w:tcW w:w="348" w:type="pct"/>
            <w:vAlign w:val="center"/>
          </w:tcPr>
          <w:p>
            <w:pPr>
              <w:jc w:val="center"/>
              <w:rPr>
                <w:rFonts w:asciiTheme="minorEastAsia" w:hAnsiTheme="minorEastAsia"/>
              </w:rPr>
            </w:pPr>
          </w:p>
        </w:tc>
        <w:tc>
          <w:tcPr>
            <w:tcW w:w="348" w:type="pct"/>
            <w:vAlign w:val="center"/>
          </w:tcPr>
          <w:p>
            <w:pPr>
              <w:jc w:val="center"/>
              <w:rPr>
                <w:rFonts w:asciiTheme="minorEastAsia" w:hAnsiTheme="minorEastAsia"/>
              </w:rPr>
            </w:pPr>
          </w:p>
        </w:tc>
        <w:tc>
          <w:tcPr>
            <w:tcW w:w="497" w:type="pct"/>
            <w:vAlign w:val="center"/>
          </w:tcPr>
          <w:p>
            <w:pPr>
              <w:jc w:val="center"/>
              <w:rPr>
                <w:rFonts w:asciiTheme="minorEastAsia" w:hAnsiTheme="minorEastAsia"/>
              </w:rPr>
            </w:pPr>
          </w:p>
        </w:tc>
        <w:tc>
          <w:tcPr>
            <w:tcW w:w="463" w:type="pct"/>
            <w:vAlign w:val="center"/>
          </w:tcPr>
          <w:p>
            <w:pPr>
              <w:jc w:val="center"/>
              <w:rPr>
                <w:rFonts w:asciiTheme="minorEastAsia" w:hAnsiTheme="minorEastAsia"/>
              </w:rPr>
            </w:pPr>
          </w:p>
        </w:tc>
        <w:tc>
          <w:tcPr>
            <w:tcW w:w="463" w:type="pct"/>
            <w:vAlign w:val="center"/>
          </w:tcPr>
          <w:p>
            <w:pPr>
              <w:jc w:val="center"/>
              <w:rPr>
                <w:rFonts w:asciiTheme="minorEastAsia" w:hAnsiTheme="minorEastAsia"/>
              </w:rPr>
            </w:pPr>
          </w:p>
        </w:tc>
        <w:tc>
          <w:tcPr>
            <w:tcW w:w="484" w:type="pct"/>
            <w:vAlign w:val="center"/>
          </w:tcPr>
          <w:p>
            <w:pPr>
              <w:jc w:val="center"/>
              <w:rPr>
                <w:rFonts w:asciiTheme="minorEastAsia" w:hAnsiTheme="minorEastAsia"/>
              </w:rPr>
            </w:pPr>
          </w:p>
        </w:tc>
        <w:tc>
          <w:tcPr>
            <w:tcW w:w="208" w:type="pct"/>
            <w:vAlign w:val="center"/>
          </w:tcPr>
          <w:p>
            <w:pPr>
              <w:jc w:val="center"/>
              <w:rPr>
                <w:rFonts w:asciiTheme="minorEastAsia" w:hAnsiTheme="minorEastAsia"/>
              </w:rPr>
            </w:pPr>
          </w:p>
        </w:tc>
        <w:tc>
          <w:tcPr>
            <w:tcW w:w="378" w:type="pct"/>
            <w:vAlign w:val="center"/>
          </w:tcPr>
          <w:p>
            <w:pPr>
              <w:jc w:val="center"/>
              <w:rPr>
                <w:rFonts w:asciiTheme="minorEastAsia" w:hAnsiTheme="minorEastAsia"/>
              </w:rPr>
            </w:pPr>
          </w:p>
        </w:tc>
        <w:tc>
          <w:tcPr>
            <w:tcW w:w="399" w:type="pct"/>
            <w:vAlign w:val="center"/>
          </w:tcPr>
          <w:p>
            <w:pPr>
              <w:jc w:val="center"/>
              <w:rPr>
                <w:rFonts w:asciiTheme="minorEastAsia" w:hAnsi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7" w:hRule="atLeast"/>
          <w:jc w:val="center"/>
        </w:trPr>
        <w:tc>
          <w:tcPr>
            <w:tcW w:w="522" w:type="pct"/>
            <w:vAlign w:val="center"/>
          </w:tcPr>
          <w:p>
            <w:pPr>
              <w:jc w:val="center"/>
              <w:rPr>
                <w:rFonts w:asciiTheme="minorEastAsia" w:hAnsiTheme="minorEastAsia"/>
              </w:rPr>
            </w:pPr>
          </w:p>
        </w:tc>
        <w:tc>
          <w:tcPr>
            <w:tcW w:w="428" w:type="pct"/>
            <w:vAlign w:val="center"/>
          </w:tcPr>
          <w:p>
            <w:pPr>
              <w:jc w:val="center"/>
              <w:rPr>
                <w:rFonts w:asciiTheme="minorEastAsia" w:hAnsiTheme="minorEastAsia"/>
              </w:rPr>
            </w:pPr>
          </w:p>
        </w:tc>
        <w:tc>
          <w:tcPr>
            <w:tcW w:w="454" w:type="pct"/>
            <w:vAlign w:val="center"/>
          </w:tcPr>
          <w:p>
            <w:pPr>
              <w:jc w:val="center"/>
              <w:rPr>
                <w:rFonts w:asciiTheme="minorEastAsia" w:hAnsiTheme="minorEastAsia"/>
              </w:rPr>
            </w:pPr>
          </w:p>
        </w:tc>
        <w:tc>
          <w:tcPr>
            <w:tcW w:w="348" w:type="pct"/>
            <w:vAlign w:val="center"/>
          </w:tcPr>
          <w:p>
            <w:pPr>
              <w:jc w:val="center"/>
              <w:rPr>
                <w:rFonts w:asciiTheme="minorEastAsia" w:hAnsiTheme="minorEastAsia"/>
              </w:rPr>
            </w:pPr>
          </w:p>
        </w:tc>
        <w:tc>
          <w:tcPr>
            <w:tcW w:w="348" w:type="pct"/>
            <w:vAlign w:val="center"/>
          </w:tcPr>
          <w:p>
            <w:pPr>
              <w:jc w:val="center"/>
              <w:rPr>
                <w:rFonts w:asciiTheme="minorEastAsia" w:hAnsiTheme="minorEastAsia"/>
              </w:rPr>
            </w:pPr>
          </w:p>
        </w:tc>
        <w:tc>
          <w:tcPr>
            <w:tcW w:w="497" w:type="pct"/>
            <w:vAlign w:val="center"/>
          </w:tcPr>
          <w:p>
            <w:pPr>
              <w:jc w:val="center"/>
              <w:rPr>
                <w:rFonts w:asciiTheme="minorEastAsia" w:hAnsiTheme="minorEastAsia"/>
              </w:rPr>
            </w:pPr>
          </w:p>
        </w:tc>
        <w:tc>
          <w:tcPr>
            <w:tcW w:w="463" w:type="pct"/>
            <w:vAlign w:val="center"/>
          </w:tcPr>
          <w:p>
            <w:pPr>
              <w:jc w:val="center"/>
              <w:rPr>
                <w:rFonts w:asciiTheme="minorEastAsia" w:hAnsiTheme="minorEastAsia"/>
              </w:rPr>
            </w:pPr>
          </w:p>
        </w:tc>
        <w:tc>
          <w:tcPr>
            <w:tcW w:w="463" w:type="pct"/>
            <w:vAlign w:val="center"/>
          </w:tcPr>
          <w:p>
            <w:pPr>
              <w:jc w:val="center"/>
              <w:rPr>
                <w:rFonts w:asciiTheme="minorEastAsia" w:hAnsiTheme="minorEastAsia"/>
              </w:rPr>
            </w:pPr>
          </w:p>
        </w:tc>
        <w:tc>
          <w:tcPr>
            <w:tcW w:w="484" w:type="pct"/>
            <w:vAlign w:val="center"/>
          </w:tcPr>
          <w:p>
            <w:pPr>
              <w:jc w:val="center"/>
              <w:rPr>
                <w:rFonts w:asciiTheme="minorEastAsia" w:hAnsiTheme="minorEastAsia"/>
              </w:rPr>
            </w:pPr>
          </w:p>
        </w:tc>
        <w:tc>
          <w:tcPr>
            <w:tcW w:w="208" w:type="pct"/>
            <w:vAlign w:val="center"/>
          </w:tcPr>
          <w:p>
            <w:pPr>
              <w:jc w:val="center"/>
              <w:rPr>
                <w:rFonts w:asciiTheme="minorEastAsia" w:hAnsiTheme="minorEastAsia"/>
              </w:rPr>
            </w:pPr>
          </w:p>
        </w:tc>
        <w:tc>
          <w:tcPr>
            <w:tcW w:w="378" w:type="pct"/>
            <w:vAlign w:val="center"/>
          </w:tcPr>
          <w:p>
            <w:pPr>
              <w:jc w:val="center"/>
              <w:rPr>
                <w:rFonts w:asciiTheme="minorEastAsia" w:hAnsiTheme="minorEastAsia"/>
              </w:rPr>
            </w:pPr>
          </w:p>
        </w:tc>
        <w:tc>
          <w:tcPr>
            <w:tcW w:w="399" w:type="pct"/>
            <w:vAlign w:val="center"/>
          </w:tcPr>
          <w:p>
            <w:pPr>
              <w:jc w:val="center"/>
              <w:rPr>
                <w:rFonts w:asciiTheme="minorEastAsia" w:hAnsi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7" w:hRule="atLeast"/>
          <w:jc w:val="center"/>
        </w:trPr>
        <w:tc>
          <w:tcPr>
            <w:tcW w:w="522" w:type="pct"/>
            <w:vAlign w:val="center"/>
          </w:tcPr>
          <w:p>
            <w:pPr>
              <w:jc w:val="center"/>
              <w:rPr>
                <w:rFonts w:asciiTheme="minorEastAsia" w:hAnsiTheme="minorEastAsia"/>
              </w:rPr>
            </w:pPr>
          </w:p>
        </w:tc>
        <w:tc>
          <w:tcPr>
            <w:tcW w:w="428" w:type="pct"/>
            <w:vAlign w:val="center"/>
          </w:tcPr>
          <w:p>
            <w:pPr>
              <w:jc w:val="center"/>
              <w:rPr>
                <w:rFonts w:asciiTheme="minorEastAsia" w:hAnsiTheme="minorEastAsia"/>
              </w:rPr>
            </w:pPr>
          </w:p>
        </w:tc>
        <w:tc>
          <w:tcPr>
            <w:tcW w:w="454" w:type="pct"/>
            <w:vAlign w:val="center"/>
          </w:tcPr>
          <w:p>
            <w:pPr>
              <w:jc w:val="center"/>
              <w:rPr>
                <w:rFonts w:asciiTheme="minorEastAsia" w:hAnsiTheme="minorEastAsia"/>
              </w:rPr>
            </w:pPr>
          </w:p>
        </w:tc>
        <w:tc>
          <w:tcPr>
            <w:tcW w:w="348" w:type="pct"/>
            <w:vAlign w:val="center"/>
          </w:tcPr>
          <w:p>
            <w:pPr>
              <w:jc w:val="center"/>
              <w:rPr>
                <w:rFonts w:asciiTheme="minorEastAsia" w:hAnsiTheme="minorEastAsia"/>
              </w:rPr>
            </w:pPr>
          </w:p>
        </w:tc>
        <w:tc>
          <w:tcPr>
            <w:tcW w:w="348" w:type="pct"/>
            <w:vAlign w:val="center"/>
          </w:tcPr>
          <w:p>
            <w:pPr>
              <w:jc w:val="center"/>
              <w:rPr>
                <w:rFonts w:asciiTheme="minorEastAsia" w:hAnsiTheme="minorEastAsia"/>
              </w:rPr>
            </w:pPr>
          </w:p>
        </w:tc>
        <w:tc>
          <w:tcPr>
            <w:tcW w:w="497" w:type="pct"/>
            <w:vAlign w:val="center"/>
          </w:tcPr>
          <w:p>
            <w:pPr>
              <w:jc w:val="center"/>
              <w:rPr>
                <w:rFonts w:asciiTheme="minorEastAsia" w:hAnsiTheme="minorEastAsia"/>
              </w:rPr>
            </w:pPr>
          </w:p>
        </w:tc>
        <w:tc>
          <w:tcPr>
            <w:tcW w:w="463" w:type="pct"/>
            <w:vAlign w:val="center"/>
          </w:tcPr>
          <w:p>
            <w:pPr>
              <w:jc w:val="center"/>
              <w:rPr>
                <w:rFonts w:asciiTheme="minorEastAsia" w:hAnsiTheme="minorEastAsia"/>
              </w:rPr>
            </w:pPr>
          </w:p>
        </w:tc>
        <w:tc>
          <w:tcPr>
            <w:tcW w:w="463" w:type="pct"/>
            <w:vAlign w:val="center"/>
          </w:tcPr>
          <w:p>
            <w:pPr>
              <w:jc w:val="center"/>
              <w:rPr>
                <w:rFonts w:asciiTheme="minorEastAsia" w:hAnsiTheme="minorEastAsia"/>
              </w:rPr>
            </w:pPr>
          </w:p>
        </w:tc>
        <w:tc>
          <w:tcPr>
            <w:tcW w:w="484" w:type="pct"/>
            <w:vAlign w:val="center"/>
          </w:tcPr>
          <w:p>
            <w:pPr>
              <w:jc w:val="center"/>
              <w:rPr>
                <w:rFonts w:asciiTheme="minorEastAsia" w:hAnsiTheme="minorEastAsia"/>
              </w:rPr>
            </w:pPr>
          </w:p>
        </w:tc>
        <w:tc>
          <w:tcPr>
            <w:tcW w:w="208" w:type="pct"/>
            <w:vAlign w:val="center"/>
          </w:tcPr>
          <w:p>
            <w:pPr>
              <w:jc w:val="center"/>
              <w:rPr>
                <w:rFonts w:asciiTheme="minorEastAsia" w:hAnsiTheme="minorEastAsia"/>
              </w:rPr>
            </w:pPr>
          </w:p>
        </w:tc>
        <w:tc>
          <w:tcPr>
            <w:tcW w:w="378" w:type="pct"/>
            <w:vAlign w:val="center"/>
          </w:tcPr>
          <w:p>
            <w:pPr>
              <w:jc w:val="center"/>
              <w:rPr>
                <w:rFonts w:asciiTheme="minorEastAsia" w:hAnsiTheme="minorEastAsia"/>
              </w:rPr>
            </w:pPr>
          </w:p>
        </w:tc>
        <w:tc>
          <w:tcPr>
            <w:tcW w:w="399" w:type="pct"/>
            <w:vAlign w:val="center"/>
          </w:tcPr>
          <w:p>
            <w:pPr>
              <w:jc w:val="center"/>
              <w:rPr>
                <w:rFonts w:asciiTheme="minorEastAsia" w:hAnsiTheme="minorEastAsia"/>
              </w:rPr>
            </w:pPr>
          </w:p>
        </w:tc>
      </w:tr>
    </w:tbl>
    <w:p>
      <w:pPr>
        <w:rPr>
          <w:rFonts w:asciiTheme="minorEastAsia" w:hAnsiTheme="minorEastAsia"/>
        </w:rPr>
      </w:pPr>
      <w:r>
        <w:rPr>
          <w:rFonts w:asciiTheme="minorEastAsia" w:hAnsiTheme="minorEastAsia"/>
        </w:rPr>
        <w:t>备注</w:t>
      </w:r>
      <w:r>
        <w:rPr>
          <w:rFonts w:hint="eastAsia" w:asciiTheme="minorEastAsia" w:hAnsiTheme="minorEastAsia"/>
        </w:rPr>
        <w:t>：1、“大棚房”的问题类型详见核查报告编制要点的第四部分。</w:t>
      </w:r>
    </w:p>
    <w:p>
      <w:pPr>
        <w:ind w:firstLine="630" w:firstLineChars="300"/>
        <w:rPr>
          <w:rFonts w:asciiTheme="minorEastAsia" w:hAnsiTheme="minorEastAsia"/>
        </w:rPr>
      </w:pPr>
      <w:r>
        <w:rPr>
          <w:rFonts w:hint="eastAsia" w:asciiTheme="minorEastAsia" w:hAnsiTheme="minorEastAsia"/>
        </w:rPr>
        <w:t>2、核查工作结束后，将此表和所有核查报告（每个生产经营主体一份）一并提交至区农业农村局。</w:t>
      </w:r>
    </w:p>
    <w:p>
      <w:pPr>
        <w:rPr>
          <w:rFonts w:ascii="黑体" w:hAnsi="黑体" w:eastAsia="黑体"/>
          <w:sz w:val="28"/>
          <w:szCs w:val="28"/>
        </w:rPr>
      </w:pPr>
    </w:p>
    <w:p>
      <w:pPr>
        <w:snapToGrid w:val="0"/>
        <w:spacing w:line="560" w:lineRule="exact"/>
        <w:ind w:firstLine="1600" w:firstLineChars="500"/>
        <w:rPr>
          <w:rFonts w:eastAsia="仿宋_GB2312"/>
          <w:sz w:val="32"/>
          <w:szCs w:val="32"/>
        </w:rPr>
        <w:sectPr>
          <w:footerReference r:id="rId7" w:type="default"/>
          <w:pgSz w:w="16840" w:h="11900" w:orient="landscape"/>
          <w:pgMar w:top="1418" w:right="1418" w:bottom="1418" w:left="1418" w:header="851" w:footer="992" w:gutter="0"/>
          <w:pgNumType w:fmt="numberInDash"/>
          <w:cols w:space="720" w:num="1"/>
          <w:docGrid w:linePitch="360" w:charSpace="0"/>
        </w:sectPr>
      </w:pPr>
    </w:p>
    <w:p>
      <w:pPr>
        <w:pStyle w:val="16"/>
        <w:spacing w:after="120" w:line="240" w:lineRule="auto"/>
        <w:ind w:firstLine="0"/>
        <w:rPr>
          <w:rFonts w:eastAsiaTheme="minorEastAsia"/>
          <w:sz w:val="32"/>
          <w:szCs w:val="32"/>
          <w:lang w:eastAsia="zh-CN"/>
        </w:rPr>
      </w:pPr>
      <w:r>
        <w:rPr>
          <w:sz w:val="30"/>
          <w:szCs w:val="30"/>
        </w:rPr>
        <w:t>附件</w:t>
      </w:r>
      <w:r>
        <w:rPr>
          <w:rFonts w:hint="eastAsia" w:ascii="Times New Roman" w:hAnsi="Times New Roman" w:cs="Times New Roman" w:eastAsiaTheme="minorEastAsia"/>
          <w:sz w:val="32"/>
          <w:szCs w:val="32"/>
          <w:lang w:val="en-US" w:eastAsia="zh-CN"/>
        </w:rPr>
        <w:t>4</w:t>
      </w:r>
    </w:p>
    <w:p>
      <w:pPr>
        <w:pStyle w:val="20"/>
        <w:keepNext/>
        <w:keepLines/>
        <w:spacing w:after="280" w:line="240" w:lineRule="auto"/>
        <w:rPr>
          <w:rFonts w:ascii="方正小标宋简体" w:eastAsia="方正小标宋简体"/>
          <w:sz w:val="36"/>
          <w:szCs w:val="36"/>
        </w:rPr>
      </w:pPr>
      <w:bookmarkStart w:id="37" w:name="bookmark55"/>
      <w:bookmarkStart w:id="38" w:name="bookmark53"/>
      <w:bookmarkStart w:id="39" w:name="bookmark54"/>
      <w:r>
        <w:rPr>
          <w:rFonts w:hint="eastAsia" w:ascii="方正小标宋简体" w:eastAsia="方正小标宋简体"/>
          <w:sz w:val="36"/>
          <w:szCs w:val="36"/>
          <w:lang w:val="zh-CN" w:eastAsia="zh-CN" w:bidi="zh-CN"/>
        </w:rPr>
        <w:t>“大</w:t>
      </w:r>
      <w:r>
        <w:rPr>
          <w:rFonts w:hint="eastAsia" w:ascii="方正小标宋简体" w:eastAsia="方正小标宋简体"/>
          <w:sz w:val="36"/>
          <w:szCs w:val="36"/>
        </w:rPr>
        <w:t>棚房”问题</w:t>
      </w:r>
      <w:r>
        <w:rPr>
          <w:rFonts w:hint="eastAsia" w:ascii="方正小标宋简体" w:eastAsia="方正小标宋简体"/>
          <w:sz w:val="36"/>
          <w:szCs w:val="36"/>
          <w:lang w:val="zh-CN" w:eastAsia="zh-CN" w:bidi="zh-CN"/>
        </w:rPr>
        <w:t>“回</w:t>
      </w:r>
      <w:r>
        <w:rPr>
          <w:rFonts w:hint="eastAsia" w:ascii="方正小标宋简体" w:eastAsia="方正小标宋简体"/>
          <w:sz w:val="36"/>
          <w:szCs w:val="36"/>
        </w:rPr>
        <w:t>头看”违规问题明细表</w:t>
      </w:r>
      <w:bookmarkEnd w:id="37"/>
      <w:bookmarkEnd w:id="38"/>
      <w:bookmarkEnd w:id="39"/>
    </w:p>
    <w:p>
      <w:pPr>
        <w:pStyle w:val="20"/>
        <w:keepNext/>
        <w:keepLines/>
        <w:spacing w:after="280" w:line="240" w:lineRule="auto"/>
        <w:jc w:val="left"/>
        <w:rPr>
          <w:sz w:val="34"/>
          <w:szCs w:val="34"/>
        </w:rPr>
      </w:pPr>
      <w:r>
        <w:rPr>
          <w:rFonts w:hint="eastAsia" w:ascii="黑体" w:hAnsi="黑体" w:eastAsia="黑体"/>
          <w:sz w:val="28"/>
          <w:szCs w:val="28"/>
          <w:lang w:eastAsia="zh-CN"/>
        </w:rPr>
        <w:t xml:space="preserve">社区盖章：                 社区书记签字：       </w:t>
      </w:r>
    </w:p>
    <w:tbl>
      <w:tblPr>
        <w:tblStyle w:val="10"/>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245"/>
        <w:gridCol w:w="915"/>
        <w:gridCol w:w="1455"/>
        <w:gridCol w:w="1245"/>
        <w:gridCol w:w="1155"/>
        <w:gridCol w:w="975"/>
        <w:gridCol w:w="825"/>
        <w:gridCol w:w="915"/>
        <w:gridCol w:w="870"/>
        <w:gridCol w:w="960"/>
        <w:gridCol w:w="1170"/>
        <w:gridCol w:w="123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68" w:type="dxa"/>
            <w:vMerge w:val="restart"/>
            <w:noWrap/>
            <w:vAlign w:val="center"/>
          </w:tcPr>
          <w:p>
            <w:pPr>
              <w:spacing w:line="300" w:lineRule="exact"/>
              <w:jc w:val="center"/>
              <w:rPr>
                <w:rFonts w:eastAsia="仿宋_GB2312"/>
                <w:sz w:val="28"/>
                <w:szCs w:val="28"/>
              </w:rPr>
            </w:pPr>
            <w:r>
              <w:rPr>
                <w:rFonts w:eastAsia="方正仿宋_GBK"/>
                <w:b/>
                <w:bCs/>
              </w:rPr>
              <w:t>序号</w:t>
            </w:r>
          </w:p>
        </w:tc>
        <w:tc>
          <w:tcPr>
            <w:tcW w:w="1245" w:type="dxa"/>
            <w:vMerge w:val="restart"/>
            <w:noWrap/>
            <w:vAlign w:val="center"/>
          </w:tcPr>
          <w:p>
            <w:pPr>
              <w:spacing w:line="300" w:lineRule="exact"/>
              <w:jc w:val="center"/>
              <w:rPr>
                <w:rFonts w:eastAsia="仿宋_GB2312"/>
                <w:sz w:val="28"/>
                <w:szCs w:val="28"/>
              </w:rPr>
            </w:pPr>
            <w:r>
              <w:rPr>
                <w:rFonts w:eastAsia="方正仿宋_GBK"/>
                <w:b/>
                <w:bCs/>
              </w:rPr>
              <w:t>项目主体名称</w:t>
            </w:r>
          </w:p>
        </w:tc>
        <w:tc>
          <w:tcPr>
            <w:tcW w:w="915" w:type="dxa"/>
            <w:vMerge w:val="restart"/>
            <w:noWrap/>
            <w:vAlign w:val="center"/>
          </w:tcPr>
          <w:p>
            <w:pPr>
              <w:spacing w:line="300" w:lineRule="exact"/>
              <w:jc w:val="center"/>
              <w:rPr>
                <w:rFonts w:eastAsia="方正仿宋_GBK"/>
                <w:b/>
                <w:bCs/>
              </w:rPr>
            </w:pPr>
            <w:r>
              <w:rPr>
                <w:rFonts w:eastAsia="方正仿宋_GBK"/>
                <w:b/>
                <w:bCs/>
              </w:rPr>
              <w:t>建设</w:t>
            </w:r>
          </w:p>
          <w:p>
            <w:pPr>
              <w:spacing w:line="300" w:lineRule="exact"/>
              <w:jc w:val="center"/>
              <w:rPr>
                <w:rFonts w:eastAsia="仿宋_GB2312"/>
                <w:sz w:val="28"/>
                <w:szCs w:val="28"/>
              </w:rPr>
            </w:pPr>
            <w:r>
              <w:rPr>
                <w:rFonts w:eastAsia="方正仿宋_GBK"/>
                <w:b/>
                <w:bCs/>
              </w:rPr>
              <w:t>地点</w:t>
            </w:r>
          </w:p>
        </w:tc>
        <w:tc>
          <w:tcPr>
            <w:tcW w:w="1455" w:type="dxa"/>
            <w:vMerge w:val="restart"/>
            <w:noWrap/>
            <w:vAlign w:val="center"/>
          </w:tcPr>
          <w:p>
            <w:pPr>
              <w:spacing w:line="300" w:lineRule="exact"/>
              <w:jc w:val="center"/>
              <w:rPr>
                <w:rFonts w:eastAsia="仿宋_GB2312"/>
                <w:sz w:val="28"/>
                <w:szCs w:val="28"/>
              </w:rPr>
            </w:pPr>
            <w:r>
              <w:rPr>
                <w:rFonts w:eastAsia="方正仿宋_GBK"/>
                <w:b/>
                <w:bCs/>
              </w:rPr>
              <w:t>用地总面积（亩）</w:t>
            </w:r>
          </w:p>
        </w:tc>
        <w:tc>
          <w:tcPr>
            <w:tcW w:w="1245" w:type="dxa"/>
            <w:vMerge w:val="restart"/>
            <w:noWrap/>
            <w:vAlign w:val="center"/>
          </w:tcPr>
          <w:p>
            <w:pPr>
              <w:spacing w:line="300" w:lineRule="exact"/>
              <w:jc w:val="center"/>
              <w:rPr>
                <w:rFonts w:eastAsia="仿宋_GB2312"/>
                <w:sz w:val="28"/>
                <w:szCs w:val="28"/>
              </w:rPr>
            </w:pPr>
            <w:r>
              <w:rPr>
                <w:rFonts w:eastAsia="方正仿宋_GBK"/>
                <w:b/>
                <w:bCs/>
              </w:rPr>
              <w:t>违规建设</w:t>
            </w:r>
            <w:r>
              <w:rPr>
                <w:rFonts w:hint="eastAsia" w:eastAsia="方正仿宋_GBK"/>
                <w:b/>
                <w:bCs/>
              </w:rPr>
              <w:t>问题数量</w:t>
            </w:r>
            <w:r>
              <w:rPr>
                <w:rFonts w:eastAsia="方正仿宋_GBK"/>
                <w:b/>
                <w:bCs/>
              </w:rPr>
              <w:t>（</w:t>
            </w:r>
            <w:r>
              <w:rPr>
                <w:rFonts w:hint="eastAsia" w:eastAsia="方正仿宋_GBK"/>
                <w:b/>
                <w:bCs/>
              </w:rPr>
              <w:t>个</w:t>
            </w:r>
            <w:r>
              <w:rPr>
                <w:rFonts w:eastAsia="方正仿宋_GBK"/>
                <w:b/>
                <w:bCs/>
              </w:rPr>
              <w:t>）</w:t>
            </w:r>
          </w:p>
        </w:tc>
        <w:tc>
          <w:tcPr>
            <w:tcW w:w="1155" w:type="dxa"/>
            <w:vMerge w:val="restart"/>
            <w:noWrap/>
            <w:vAlign w:val="center"/>
          </w:tcPr>
          <w:p>
            <w:pPr>
              <w:spacing w:line="300" w:lineRule="exact"/>
              <w:jc w:val="center"/>
              <w:rPr>
                <w:rFonts w:eastAsia="仿宋_GB2312"/>
                <w:sz w:val="28"/>
                <w:szCs w:val="28"/>
              </w:rPr>
            </w:pPr>
            <w:r>
              <w:rPr>
                <w:rFonts w:eastAsia="方正仿宋_GBK"/>
                <w:b/>
                <w:bCs/>
              </w:rPr>
              <w:t>违规建设面积（亩）</w:t>
            </w:r>
          </w:p>
        </w:tc>
        <w:tc>
          <w:tcPr>
            <w:tcW w:w="975" w:type="dxa"/>
            <w:vMerge w:val="restart"/>
            <w:noWrap/>
            <w:vAlign w:val="center"/>
          </w:tcPr>
          <w:p>
            <w:pPr>
              <w:spacing w:line="300" w:lineRule="exact"/>
              <w:jc w:val="center"/>
              <w:rPr>
                <w:rFonts w:eastAsia="方正仿宋_GBK"/>
                <w:b/>
                <w:bCs/>
              </w:rPr>
            </w:pPr>
            <w:r>
              <w:rPr>
                <w:rFonts w:eastAsia="方正仿宋_GBK"/>
                <w:b/>
                <w:bCs/>
              </w:rPr>
              <w:t>项目</w:t>
            </w:r>
          </w:p>
          <w:p>
            <w:pPr>
              <w:spacing w:line="300" w:lineRule="exact"/>
              <w:jc w:val="center"/>
              <w:rPr>
                <w:rFonts w:eastAsia="仿宋_GB2312"/>
                <w:sz w:val="28"/>
                <w:szCs w:val="28"/>
              </w:rPr>
            </w:pPr>
            <w:r>
              <w:rPr>
                <w:rFonts w:eastAsia="方正仿宋_GBK"/>
                <w:b/>
                <w:bCs/>
              </w:rPr>
              <w:t>负责人</w:t>
            </w:r>
          </w:p>
        </w:tc>
        <w:tc>
          <w:tcPr>
            <w:tcW w:w="825" w:type="dxa"/>
            <w:vMerge w:val="restart"/>
            <w:noWrap/>
            <w:vAlign w:val="center"/>
          </w:tcPr>
          <w:p>
            <w:pPr>
              <w:spacing w:line="300" w:lineRule="exact"/>
              <w:jc w:val="center"/>
              <w:rPr>
                <w:rFonts w:eastAsia="仿宋_GB2312"/>
                <w:sz w:val="28"/>
                <w:szCs w:val="28"/>
              </w:rPr>
            </w:pPr>
            <w:r>
              <w:rPr>
                <w:rFonts w:eastAsia="方正仿宋_GBK"/>
                <w:b/>
                <w:bCs/>
              </w:rPr>
              <w:t>联系方式</w:t>
            </w:r>
          </w:p>
        </w:tc>
        <w:tc>
          <w:tcPr>
            <w:tcW w:w="2745" w:type="dxa"/>
            <w:gridSpan w:val="3"/>
            <w:noWrap/>
          </w:tcPr>
          <w:p>
            <w:pPr>
              <w:spacing w:line="300" w:lineRule="exact"/>
              <w:jc w:val="center"/>
              <w:rPr>
                <w:rFonts w:eastAsia="方正仿宋_GBK"/>
                <w:b/>
                <w:bCs/>
              </w:rPr>
            </w:pPr>
            <w:r>
              <w:rPr>
                <w:rFonts w:eastAsia="方正仿宋_GBK"/>
                <w:b/>
                <w:bCs/>
              </w:rPr>
              <w:t>问题类型</w:t>
            </w:r>
          </w:p>
          <w:p>
            <w:pPr>
              <w:spacing w:line="300" w:lineRule="exact"/>
              <w:jc w:val="center"/>
              <w:rPr>
                <w:rFonts w:eastAsia="仿宋_GB2312"/>
                <w:sz w:val="28"/>
                <w:szCs w:val="28"/>
              </w:rPr>
            </w:pPr>
            <w:r>
              <w:rPr>
                <w:rFonts w:eastAsia="方正仿宋_GBK"/>
                <w:b/>
                <w:bCs/>
              </w:rPr>
              <w:t>（在对应类型处填“√”）</w:t>
            </w:r>
          </w:p>
        </w:tc>
        <w:tc>
          <w:tcPr>
            <w:tcW w:w="3120" w:type="dxa"/>
            <w:gridSpan w:val="3"/>
            <w:noWrap/>
          </w:tcPr>
          <w:p>
            <w:pPr>
              <w:spacing w:line="300" w:lineRule="exact"/>
              <w:jc w:val="center"/>
              <w:rPr>
                <w:rFonts w:eastAsia="方正仿宋_GBK"/>
                <w:b/>
                <w:bCs/>
              </w:rPr>
            </w:pPr>
            <w:r>
              <w:rPr>
                <w:rFonts w:eastAsia="方正仿宋_GBK"/>
                <w:b/>
                <w:bCs/>
              </w:rPr>
              <w:t>违规问题分类</w:t>
            </w:r>
          </w:p>
          <w:p>
            <w:pPr>
              <w:spacing w:line="300" w:lineRule="exact"/>
              <w:jc w:val="center"/>
              <w:rPr>
                <w:rFonts w:eastAsia="仿宋_GB2312"/>
                <w:sz w:val="28"/>
                <w:szCs w:val="28"/>
              </w:rPr>
            </w:pPr>
            <w:r>
              <w:rPr>
                <w:rFonts w:eastAsia="方正仿宋_GBK"/>
                <w:b/>
                <w:bCs/>
              </w:rPr>
              <w:t>（在对应类型处填“√”）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68" w:type="dxa"/>
            <w:vMerge w:val="continue"/>
            <w:noWrap/>
          </w:tcPr>
          <w:p>
            <w:pPr>
              <w:spacing w:line="600" w:lineRule="exact"/>
              <w:rPr>
                <w:rFonts w:eastAsia="仿宋_GB2312"/>
                <w:sz w:val="28"/>
                <w:szCs w:val="28"/>
              </w:rPr>
            </w:pPr>
          </w:p>
        </w:tc>
        <w:tc>
          <w:tcPr>
            <w:tcW w:w="1245" w:type="dxa"/>
            <w:vMerge w:val="continue"/>
            <w:noWrap/>
          </w:tcPr>
          <w:p>
            <w:pPr>
              <w:spacing w:line="600" w:lineRule="exact"/>
              <w:rPr>
                <w:rFonts w:eastAsia="仿宋_GB2312"/>
                <w:sz w:val="28"/>
                <w:szCs w:val="28"/>
              </w:rPr>
            </w:pPr>
          </w:p>
        </w:tc>
        <w:tc>
          <w:tcPr>
            <w:tcW w:w="915" w:type="dxa"/>
            <w:vMerge w:val="continue"/>
            <w:noWrap/>
          </w:tcPr>
          <w:p>
            <w:pPr>
              <w:spacing w:line="600" w:lineRule="exact"/>
              <w:rPr>
                <w:rFonts w:eastAsia="仿宋_GB2312"/>
                <w:sz w:val="28"/>
                <w:szCs w:val="28"/>
              </w:rPr>
            </w:pPr>
          </w:p>
        </w:tc>
        <w:tc>
          <w:tcPr>
            <w:tcW w:w="1455" w:type="dxa"/>
            <w:vMerge w:val="continue"/>
            <w:noWrap/>
          </w:tcPr>
          <w:p>
            <w:pPr>
              <w:spacing w:line="600" w:lineRule="exact"/>
              <w:rPr>
                <w:rFonts w:eastAsia="仿宋_GB2312"/>
                <w:sz w:val="28"/>
                <w:szCs w:val="28"/>
              </w:rPr>
            </w:pPr>
          </w:p>
        </w:tc>
        <w:tc>
          <w:tcPr>
            <w:tcW w:w="1245" w:type="dxa"/>
            <w:vMerge w:val="continue"/>
            <w:noWrap/>
          </w:tcPr>
          <w:p>
            <w:pPr>
              <w:spacing w:line="600" w:lineRule="exact"/>
              <w:rPr>
                <w:rFonts w:eastAsia="仿宋_GB2312"/>
                <w:sz w:val="28"/>
                <w:szCs w:val="28"/>
              </w:rPr>
            </w:pPr>
          </w:p>
        </w:tc>
        <w:tc>
          <w:tcPr>
            <w:tcW w:w="1155" w:type="dxa"/>
            <w:vMerge w:val="continue"/>
            <w:noWrap/>
          </w:tcPr>
          <w:p>
            <w:pPr>
              <w:spacing w:line="600" w:lineRule="exact"/>
              <w:rPr>
                <w:rFonts w:eastAsia="仿宋_GB2312"/>
                <w:sz w:val="28"/>
                <w:szCs w:val="28"/>
              </w:rPr>
            </w:pPr>
          </w:p>
        </w:tc>
        <w:tc>
          <w:tcPr>
            <w:tcW w:w="975" w:type="dxa"/>
            <w:vMerge w:val="continue"/>
            <w:noWrap/>
          </w:tcPr>
          <w:p>
            <w:pPr>
              <w:spacing w:line="600" w:lineRule="exact"/>
              <w:rPr>
                <w:rFonts w:eastAsia="仿宋_GB2312"/>
                <w:sz w:val="28"/>
                <w:szCs w:val="28"/>
              </w:rPr>
            </w:pPr>
          </w:p>
        </w:tc>
        <w:tc>
          <w:tcPr>
            <w:tcW w:w="825" w:type="dxa"/>
            <w:vMerge w:val="continue"/>
            <w:noWrap/>
          </w:tcPr>
          <w:p>
            <w:pPr>
              <w:spacing w:line="600" w:lineRule="exact"/>
              <w:rPr>
                <w:rFonts w:eastAsia="仿宋_GB2312"/>
                <w:sz w:val="28"/>
                <w:szCs w:val="28"/>
              </w:rPr>
            </w:pPr>
          </w:p>
        </w:tc>
        <w:tc>
          <w:tcPr>
            <w:tcW w:w="915" w:type="dxa"/>
            <w:noWrap/>
          </w:tcPr>
          <w:p>
            <w:pPr>
              <w:spacing w:line="600" w:lineRule="exact"/>
              <w:jc w:val="center"/>
              <w:rPr>
                <w:rFonts w:eastAsia="方正仿宋_GBK"/>
                <w:b/>
                <w:bCs/>
              </w:rPr>
            </w:pPr>
            <w:r>
              <w:rPr>
                <w:rFonts w:hint="eastAsia" w:eastAsia="方正仿宋_GBK"/>
                <w:b/>
                <w:bCs/>
              </w:rPr>
              <w:t>（一）</w:t>
            </w:r>
          </w:p>
        </w:tc>
        <w:tc>
          <w:tcPr>
            <w:tcW w:w="870" w:type="dxa"/>
            <w:noWrap/>
          </w:tcPr>
          <w:p>
            <w:pPr>
              <w:spacing w:line="600" w:lineRule="exact"/>
              <w:jc w:val="center"/>
              <w:rPr>
                <w:rFonts w:eastAsia="方正仿宋_GBK"/>
                <w:b/>
                <w:bCs/>
              </w:rPr>
            </w:pPr>
            <w:r>
              <w:rPr>
                <w:rFonts w:hint="eastAsia" w:eastAsia="方正仿宋_GBK"/>
                <w:b/>
                <w:bCs/>
              </w:rPr>
              <w:t>（二）</w:t>
            </w:r>
          </w:p>
        </w:tc>
        <w:tc>
          <w:tcPr>
            <w:tcW w:w="960" w:type="dxa"/>
            <w:noWrap/>
          </w:tcPr>
          <w:p>
            <w:pPr>
              <w:spacing w:line="600" w:lineRule="exact"/>
              <w:jc w:val="center"/>
              <w:rPr>
                <w:rFonts w:eastAsia="方正仿宋_GBK"/>
                <w:b/>
                <w:bCs/>
              </w:rPr>
            </w:pPr>
            <w:r>
              <w:rPr>
                <w:rFonts w:hint="eastAsia" w:eastAsia="方正仿宋_GBK"/>
                <w:b/>
                <w:bCs/>
              </w:rPr>
              <w:t>（三）</w:t>
            </w:r>
          </w:p>
        </w:tc>
        <w:tc>
          <w:tcPr>
            <w:tcW w:w="1170" w:type="dxa"/>
            <w:noWrap/>
            <w:vAlign w:val="center"/>
          </w:tcPr>
          <w:p>
            <w:pPr>
              <w:spacing w:line="240" w:lineRule="exact"/>
              <w:jc w:val="center"/>
              <w:rPr>
                <w:rFonts w:eastAsia="仿宋_GB2312"/>
                <w:sz w:val="28"/>
                <w:szCs w:val="28"/>
              </w:rPr>
            </w:pPr>
            <w:r>
              <w:rPr>
                <w:rFonts w:eastAsia="方正仿宋_GBK"/>
                <w:b/>
                <w:bCs/>
              </w:rPr>
              <w:t>遗留未整改到位问题</w:t>
            </w:r>
          </w:p>
        </w:tc>
        <w:tc>
          <w:tcPr>
            <w:tcW w:w="1230" w:type="dxa"/>
            <w:noWrap/>
            <w:vAlign w:val="center"/>
          </w:tcPr>
          <w:p>
            <w:pPr>
              <w:spacing w:line="240" w:lineRule="exact"/>
              <w:jc w:val="center"/>
              <w:rPr>
                <w:rFonts w:eastAsia="仿宋_GB2312"/>
                <w:sz w:val="28"/>
                <w:szCs w:val="28"/>
              </w:rPr>
            </w:pPr>
            <w:r>
              <w:rPr>
                <w:rFonts w:eastAsia="方正仿宋_GBK"/>
                <w:b/>
                <w:bCs/>
              </w:rPr>
              <w:t>已整改到位改扩建反弹问题</w:t>
            </w:r>
          </w:p>
        </w:tc>
        <w:tc>
          <w:tcPr>
            <w:tcW w:w="720" w:type="dxa"/>
            <w:noWrap/>
            <w:vAlign w:val="center"/>
          </w:tcPr>
          <w:p>
            <w:pPr>
              <w:spacing w:line="240" w:lineRule="exact"/>
              <w:jc w:val="center"/>
              <w:rPr>
                <w:rFonts w:eastAsia="仿宋_GB2312"/>
                <w:sz w:val="28"/>
                <w:szCs w:val="28"/>
              </w:rPr>
            </w:pPr>
            <w:r>
              <w:rPr>
                <w:rFonts w:eastAsia="方正仿宋_GBK"/>
                <w:b/>
                <w:bCs/>
              </w:rPr>
              <w:t>新建违规问题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ign w:val="center"/>
          </w:tcPr>
          <w:p>
            <w:pPr>
              <w:spacing w:line="300" w:lineRule="exact"/>
              <w:jc w:val="center"/>
              <w:rPr>
                <w:rFonts w:eastAsia="方正仿宋_GBK"/>
                <w:b/>
                <w:bCs/>
              </w:rPr>
            </w:pPr>
            <w:r>
              <w:rPr>
                <w:rFonts w:eastAsia="方正仿宋_GBK"/>
              </w:rPr>
              <w:t>合计</w:t>
            </w:r>
          </w:p>
        </w:tc>
        <w:tc>
          <w:tcPr>
            <w:tcW w:w="1245" w:type="dxa"/>
            <w:noWrap/>
            <w:vAlign w:val="center"/>
          </w:tcPr>
          <w:p>
            <w:pPr>
              <w:spacing w:line="600" w:lineRule="exact"/>
              <w:jc w:val="center"/>
              <w:rPr>
                <w:rFonts w:eastAsia="仿宋_GB2312"/>
                <w:sz w:val="28"/>
                <w:szCs w:val="28"/>
              </w:rPr>
            </w:pPr>
            <w:r>
              <w:rPr>
                <w:rFonts w:hint="eastAsia" w:eastAsia="仿宋_GB2312"/>
                <w:sz w:val="28"/>
                <w:szCs w:val="28"/>
              </w:rPr>
              <w:t>/</w:t>
            </w:r>
          </w:p>
        </w:tc>
        <w:tc>
          <w:tcPr>
            <w:tcW w:w="915" w:type="dxa"/>
            <w:noWrap/>
            <w:vAlign w:val="center"/>
          </w:tcPr>
          <w:p>
            <w:pPr>
              <w:spacing w:line="600" w:lineRule="exact"/>
              <w:jc w:val="center"/>
              <w:rPr>
                <w:rFonts w:eastAsia="仿宋_GB2312"/>
                <w:sz w:val="28"/>
                <w:szCs w:val="28"/>
              </w:rPr>
            </w:pPr>
            <w:r>
              <w:rPr>
                <w:rFonts w:hint="eastAsia" w:eastAsia="仿宋_GB2312"/>
                <w:sz w:val="28"/>
                <w:szCs w:val="28"/>
              </w:rPr>
              <w:t>/</w:t>
            </w:r>
          </w:p>
        </w:tc>
        <w:tc>
          <w:tcPr>
            <w:tcW w:w="1455" w:type="dxa"/>
            <w:noWrap/>
            <w:vAlign w:val="center"/>
          </w:tcPr>
          <w:p>
            <w:pPr>
              <w:spacing w:line="600" w:lineRule="exact"/>
              <w:jc w:val="center"/>
              <w:rPr>
                <w:rFonts w:eastAsia="仿宋_GB2312"/>
                <w:sz w:val="28"/>
                <w:szCs w:val="28"/>
              </w:rPr>
            </w:pPr>
            <w:r>
              <w:rPr>
                <w:rFonts w:hint="eastAsia" w:eastAsia="仿宋_GB2312"/>
                <w:sz w:val="28"/>
                <w:szCs w:val="28"/>
              </w:rPr>
              <w:t>/</w:t>
            </w:r>
          </w:p>
        </w:tc>
        <w:tc>
          <w:tcPr>
            <w:tcW w:w="1245" w:type="dxa"/>
            <w:noWrap/>
            <w:vAlign w:val="center"/>
          </w:tcPr>
          <w:p>
            <w:pPr>
              <w:spacing w:line="600" w:lineRule="exact"/>
              <w:jc w:val="center"/>
              <w:rPr>
                <w:rFonts w:eastAsia="仿宋_GB2312"/>
                <w:sz w:val="28"/>
                <w:szCs w:val="28"/>
              </w:rPr>
            </w:pPr>
          </w:p>
        </w:tc>
        <w:tc>
          <w:tcPr>
            <w:tcW w:w="1155" w:type="dxa"/>
            <w:noWrap/>
            <w:vAlign w:val="center"/>
          </w:tcPr>
          <w:p>
            <w:pPr>
              <w:spacing w:line="600" w:lineRule="exact"/>
              <w:jc w:val="center"/>
              <w:rPr>
                <w:rFonts w:eastAsia="仿宋_GB2312"/>
                <w:sz w:val="28"/>
                <w:szCs w:val="28"/>
              </w:rPr>
            </w:pPr>
          </w:p>
        </w:tc>
        <w:tc>
          <w:tcPr>
            <w:tcW w:w="975" w:type="dxa"/>
            <w:noWrap/>
            <w:vAlign w:val="center"/>
          </w:tcPr>
          <w:p>
            <w:pPr>
              <w:spacing w:line="600" w:lineRule="exact"/>
              <w:jc w:val="center"/>
              <w:rPr>
                <w:rFonts w:eastAsia="仿宋_GB2312"/>
                <w:sz w:val="28"/>
                <w:szCs w:val="28"/>
              </w:rPr>
            </w:pPr>
            <w:r>
              <w:rPr>
                <w:rFonts w:hint="eastAsia" w:eastAsia="仿宋_GB2312"/>
                <w:sz w:val="28"/>
                <w:szCs w:val="28"/>
              </w:rPr>
              <w:t>/</w:t>
            </w:r>
          </w:p>
        </w:tc>
        <w:tc>
          <w:tcPr>
            <w:tcW w:w="825" w:type="dxa"/>
            <w:noWrap/>
            <w:vAlign w:val="center"/>
          </w:tcPr>
          <w:p>
            <w:pPr>
              <w:spacing w:line="600" w:lineRule="exact"/>
              <w:jc w:val="center"/>
              <w:rPr>
                <w:rFonts w:eastAsia="仿宋_GB2312"/>
                <w:sz w:val="28"/>
                <w:szCs w:val="28"/>
              </w:rPr>
            </w:pPr>
            <w:r>
              <w:rPr>
                <w:rFonts w:hint="eastAsia" w:eastAsia="仿宋_GB2312"/>
                <w:sz w:val="28"/>
                <w:szCs w:val="28"/>
              </w:rPr>
              <w:t>/</w:t>
            </w:r>
          </w:p>
        </w:tc>
        <w:tc>
          <w:tcPr>
            <w:tcW w:w="915" w:type="dxa"/>
            <w:noWrap/>
            <w:vAlign w:val="center"/>
          </w:tcPr>
          <w:p>
            <w:pPr>
              <w:spacing w:line="600" w:lineRule="exact"/>
              <w:jc w:val="center"/>
              <w:rPr>
                <w:rFonts w:eastAsia="仿宋_GB2312"/>
                <w:sz w:val="28"/>
                <w:szCs w:val="28"/>
              </w:rPr>
            </w:pPr>
            <w:r>
              <w:rPr>
                <w:rFonts w:hint="eastAsia" w:eastAsia="仿宋_GB2312"/>
                <w:sz w:val="28"/>
                <w:szCs w:val="28"/>
              </w:rPr>
              <w:t>/</w:t>
            </w:r>
          </w:p>
        </w:tc>
        <w:tc>
          <w:tcPr>
            <w:tcW w:w="870" w:type="dxa"/>
            <w:noWrap/>
            <w:vAlign w:val="center"/>
          </w:tcPr>
          <w:p>
            <w:pPr>
              <w:spacing w:line="600" w:lineRule="exact"/>
              <w:jc w:val="center"/>
              <w:rPr>
                <w:rFonts w:eastAsia="仿宋_GB2312"/>
                <w:sz w:val="28"/>
                <w:szCs w:val="28"/>
              </w:rPr>
            </w:pPr>
            <w:r>
              <w:rPr>
                <w:rFonts w:hint="eastAsia" w:eastAsia="仿宋_GB2312"/>
                <w:sz w:val="28"/>
                <w:szCs w:val="28"/>
              </w:rPr>
              <w:t>/</w:t>
            </w:r>
          </w:p>
        </w:tc>
        <w:tc>
          <w:tcPr>
            <w:tcW w:w="960" w:type="dxa"/>
            <w:noWrap/>
            <w:vAlign w:val="center"/>
          </w:tcPr>
          <w:p>
            <w:pPr>
              <w:spacing w:line="600" w:lineRule="exact"/>
              <w:jc w:val="center"/>
              <w:rPr>
                <w:rFonts w:eastAsia="仿宋_GB2312"/>
                <w:sz w:val="28"/>
                <w:szCs w:val="28"/>
              </w:rPr>
            </w:pPr>
            <w:r>
              <w:rPr>
                <w:rFonts w:hint="eastAsia" w:eastAsia="仿宋_GB2312"/>
                <w:sz w:val="28"/>
                <w:szCs w:val="28"/>
              </w:rPr>
              <w:t>/</w:t>
            </w:r>
          </w:p>
        </w:tc>
        <w:tc>
          <w:tcPr>
            <w:tcW w:w="1170" w:type="dxa"/>
            <w:noWrap/>
            <w:vAlign w:val="center"/>
          </w:tcPr>
          <w:p>
            <w:pPr>
              <w:spacing w:line="600" w:lineRule="exact"/>
              <w:jc w:val="center"/>
              <w:rPr>
                <w:rFonts w:eastAsia="仿宋_GB2312"/>
                <w:sz w:val="28"/>
                <w:szCs w:val="28"/>
              </w:rPr>
            </w:pPr>
            <w:r>
              <w:rPr>
                <w:rFonts w:hint="eastAsia" w:eastAsia="仿宋_GB2312"/>
                <w:sz w:val="28"/>
                <w:szCs w:val="28"/>
              </w:rPr>
              <w:t>/</w:t>
            </w:r>
          </w:p>
        </w:tc>
        <w:tc>
          <w:tcPr>
            <w:tcW w:w="1230" w:type="dxa"/>
            <w:noWrap/>
            <w:vAlign w:val="center"/>
          </w:tcPr>
          <w:p>
            <w:pPr>
              <w:spacing w:line="600" w:lineRule="exact"/>
              <w:jc w:val="center"/>
              <w:rPr>
                <w:rFonts w:eastAsia="仿宋_GB2312"/>
                <w:sz w:val="28"/>
                <w:szCs w:val="28"/>
              </w:rPr>
            </w:pPr>
            <w:r>
              <w:rPr>
                <w:rFonts w:hint="eastAsia" w:eastAsia="仿宋_GB2312"/>
                <w:sz w:val="28"/>
                <w:szCs w:val="28"/>
              </w:rPr>
              <w:t>/</w:t>
            </w:r>
          </w:p>
        </w:tc>
        <w:tc>
          <w:tcPr>
            <w:tcW w:w="720" w:type="dxa"/>
            <w:noWrap/>
            <w:vAlign w:val="center"/>
          </w:tcPr>
          <w:p>
            <w:pPr>
              <w:spacing w:line="600" w:lineRule="exact"/>
              <w:jc w:val="center"/>
              <w:rPr>
                <w:rFonts w:eastAsia="仿宋_GB2312"/>
                <w:sz w:val="28"/>
                <w:szCs w:val="28"/>
              </w:rPr>
            </w:pPr>
            <w:r>
              <w:rPr>
                <w:rFonts w:hint="eastAsia"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ign w:val="center"/>
          </w:tcPr>
          <w:p>
            <w:pPr>
              <w:spacing w:line="600" w:lineRule="exact"/>
              <w:jc w:val="center"/>
              <w:rPr>
                <w:rFonts w:eastAsia="仿宋_GB2312"/>
                <w:sz w:val="28"/>
                <w:szCs w:val="28"/>
              </w:rPr>
            </w:pPr>
          </w:p>
        </w:tc>
        <w:tc>
          <w:tcPr>
            <w:tcW w:w="1245" w:type="dxa"/>
            <w:noWrap/>
            <w:vAlign w:val="center"/>
          </w:tcPr>
          <w:p>
            <w:pPr>
              <w:spacing w:line="600" w:lineRule="exact"/>
              <w:jc w:val="center"/>
              <w:rPr>
                <w:rFonts w:eastAsia="仿宋_GB2312"/>
                <w:sz w:val="28"/>
                <w:szCs w:val="28"/>
              </w:rPr>
            </w:pPr>
          </w:p>
        </w:tc>
        <w:tc>
          <w:tcPr>
            <w:tcW w:w="915" w:type="dxa"/>
            <w:noWrap/>
            <w:vAlign w:val="center"/>
          </w:tcPr>
          <w:p>
            <w:pPr>
              <w:spacing w:line="600" w:lineRule="exact"/>
              <w:jc w:val="center"/>
              <w:rPr>
                <w:rFonts w:eastAsia="仿宋_GB2312"/>
                <w:sz w:val="28"/>
                <w:szCs w:val="28"/>
              </w:rPr>
            </w:pPr>
          </w:p>
        </w:tc>
        <w:tc>
          <w:tcPr>
            <w:tcW w:w="1455" w:type="dxa"/>
            <w:noWrap/>
            <w:vAlign w:val="center"/>
          </w:tcPr>
          <w:p>
            <w:pPr>
              <w:spacing w:line="600" w:lineRule="exact"/>
              <w:jc w:val="center"/>
              <w:rPr>
                <w:rFonts w:eastAsia="仿宋_GB2312"/>
                <w:sz w:val="28"/>
                <w:szCs w:val="28"/>
              </w:rPr>
            </w:pPr>
          </w:p>
        </w:tc>
        <w:tc>
          <w:tcPr>
            <w:tcW w:w="1245" w:type="dxa"/>
            <w:noWrap/>
            <w:vAlign w:val="center"/>
          </w:tcPr>
          <w:p>
            <w:pPr>
              <w:spacing w:line="600" w:lineRule="exact"/>
              <w:jc w:val="center"/>
              <w:rPr>
                <w:rFonts w:eastAsia="仿宋_GB2312"/>
                <w:sz w:val="28"/>
                <w:szCs w:val="28"/>
              </w:rPr>
            </w:pPr>
          </w:p>
        </w:tc>
        <w:tc>
          <w:tcPr>
            <w:tcW w:w="1155" w:type="dxa"/>
            <w:noWrap/>
            <w:vAlign w:val="center"/>
          </w:tcPr>
          <w:p>
            <w:pPr>
              <w:spacing w:line="600" w:lineRule="exact"/>
              <w:jc w:val="center"/>
              <w:rPr>
                <w:rFonts w:eastAsia="仿宋_GB2312"/>
                <w:sz w:val="28"/>
                <w:szCs w:val="28"/>
              </w:rPr>
            </w:pPr>
          </w:p>
        </w:tc>
        <w:tc>
          <w:tcPr>
            <w:tcW w:w="975" w:type="dxa"/>
            <w:noWrap/>
            <w:vAlign w:val="center"/>
          </w:tcPr>
          <w:p>
            <w:pPr>
              <w:spacing w:line="600" w:lineRule="exact"/>
              <w:jc w:val="center"/>
              <w:rPr>
                <w:rFonts w:eastAsia="仿宋_GB2312"/>
                <w:sz w:val="28"/>
                <w:szCs w:val="28"/>
              </w:rPr>
            </w:pPr>
          </w:p>
        </w:tc>
        <w:tc>
          <w:tcPr>
            <w:tcW w:w="825" w:type="dxa"/>
            <w:noWrap/>
            <w:vAlign w:val="center"/>
          </w:tcPr>
          <w:p>
            <w:pPr>
              <w:spacing w:line="600" w:lineRule="exact"/>
              <w:jc w:val="center"/>
              <w:rPr>
                <w:rFonts w:eastAsia="仿宋_GB2312"/>
                <w:sz w:val="28"/>
                <w:szCs w:val="28"/>
              </w:rPr>
            </w:pPr>
          </w:p>
        </w:tc>
        <w:tc>
          <w:tcPr>
            <w:tcW w:w="915" w:type="dxa"/>
            <w:noWrap/>
            <w:vAlign w:val="center"/>
          </w:tcPr>
          <w:p>
            <w:pPr>
              <w:spacing w:line="600" w:lineRule="exact"/>
              <w:jc w:val="center"/>
              <w:rPr>
                <w:rFonts w:eastAsia="仿宋_GB2312"/>
                <w:sz w:val="28"/>
                <w:szCs w:val="28"/>
              </w:rPr>
            </w:pPr>
          </w:p>
        </w:tc>
        <w:tc>
          <w:tcPr>
            <w:tcW w:w="870" w:type="dxa"/>
            <w:noWrap/>
            <w:vAlign w:val="center"/>
          </w:tcPr>
          <w:p>
            <w:pPr>
              <w:spacing w:line="600" w:lineRule="exact"/>
              <w:jc w:val="center"/>
              <w:rPr>
                <w:rFonts w:eastAsia="仿宋_GB2312"/>
                <w:sz w:val="28"/>
                <w:szCs w:val="28"/>
              </w:rPr>
            </w:pPr>
          </w:p>
        </w:tc>
        <w:tc>
          <w:tcPr>
            <w:tcW w:w="960" w:type="dxa"/>
            <w:noWrap/>
            <w:vAlign w:val="center"/>
          </w:tcPr>
          <w:p>
            <w:pPr>
              <w:spacing w:line="600" w:lineRule="exact"/>
              <w:jc w:val="center"/>
              <w:rPr>
                <w:rFonts w:eastAsia="仿宋_GB2312"/>
                <w:sz w:val="28"/>
                <w:szCs w:val="28"/>
              </w:rPr>
            </w:pPr>
          </w:p>
        </w:tc>
        <w:tc>
          <w:tcPr>
            <w:tcW w:w="1170" w:type="dxa"/>
            <w:noWrap/>
            <w:vAlign w:val="center"/>
          </w:tcPr>
          <w:p>
            <w:pPr>
              <w:spacing w:line="600" w:lineRule="exact"/>
              <w:jc w:val="center"/>
              <w:rPr>
                <w:rFonts w:eastAsia="仿宋_GB2312"/>
                <w:sz w:val="28"/>
                <w:szCs w:val="28"/>
              </w:rPr>
            </w:pPr>
          </w:p>
        </w:tc>
        <w:tc>
          <w:tcPr>
            <w:tcW w:w="1230" w:type="dxa"/>
            <w:noWrap/>
            <w:vAlign w:val="center"/>
          </w:tcPr>
          <w:p>
            <w:pPr>
              <w:spacing w:line="600" w:lineRule="exact"/>
              <w:jc w:val="center"/>
              <w:rPr>
                <w:rFonts w:eastAsia="仿宋_GB2312"/>
                <w:sz w:val="28"/>
                <w:szCs w:val="28"/>
              </w:rPr>
            </w:pPr>
          </w:p>
        </w:tc>
        <w:tc>
          <w:tcPr>
            <w:tcW w:w="720" w:type="dxa"/>
            <w:noWrap/>
            <w:vAlign w:val="center"/>
          </w:tcPr>
          <w:p>
            <w:pPr>
              <w:spacing w:line="6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ign w:val="center"/>
          </w:tcPr>
          <w:p>
            <w:pPr>
              <w:spacing w:line="600" w:lineRule="exact"/>
              <w:jc w:val="center"/>
              <w:rPr>
                <w:rFonts w:eastAsia="仿宋_GB2312"/>
                <w:sz w:val="28"/>
                <w:szCs w:val="28"/>
              </w:rPr>
            </w:pPr>
          </w:p>
        </w:tc>
        <w:tc>
          <w:tcPr>
            <w:tcW w:w="1245" w:type="dxa"/>
            <w:noWrap/>
            <w:vAlign w:val="center"/>
          </w:tcPr>
          <w:p>
            <w:pPr>
              <w:spacing w:line="600" w:lineRule="exact"/>
              <w:jc w:val="center"/>
              <w:rPr>
                <w:rFonts w:eastAsia="仿宋_GB2312"/>
                <w:sz w:val="28"/>
                <w:szCs w:val="28"/>
              </w:rPr>
            </w:pPr>
          </w:p>
        </w:tc>
        <w:tc>
          <w:tcPr>
            <w:tcW w:w="915" w:type="dxa"/>
            <w:noWrap/>
            <w:vAlign w:val="center"/>
          </w:tcPr>
          <w:p>
            <w:pPr>
              <w:spacing w:line="600" w:lineRule="exact"/>
              <w:jc w:val="center"/>
              <w:rPr>
                <w:rFonts w:eastAsia="仿宋_GB2312"/>
                <w:sz w:val="28"/>
                <w:szCs w:val="28"/>
              </w:rPr>
            </w:pPr>
          </w:p>
        </w:tc>
        <w:tc>
          <w:tcPr>
            <w:tcW w:w="1455" w:type="dxa"/>
            <w:noWrap/>
            <w:vAlign w:val="center"/>
          </w:tcPr>
          <w:p>
            <w:pPr>
              <w:spacing w:line="600" w:lineRule="exact"/>
              <w:jc w:val="center"/>
              <w:rPr>
                <w:rFonts w:eastAsia="仿宋_GB2312"/>
                <w:sz w:val="28"/>
                <w:szCs w:val="28"/>
              </w:rPr>
            </w:pPr>
          </w:p>
        </w:tc>
        <w:tc>
          <w:tcPr>
            <w:tcW w:w="1245" w:type="dxa"/>
            <w:noWrap/>
            <w:vAlign w:val="center"/>
          </w:tcPr>
          <w:p>
            <w:pPr>
              <w:spacing w:line="600" w:lineRule="exact"/>
              <w:jc w:val="center"/>
              <w:rPr>
                <w:rFonts w:eastAsia="仿宋_GB2312"/>
                <w:sz w:val="28"/>
                <w:szCs w:val="28"/>
              </w:rPr>
            </w:pPr>
          </w:p>
        </w:tc>
        <w:tc>
          <w:tcPr>
            <w:tcW w:w="1155" w:type="dxa"/>
            <w:noWrap/>
            <w:vAlign w:val="center"/>
          </w:tcPr>
          <w:p>
            <w:pPr>
              <w:spacing w:line="600" w:lineRule="exact"/>
              <w:jc w:val="center"/>
              <w:rPr>
                <w:rFonts w:eastAsia="仿宋_GB2312"/>
                <w:sz w:val="28"/>
                <w:szCs w:val="28"/>
              </w:rPr>
            </w:pPr>
          </w:p>
        </w:tc>
        <w:tc>
          <w:tcPr>
            <w:tcW w:w="975" w:type="dxa"/>
            <w:noWrap/>
            <w:vAlign w:val="center"/>
          </w:tcPr>
          <w:p>
            <w:pPr>
              <w:spacing w:line="600" w:lineRule="exact"/>
              <w:jc w:val="center"/>
              <w:rPr>
                <w:rFonts w:eastAsia="仿宋_GB2312"/>
                <w:sz w:val="28"/>
                <w:szCs w:val="28"/>
              </w:rPr>
            </w:pPr>
          </w:p>
        </w:tc>
        <w:tc>
          <w:tcPr>
            <w:tcW w:w="825" w:type="dxa"/>
            <w:noWrap/>
            <w:vAlign w:val="center"/>
          </w:tcPr>
          <w:p>
            <w:pPr>
              <w:spacing w:line="600" w:lineRule="exact"/>
              <w:jc w:val="center"/>
              <w:rPr>
                <w:rFonts w:eastAsia="仿宋_GB2312"/>
                <w:sz w:val="28"/>
                <w:szCs w:val="28"/>
              </w:rPr>
            </w:pPr>
          </w:p>
        </w:tc>
        <w:tc>
          <w:tcPr>
            <w:tcW w:w="915" w:type="dxa"/>
            <w:noWrap/>
            <w:vAlign w:val="center"/>
          </w:tcPr>
          <w:p>
            <w:pPr>
              <w:spacing w:line="600" w:lineRule="exact"/>
              <w:jc w:val="center"/>
              <w:rPr>
                <w:rFonts w:eastAsia="仿宋_GB2312"/>
                <w:sz w:val="28"/>
                <w:szCs w:val="28"/>
              </w:rPr>
            </w:pPr>
          </w:p>
        </w:tc>
        <w:tc>
          <w:tcPr>
            <w:tcW w:w="870" w:type="dxa"/>
            <w:noWrap/>
            <w:vAlign w:val="center"/>
          </w:tcPr>
          <w:p>
            <w:pPr>
              <w:spacing w:line="600" w:lineRule="exact"/>
              <w:jc w:val="center"/>
              <w:rPr>
                <w:rFonts w:eastAsia="仿宋_GB2312"/>
                <w:sz w:val="28"/>
                <w:szCs w:val="28"/>
              </w:rPr>
            </w:pPr>
          </w:p>
        </w:tc>
        <w:tc>
          <w:tcPr>
            <w:tcW w:w="960" w:type="dxa"/>
            <w:noWrap/>
            <w:vAlign w:val="center"/>
          </w:tcPr>
          <w:p>
            <w:pPr>
              <w:spacing w:line="600" w:lineRule="exact"/>
              <w:jc w:val="center"/>
              <w:rPr>
                <w:rFonts w:eastAsia="仿宋_GB2312"/>
                <w:sz w:val="28"/>
                <w:szCs w:val="28"/>
              </w:rPr>
            </w:pPr>
          </w:p>
        </w:tc>
        <w:tc>
          <w:tcPr>
            <w:tcW w:w="1170" w:type="dxa"/>
            <w:noWrap/>
            <w:vAlign w:val="center"/>
          </w:tcPr>
          <w:p>
            <w:pPr>
              <w:spacing w:line="600" w:lineRule="exact"/>
              <w:jc w:val="center"/>
              <w:rPr>
                <w:rFonts w:eastAsia="仿宋_GB2312"/>
                <w:sz w:val="28"/>
                <w:szCs w:val="28"/>
              </w:rPr>
            </w:pPr>
          </w:p>
        </w:tc>
        <w:tc>
          <w:tcPr>
            <w:tcW w:w="1230" w:type="dxa"/>
            <w:noWrap/>
            <w:vAlign w:val="center"/>
          </w:tcPr>
          <w:p>
            <w:pPr>
              <w:spacing w:line="600" w:lineRule="exact"/>
              <w:jc w:val="center"/>
              <w:rPr>
                <w:rFonts w:eastAsia="仿宋_GB2312"/>
                <w:sz w:val="28"/>
                <w:szCs w:val="28"/>
              </w:rPr>
            </w:pPr>
          </w:p>
        </w:tc>
        <w:tc>
          <w:tcPr>
            <w:tcW w:w="720" w:type="dxa"/>
            <w:noWrap/>
            <w:vAlign w:val="center"/>
          </w:tcPr>
          <w:p>
            <w:pPr>
              <w:spacing w:line="6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ign w:val="center"/>
          </w:tcPr>
          <w:p>
            <w:pPr>
              <w:spacing w:line="600" w:lineRule="exact"/>
              <w:jc w:val="center"/>
              <w:rPr>
                <w:rFonts w:eastAsia="仿宋_GB2312"/>
                <w:sz w:val="28"/>
                <w:szCs w:val="28"/>
              </w:rPr>
            </w:pPr>
          </w:p>
        </w:tc>
        <w:tc>
          <w:tcPr>
            <w:tcW w:w="1245" w:type="dxa"/>
            <w:noWrap/>
            <w:vAlign w:val="center"/>
          </w:tcPr>
          <w:p>
            <w:pPr>
              <w:spacing w:line="600" w:lineRule="exact"/>
              <w:jc w:val="center"/>
              <w:rPr>
                <w:rFonts w:eastAsia="仿宋_GB2312"/>
                <w:sz w:val="28"/>
                <w:szCs w:val="28"/>
              </w:rPr>
            </w:pPr>
          </w:p>
        </w:tc>
        <w:tc>
          <w:tcPr>
            <w:tcW w:w="915" w:type="dxa"/>
            <w:noWrap/>
            <w:vAlign w:val="center"/>
          </w:tcPr>
          <w:p>
            <w:pPr>
              <w:spacing w:line="600" w:lineRule="exact"/>
              <w:jc w:val="center"/>
              <w:rPr>
                <w:rFonts w:eastAsia="仿宋_GB2312"/>
                <w:sz w:val="28"/>
                <w:szCs w:val="28"/>
              </w:rPr>
            </w:pPr>
          </w:p>
        </w:tc>
        <w:tc>
          <w:tcPr>
            <w:tcW w:w="1455" w:type="dxa"/>
            <w:noWrap/>
            <w:vAlign w:val="center"/>
          </w:tcPr>
          <w:p>
            <w:pPr>
              <w:spacing w:line="600" w:lineRule="exact"/>
              <w:jc w:val="center"/>
              <w:rPr>
                <w:rFonts w:eastAsia="仿宋_GB2312"/>
                <w:sz w:val="28"/>
                <w:szCs w:val="28"/>
              </w:rPr>
            </w:pPr>
          </w:p>
        </w:tc>
        <w:tc>
          <w:tcPr>
            <w:tcW w:w="1245" w:type="dxa"/>
            <w:noWrap/>
            <w:vAlign w:val="center"/>
          </w:tcPr>
          <w:p>
            <w:pPr>
              <w:spacing w:line="600" w:lineRule="exact"/>
              <w:jc w:val="center"/>
              <w:rPr>
                <w:rFonts w:eastAsia="仿宋_GB2312"/>
                <w:sz w:val="28"/>
                <w:szCs w:val="28"/>
              </w:rPr>
            </w:pPr>
          </w:p>
        </w:tc>
        <w:tc>
          <w:tcPr>
            <w:tcW w:w="1155" w:type="dxa"/>
            <w:noWrap/>
            <w:vAlign w:val="center"/>
          </w:tcPr>
          <w:p>
            <w:pPr>
              <w:spacing w:line="600" w:lineRule="exact"/>
              <w:jc w:val="center"/>
              <w:rPr>
                <w:rFonts w:eastAsia="仿宋_GB2312"/>
                <w:sz w:val="28"/>
                <w:szCs w:val="28"/>
              </w:rPr>
            </w:pPr>
          </w:p>
        </w:tc>
        <w:tc>
          <w:tcPr>
            <w:tcW w:w="975" w:type="dxa"/>
            <w:noWrap/>
            <w:vAlign w:val="center"/>
          </w:tcPr>
          <w:p>
            <w:pPr>
              <w:spacing w:line="600" w:lineRule="exact"/>
              <w:jc w:val="center"/>
              <w:rPr>
                <w:rFonts w:eastAsia="仿宋_GB2312"/>
                <w:sz w:val="28"/>
                <w:szCs w:val="28"/>
              </w:rPr>
            </w:pPr>
          </w:p>
        </w:tc>
        <w:tc>
          <w:tcPr>
            <w:tcW w:w="825" w:type="dxa"/>
            <w:noWrap/>
            <w:vAlign w:val="center"/>
          </w:tcPr>
          <w:p>
            <w:pPr>
              <w:spacing w:line="600" w:lineRule="exact"/>
              <w:jc w:val="center"/>
              <w:rPr>
                <w:rFonts w:eastAsia="仿宋_GB2312"/>
                <w:sz w:val="28"/>
                <w:szCs w:val="28"/>
              </w:rPr>
            </w:pPr>
          </w:p>
        </w:tc>
        <w:tc>
          <w:tcPr>
            <w:tcW w:w="915" w:type="dxa"/>
            <w:noWrap/>
            <w:vAlign w:val="center"/>
          </w:tcPr>
          <w:p>
            <w:pPr>
              <w:spacing w:line="600" w:lineRule="exact"/>
              <w:jc w:val="center"/>
              <w:rPr>
                <w:rFonts w:eastAsia="仿宋_GB2312"/>
                <w:sz w:val="28"/>
                <w:szCs w:val="28"/>
              </w:rPr>
            </w:pPr>
          </w:p>
        </w:tc>
        <w:tc>
          <w:tcPr>
            <w:tcW w:w="870" w:type="dxa"/>
            <w:noWrap/>
            <w:vAlign w:val="center"/>
          </w:tcPr>
          <w:p>
            <w:pPr>
              <w:spacing w:line="600" w:lineRule="exact"/>
              <w:jc w:val="center"/>
              <w:rPr>
                <w:rFonts w:eastAsia="仿宋_GB2312"/>
                <w:sz w:val="28"/>
                <w:szCs w:val="28"/>
              </w:rPr>
            </w:pPr>
          </w:p>
        </w:tc>
        <w:tc>
          <w:tcPr>
            <w:tcW w:w="960" w:type="dxa"/>
            <w:noWrap/>
            <w:vAlign w:val="center"/>
          </w:tcPr>
          <w:p>
            <w:pPr>
              <w:spacing w:line="600" w:lineRule="exact"/>
              <w:jc w:val="center"/>
              <w:rPr>
                <w:rFonts w:eastAsia="仿宋_GB2312"/>
                <w:sz w:val="28"/>
                <w:szCs w:val="28"/>
              </w:rPr>
            </w:pPr>
          </w:p>
        </w:tc>
        <w:tc>
          <w:tcPr>
            <w:tcW w:w="1170" w:type="dxa"/>
            <w:noWrap/>
            <w:vAlign w:val="center"/>
          </w:tcPr>
          <w:p>
            <w:pPr>
              <w:spacing w:line="600" w:lineRule="exact"/>
              <w:jc w:val="center"/>
              <w:rPr>
                <w:rFonts w:eastAsia="仿宋_GB2312"/>
                <w:sz w:val="28"/>
                <w:szCs w:val="28"/>
              </w:rPr>
            </w:pPr>
          </w:p>
        </w:tc>
        <w:tc>
          <w:tcPr>
            <w:tcW w:w="1230" w:type="dxa"/>
            <w:noWrap/>
            <w:vAlign w:val="center"/>
          </w:tcPr>
          <w:p>
            <w:pPr>
              <w:spacing w:line="600" w:lineRule="exact"/>
              <w:jc w:val="center"/>
              <w:rPr>
                <w:rFonts w:eastAsia="仿宋_GB2312"/>
                <w:sz w:val="28"/>
                <w:szCs w:val="28"/>
              </w:rPr>
            </w:pPr>
          </w:p>
        </w:tc>
        <w:tc>
          <w:tcPr>
            <w:tcW w:w="720" w:type="dxa"/>
            <w:noWrap/>
            <w:vAlign w:val="center"/>
          </w:tcPr>
          <w:p>
            <w:pPr>
              <w:spacing w:line="600" w:lineRule="exact"/>
              <w:jc w:val="center"/>
              <w:rPr>
                <w:rFonts w:eastAsia="仿宋_GB2312"/>
                <w:sz w:val="28"/>
                <w:szCs w:val="28"/>
              </w:rPr>
            </w:pPr>
          </w:p>
        </w:tc>
      </w:tr>
    </w:tbl>
    <w:p>
      <w:pPr>
        <w:pStyle w:val="16"/>
        <w:spacing w:after="180" w:line="240" w:lineRule="auto"/>
        <w:ind w:firstLine="0"/>
        <w:rPr>
          <w:sz w:val="30"/>
          <w:szCs w:val="30"/>
          <w:lang w:eastAsia="zh-CN"/>
        </w:rPr>
      </w:pPr>
      <w:r>
        <w:rPr>
          <w:rFonts w:hint="eastAsia" w:ascii="Times New Roman" w:hAnsi="Times New Roman" w:eastAsia="方正仿宋_GBK"/>
          <w:sz w:val="24"/>
          <w:szCs w:val="24"/>
        </w:rPr>
        <w:t>注：</w:t>
      </w:r>
      <w:r>
        <w:rPr>
          <w:rFonts w:hint="eastAsia" w:ascii="Times New Roman" w:hAnsi="Times New Roman" w:eastAsia="方正仿宋_GBK"/>
          <w:b/>
          <w:bCs/>
          <w:sz w:val="24"/>
          <w:szCs w:val="24"/>
        </w:rPr>
        <w:t>“违规建设问题数量”</w:t>
      </w:r>
      <w:r>
        <w:rPr>
          <w:rFonts w:hint="eastAsia" w:ascii="Times New Roman" w:hAnsi="Times New Roman" w:eastAsia="方正仿宋_GBK"/>
          <w:sz w:val="24"/>
          <w:szCs w:val="24"/>
        </w:rPr>
        <w:t>是指违规建设一个棚、一个建筑设施、一个看护房面积超标均计一个问题。</w:t>
      </w:r>
      <w:r>
        <w:rPr>
          <w:rFonts w:hint="eastAsia" w:ascii="Times New Roman" w:hAnsi="Times New Roman" w:eastAsia="方正仿宋_GBK"/>
          <w:b/>
          <w:bCs/>
          <w:sz w:val="24"/>
          <w:szCs w:val="24"/>
        </w:rPr>
        <w:t>“问题类型”</w:t>
      </w:r>
      <w:r>
        <w:rPr>
          <w:rFonts w:hint="eastAsia" w:ascii="Times New Roman" w:hAnsi="Times New Roman" w:eastAsia="方正仿宋_GBK"/>
          <w:sz w:val="24"/>
          <w:szCs w:val="24"/>
        </w:rPr>
        <w:t>参见实施方案第二部分排查整治范围。“</w:t>
      </w:r>
      <w:r>
        <w:rPr>
          <w:rFonts w:hint="eastAsia" w:ascii="Times New Roman" w:hAnsi="Times New Roman" w:eastAsia="方正仿宋_GBK"/>
          <w:b/>
          <w:bCs/>
          <w:sz w:val="24"/>
          <w:szCs w:val="24"/>
        </w:rPr>
        <w:t>遗留未整改到位问题”</w:t>
      </w:r>
      <w:r>
        <w:rPr>
          <w:rFonts w:hint="eastAsia" w:ascii="Times New Roman" w:hAnsi="Times New Roman" w:eastAsia="方正仿宋_GBK"/>
          <w:sz w:val="24"/>
          <w:szCs w:val="24"/>
        </w:rPr>
        <w:t>是指“大棚房”问题专项清理整治行动中遗留未整改完成的问题；“</w:t>
      </w:r>
      <w:r>
        <w:rPr>
          <w:rFonts w:hint="eastAsia" w:ascii="Times New Roman" w:hAnsi="Times New Roman" w:eastAsia="方正仿宋_GBK"/>
          <w:b/>
          <w:bCs/>
          <w:sz w:val="24"/>
          <w:szCs w:val="24"/>
        </w:rPr>
        <w:t>已整改到位改扩建反弹问题”</w:t>
      </w:r>
      <w:r>
        <w:rPr>
          <w:rFonts w:hint="eastAsia" w:ascii="Times New Roman" w:hAnsi="Times New Roman" w:eastAsia="方正仿宋_GBK"/>
          <w:sz w:val="24"/>
          <w:szCs w:val="24"/>
        </w:rPr>
        <w:t>是指专项行动中已整改完成之后又反弹的问题；</w:t>
      </w:r>
      <w:r>
        <w:rPr>
          <w:rFonts w:hint="eastAsia" w:ascii="Times New Roman" w:hAnsi="Times New Roman" w:eastAsia="方正仿宋_GBK"/>
          <w:b/>
          <w:bCs/>
          <w:sz w:val="24"/>
          <w:szCs w:val="24"/>
        </w:rPr>
        <w:t>“新建违规问题”</w:t>
      </w:r>
      <w:r>
        <w:rPr>
          <w:rFonts w:hint="eastAsia" w:ascii="Times New Roman" w:hAnsi="Times New Roman" w:eastAsia="方正仿宋_GBK"/>
          <w:sz w:val="24"/>
          <w:szCs w:val="24"/>
        </w:rPr>
        <w:t>是指“大棚房”问题“回头看”中新发现的问题。</w:t>
      </w:r>
      <w:r>
        <w:rPr>
          <w:sz w:val="30"/>
          <w:szCs w:val="30"/>
          <w:lang w:eastAsia="zh-CN"/>
        </w:rPr>
        <w:br w:type="page"/>
      </w:r>
    </w:p>
    <w:p>
      <w:pPr>
        <w:spacing w:line="600" w:lineRule="exact"/>
        <w:rPr>
          <w:rFonts w:eastAsia="方正仿宋_GBK"/>
          <w:sz w:val="32"/>
          <w:szCs w:val="32"/>
        </w:rPr>
      </w:pPr>
      <w:r>
        <w:rPr>
          <w:rFonts w:hint="eastAsia" w:eastAsia="方正仿宋_GBK"/>
          <w:sz w:val="32"/>
          <w:szCs w:val="32"/>
          <w:lang w:val="zh-CN"/>
        </w:rPr>
        <w:t>附件</w:t>
      </w:r>
      <w:r>
        <w:rPr>
          <w:rFonts w:hint="eastAsia" w:eastAsia="方正仿宋_GBK"/>
          <w:sz w:val="32"/>
          <w:szCs w:val="32"/>
        </w:rPr>
        <w:t>5</w:t>
      </w:r>
    </w:p>
    <w:p>
      <w:pPr>
        <w:pStyle w:val="20"/>
        <w:keepNext/>
        <w:keepLines/>
        <w:spacing w:after="360" w:line="240" w:lineRule="auto"/>
        <w:rPr>
          <w:rFonts w:ascii="方正小标宋简体" w:eastAsia="方正小标宋简体"/>
          <w:sz w:val="36"/>
          <w:szCs w:val="36"/>
          <w:lang w:val="en-US" w:eastAsia="zh-CN"/>
        </w:rPr>
      </w:pPr>
      <w:r>
        <w:rPr>
          <w:rFonts w:hint="eastAsia" w:ascii="方正小标宋简体" w:eastAsia="方正小标宋简体"/>
          <w:sz w:val="36"/>
          <w:szCs w:val="36"/>
          <w:lang w:val="zh-CN" w:eastAsia="zh-CN"/>
        </w:rPr>
        <w:t>“大棚房”问题专项清理整治行动“回头看”工作联络员信息表</w:t>
      </w:r>
    </w:p>
    <w:p>
      <w:pPr>
        <w:pStyle w:val="16"/>
        <w:spacing w:after="300" w:line="413" w:lineRule="exact"/>
        <w:ind w:firstLine="0"/>
        <w:rPr>
          <w:u w:val="single"/>
          <w:lang w:val="en-US" w:eastAsia="zh-CN"/>
        </w:rPr>
      </w:pPr>
      <w:r>
        <w:rPr>
          <w:rFonts w:hint="eastAsia"/>
          <w:u w:val="single"/>
          <w:lang w:val="en-US" w:eastAsia="zh-CN"/>
        </w:rPr>
        <w:t xml:space="preserve">          （盖章）</w:t>
      </w:r>
      <w:r>
        <w:rPr>
          <w:rFonts w:hint="eastAsia"/>
          <w:lang w:val="en-US" w:eastAsia="zh-CN"/>
        </w:rPr>
        <w:t>（社区）</w:t>
      </w:r>
    </w:p>
    <w:tbl>
      <w:tblPr>
        <w:tblStyle w:val="1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2"/>
        <w:gridCol w:w="3243"/>
        <w:gridCol w:w="3243"/>
        <w:gridCol w:w="3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250" w:type="pct"/>
            <w:vAlign w:val="center"/>
          </w:tcPr>
          <w:p>
            <w:pPr>
              <w:pStyle w:val="16"/>
              <w:spacing w:line="413" w:lineRule="exact"/>
              <w:ind w:firstLine="0"/>
              <w:jc w:val="center"/>
              <w:rPr>
                <w:lang w:eastAsia="zh-CN"/>
              </w:rPr>
            </w:pPr>
            <w:r>
              <w:rPr>
                <w:rFonts w:hint="eastAsia"/>
                <w:lang w:eastAsia="zh-CN"/>
              </w:rPr>
              <w:t>联络员姓名</w:t>
            </w:r>
          </w:p>
        </w:tc>
        <w:tc>
          <w:tcPr>
            <w:tcW w:w="1250" w:type="pct"/>
            <w:vAlign w:val="center"/>
          </w:tcPr>
          <w:p>
            <w:pPr>
              <w:pStyle w:val="16"/>
              <w:spacing w:line="413" w:lineRule="exact"/>
              <w:ind w:firstLine="0"/>
              <w:jc w:val="center"/>
              <w:rPr>
                <w:lang w:eastAsia="zh-CN"/>
              </w:rPr>
            </w:pPr>
            <w:r>
              <w:rPr>
                <w:rFonts w:hint="eastAsia"/>
                <w:lang w:eastAsia="zh-CN"/>
              </w:rPr>
              <w:t>职务</w:t>
            </w:r>
          </w:p>
        </w:tc>
        <w:tc>
          <w:tcPr>
            <w:tcW w:w="1250" w:type="pct"/>
            <w:vAlign w:val="center"/>
          </w:tcPr>
          <w:p>
            <w:pPr>
              <w:pStyle w:val="16"/>
              <w:spacing w:line="413" w:lineRule="exact"/>
              <w:ind w:firstLine="0"/>
              <w:jc w:val="center"/>
              <w:rPr>
                <w:lang w:eastAsia="zh-CN"/>
              </w:rPr>
            </w:pPr>
            <w:r>
              <w:rPr>
                <w:rFonts w:hint="eastAsia"/>
                <w:lang w:eastAsia="zh-CN"/>
              </w:rPr>
              <w:t>联络员联系电话</w:t>
            </w:r>
          </w:p>
        </w:tc>
        <w:tc>
          <w:tcPr>
            <w:tcW w:w="1250" w:type="pct"/>
            <w:vAlign w:val="center"/>
          </w:tcPr>
          <w:p>
            <w:pPr>
              <w:pStyle w:val="16"/>
              <w:spacing w:line="413" w:lineRule="exact"/>
              <w:ind w:firstLine="0"/>
              <w:jc w:val="center"/>
              <w:rPr>
                <w:lang w:eastAsia="zh-CN"/>
              </w:rPr>
            </w:pPr>
            <w:r>
              <w:rPr>
                <w:rFonts w:hint="eastAsia"/>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vAlign w:val="center"/>
          </w:tcPr>
          <w:p>
            <w:pPr>
              <w:pStyle w:val="16"/>
              <w:spacing w:after="300" w:line="413" w:lineRule="exact"/>
              <w:jc w:val="center"/>
            </w:pPr>
          </w:p>
        </w:tc>
        <w:tc>
          <w:tcPr>
            <w:tcW w:w="1250" w:type="pct"/>
            <w:vAlign w:val="center"/>
          </w:tcPr>
          <w:p>
            <w:pPr>
              <w:pStyle w:val="16"/>
              <w:spacing w:after="300" w:line="413" w:lineRule="exact"/>
              <w:jc w:val="center"/>
            </w:pPr>
          </w:p>
        </w:tc>
        <w:tc>
          <w:tcPr>
            <w:tcW w:w="1250" w:type="pct"/>
            <w:vAlign w:val="center"/>
          </w:tcPr>
          <w:p>
            <w:pPr>
              <w:pStyle w:val="16"/>
              <w:spacing w:after="300" w:line="413" w:lineRule="exact"/>
              <w:jc w:val="center"/>
            </w:pPr>
          </w:p>
        </w:tc>
        <w:tc>
          <w:tcPr>
            <w:tcW w:w="1250" w:type="pct"/>
            <w:vAlign w:val="center"/>
          </w:tcPr>
          <w:p>
            <w:pPr>
              <w:pStyle w:val="16"/>
              <w:spacing w:after="300" w:line="413" w:lineRule="exact"/>
              <w:jc w:val="center"/>
            </w:pPr>
          </w:p>
        </w:tc>
      </w:tr>
    </w:tbl>
    <w:p>
      <w:pPr>
        <w:pStyle w:val="16"/>
        <w:spacing w:after="300" w:line="413" w:lineRule="exact"/>
        <w:ind w:firstLine="0"/>
      </w:pPr>
    </w:p>
    <w:p>
      <w:pPr>
        <w:pStyle w:val="8"/>
        <w:widowControl/>
        <w:spacing w:after="0" w:line="600" w:lineRule="exact"/>
        <w:rPr>
          <w:rFonts w:eastAsia="仿宋_GB2312"/>
          <w:sz w:val="32"/>
          <w:szCs w:val="32"/>
        </w:rPr>
      </w:pPr>
    </w:p>
    <w:sectPr>
      <w:headerReference r:id="rId8" w:type="default"/>
      <w:headerReference r:id="rId9" w:type="even"/>
      <w:footerReference r:id="rId10" w:type="even"/>
      <w:pgSz w:w="16840" w:h="11900" w:orient="landscape"/>
      <w:pgMar w:top="1531" w:right="2098" w:bottom="1531" w:left="1984" w:header="0" w:footer="1134" w:gutter="0"/>
      <w:pgNumType w:fmt="numberInDash"/>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asciiTheme="minorEastAsia" w:hAnsiTheme="minorEastAsia" w:eastAsiaTheme="minorEastAsia"/>
        <w:sz w:val="28"/>
        <w:szCs w:val="28"/>
      </w:rPr>
    </w:pPr>
    <w:sdt>
      <w:sdtPr>
        <w:id w:val="3006722"/>
        <w:docPartObj>
          <w:docPartGallery w:val="AutoText"/>
        </w:docPartObj>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sdtContent>
    </w:sdt>
    <w:r>
      <w:rPr>
        <w:rFonts w:hint="eastAsia" w:asciiTheme="minorEastAsia" w:hAnsiTheme="minorEastAsia" w:eastAsiaTheme="minor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97893"/>
      <w:docPartObj>
        <w:docPartGallery w:val="AutoText"/>
      </w:docPartObj>
    </w:sdtPr>
    <w:sdtContent>
      <w:p>
        <w:pPr>
          <w:pStyle w:val="6"/>
        </w:pPr>
        <w:r>
          <w:rPr>
            <w:rFonts w:hint="eastAsia"/>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6732"/>
      <w:docPartObj>
        <w:docPartGallery w:val="AutoText"/>
      </w:docPartObj>
    </w:sdtPr>
    <w:sdtEndPr>
      <w:rPr>
        <w:rFonts w:asciiTheme="minorEastAsia" w:hAnsiTheme="minorEastAsia" w:eastAsiaTheme="minorEastAsia"/>
        <w:sz w:val="28"/>
        <w:szCs w:val="28"/>
      </w:rPr>
    </w:sdtEndPr>
    <w:sdtContent>
      <w:p>
        <w:pPr>
          <w:pStyle w:val="6"/>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13 -</w:t>
        </w:r>
        <w:r>
          <w:rPr>
            <w:rFonts w:asciiTheme="minorEastAsia" w:hAnsiTheme="minorEastAsia" w:eastAsiaTheme="minorEastAsia"/>
            <w:sz w:val="28"/>
            <w:szCs w:val="28"/>
          </w:rPr>
          <w:fldChar w:fldCharType="end"/>
        </w:r>
      </w:p>
    </w:sdtContent>
  </w:sdt>
  <w:p>
    <w:pPr>
      <w:pStyle w:val="6"/>
      <w:wordWrap w:val="0"/>
      <w:jc w:val="right"/>
      <w:rPr>
        <w:rFonts w:asciiTheme="minorEastAsia" w:hAnsiTheme="minorEastAsia" w:eastAsiaTheme="minorEastAsia"/>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14 -</w:t>
    </w:r>
    <w:r>
      <w:rPr>
        <w:rFonts w:asciiTheme="minorEastAsia" w:hAnsiTheme="minorEastAsia" w:eastAsiaTheme="minorEastAsia"/>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evenAndOddHeaders w:val="1"/>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EzMDE3ZWY0NDJlMzVlZTNmNThmMWU2MTg3Njc1NjYifQ=="/>
  </w:docVars>
  <w:rsids>
    <w:rsidRoot w:val="002A1279"/>
    <w:rsid w:val="000039B2"/>
    <w:rsid w:val="00012FCE"/>
    <w:rsid w:val="00034B12"/>
    <w:rsid w:val="00041749"/>
    <w:rsid w:val="00062F9B"/>
    <w:rsid w:val="000709BC"/>
    <w:rsid w:val="00071E6D"/>
    <w:rsid w:val="000750E7"/>
    <w:rsid w:val="00075320"/>
    <w:rsid w:val="000765F8"/>
    <w:rsid w:val="000A4552"/>
    <w:rsid w:val="000B7322"/>
    <w:rsid w:val="00105F64"/>
    <w:rsid w:val="00114064"/>
    <w:rsid w:val="0012058B"/>
    <w:rsid w:val="001263C9"/>
    <w:rsid w:val="00145C41"/>
    <w:rsid w:val="0016504A"/>
    <w:rsid w:val="00185EEB"/>
    <w:rsid w:val="001A199F"/>
    <w:rsid w:val="001C0FE5"/>
    <w:rsid w:val="001C67BB"/>
    <w:rsid w:val="001E3CBC"/>
    <w:rsid w:val="001E4424"/>
    <w:rsid w:val="001F649E"/>
    <w:rsid w:val="001F75C8"/>
    <w:rsid w:val="00202797"/>
    <w:rsid w:val="00285794"/>
    <w:rsid w:val="002A0C38"/>
    <w:rsid w:val="002A1279"/>
    <w:rsid w:val="002C2CA2"/>
    <w:rsid w:val="002D176C"/>
    <w:rsid w:val="002D2E3B"/>
    <w:rsid w:val="003442EB"/>
    <w:rsid w:val="00351486"/>
    <w:rsid w:val="003767ED"/>
    <w:rsid w:val="00396A66"/>
    <w:rsid w:val="003D7124"/>
    <w:rsid w:val="00467098"/>
    <w:rsid w:val="00480959"/>
    <w:rsid w:val="0049644C"/>
    <w:rsid w:val="004C4C0D"/>
    <w:rsid w:val="004E5B39"/>
    <w:rsid w:val="0050784E"/>
    <w:rsid w:val="0051014D"/>
    <w:rsid w:val="00512D14"/>
    <w:rsid w:val="0053270B"/>
    <w:rsid w:val="005702B6"/>
    <w:rsid w:val="005A1A07"/>
    <w:rsid w:val="005D1014"/>
    <w:rsid w:val="0060160B"/>
    <w:rsid w:val="00622F66"/>
    <w:rsid w:val="00626E7B"/>
    <w:rsid w:val="0063121C"/>
    <w:rsid w:val="00642EC6"/>
    <w:rsid w:val="0067769D"/>
    <w:rsid w:val="006B5CE0"/>
    <w:rsid w:val="006B6B28"/>
    <w:rsid w:val="006B7B28"/>
    <w:rsid w:val="00720F2E"/>
    <w:rsid w:val="00736249"/>
    <w:rsid w:val="00757B1E"/>
    <w:rsid w:val="00781B48"/>
    <w:rsid w:val="00781B82"/>
    <w:rsid w:val="007D717B"/>
    <w:rsid w:val="00834C62"/>
    <w:rsid w:val="008447FF"/>
    <w:rsid w:val="008723ED"/>
    <w:rsid w:val="00872F67"/>
    <w:rsid w:val="0089039E"/>
    <w:rsid w:val="008C7C1B"/>
    <w:rsid w:val="008E4888"/>
    <w:rsid w:val="008F2413"/>
    <w:rsid w:val="00953D1F"/>
    <w:rsid w:val="0096091B"/>
    <w:rsid w:val="00974F3D"/>
    <w:rsid w:val="00981026"/>
    <w:rsid w:val="009867E9"/>
    <w:rsid w:val="00A22966"/>
    <w:rsid w:val="00A4289C"/>
    <w:rsid w:val="00A5198C"/>
    <w:rsid w:val="00A64F1C"/>
    <w:rsid w:val="00A97B59"/>
    <w:rsid w:val="00AA56B2"/>
    <w:rsid w:val="00AB6ED0"/>
    <w:rsid w:val="00B71F85"/>
    <w:rsid w:val="00B73C3F"/>
    <w:rsid w:val="00B900CA"/>
    <w:rsid w:val="00BB27B3"/>
    <w:rsid w:val="00C2035D"/>
    <w:rsid w:val="00CE02E2"/>
    <w:rsid w:val="00CE0742"/>
    <w:rsid w:val="00CF0848"/>
    <w:rsid w:val="00D146F7"/>
    <w:rsid w:val="00D205E9"/>
    <w:rsid w:val="00D23751"/>
    <w:rsid w:val="00D519E0"/>
    <w:rsid w:val="00D844C8"/>
    <w:rsid w:val="00E07182"/>
    <w:rsid w:val="00E63DDD"/>
    <w:rsid w:val="00E8135D"/>
    <w:rsid w:val="00EA4EBB"/>
    <w:rsid w:val="00ED716B"/>
    <w:rsid w:val="00EE0988"/>
    <w:rsid w:val="00EE590B"/>
    <w:rsid w:val="00F00438"/>
    <w:rsid w:val="00F30E07"/>
    <w:rsid w:val="00F30EBB"/>
    <w:rsid w:val="00F32087"/>
    <w:rsid w:val="00F35D3F"/>
    <w:rsid w:val="00F43CE3"/>
    <w:rsid w:val="00F45FE8"/>
    <w:rsid w:val="00F65CD0"/>
    <w:rsid w:val="00F90550"/>
    <w:rsid w:val="00FB3A97"/>
    <w:rsid w:val="00FB4E60"/>
    <w:rsid w:val="00FC5BA2"/>
    <w:rsid w:val="06CA2F7E"/>
    <w:rsid w:val="0C173053"/>
    <w:rsid w:val="114A074B"/>
    <w:rsid w:val="12DB750F"/>
    <w:rsid w:val="21C660D3"/>
    <w:rsid w:val="22163A4B"/>
    <w:rsid w:val="22F94F31"/>
    <w:rsid w:val="29D4387C"/>
    <w:rsid w:val="29E012DF"/>
    <w:rsid w:val="2C724E0F"/>
    <w:rsid w:val="396C4520"/>
    <w:rsid w:val="3A0D30E5"/>
    <w:rsid w:val="3A56593E"/>
    <w:rsid w:val="43A97506"/>
    <w:rsid w:val="4B117226"/>
    <w:rsid w:val="4BDD67D9"/>
    <w:rsid w:val="5B1675DF"/>
    <w:rsid w:val="5C985DB4"/>
    <w:rsid w:val="5DA02BF9"/>
    <w:rsid w:val="5F4E54EB"/>
    <w:rsid w:val="640252A0"/>
    <w:rsid w:val="67DF2755"/>
    <w:rsid w:val="68E73119"/>
    <w:rsid w:val="6C216F18"/>
    <w:rsid w:val="6C475584"/>
    <w:rsid w:val="6C5B53FF"/>
    <w:rsid w:val="72035663"/>
    <w:rsid w:val="74511255"/>
    <w:rsid w:val="752437CA"/>
    <w:rsid w:val="77EC3DF2"/>
    <w:rsid w:val="79DC241C"/>
    <w:rsid w:val="7D0912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afterLines="0" w:afterAutospacing="0"/>
      <w:ind w:left="420" w:leftChars="200"/>
    </w:pPr>
  </w:style>
  <w:style w:type="paragraph" w:styleId="4">
    <w:name w:val="Date"/>
    <w:basedOn w:val="1"/>
    <w:next w:val="1"/>
    <w:link w:val="21"/>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link w:val="17"/>
    <w:qFormat/>
    <w:uiPriority w:val="99"/>
    <w:pPr>
      <w:tabs>
        <w:tab w:val="center" w:pos="4153"/>
        <w:tab w:val="right" w:pos="8306"/>
      </w:tabs>
      <w:snapToGrid w:val="0"/>
      <w:jc w:val="left"/>
    </w:pPr>
    <w:rPr>
      <w:kern w:val="0"/>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spacing w:line="240" w:lineRule="atLeast"/>
      <w:jc w:val="center"/>
    </w:pPr>
    <w:rPr>
      <w:sz w:val="18"/>
    </w:rPr>
  </w:style>
  <w:style w:type="paragraph" w:styleId="8">
    <w:name w:val="Normal (Web)"/>
    <w:basedOn w:val="1"/>
    <w:qFormat/>
    <w:uiPriority w:val="0"/>
    <w:pPr>
      <w:spacing w:after="150"/>
    </w:pPr>
  </w:style>
  <w:style w:type="paragraph" w:styleId="9">
    <w:name w:val="Title"/>
    <w:basedOn w:val="1"/>
    <w:next w:val="1"/>
    <w:qFormat/>
    <w:uiPriority w:val="0"/>
    <w:pPr>
      <w:spacing w:before="240" w:after="60"/>
      <w:jc w:val="center"/>
      <w:outlineLvl w:val="0"/>
    </w:pPr>
    <w:rPr>
      <w:rFonts w:asciiTheme="majorHAnsi" w:hAnsiTheme="majorHAnsi" w:cstheme="majorBidi"/>
      <w:b/>
      <w:bCs/>
      <w:sz w:val="32"/>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character" w:customStyle="1" w:styleId="14">
    <w:name w:val="UserStyle_0"/>
    <w:basedOn w:val="12"/>
    <w:qFormat/>
    <w:uiPriority w:val="0"/>
  </w:style>
  <w:style w:type="character" w:customStyle="1" w:styleId="15">
    <w:name w:val="NormalCharacter"/>
    <w:semiHidden/>
    <w:qFormat/>
    <w:uiPriority w:val="0"/>
  </w:style>
  <w:style w:type="paragraph" w:customStyle="1" w:styleId="16">
    <w:name w:val="Body text|1"/>
    <w:basedOn w:val="1"/>
    <w:qFormat/>
    <w:uiPriority w:val="0"/>
    <w:pPr>
      <w:spacing w:line="446" w:lineRule="auto"/>
      <w:ind w:firstLine="400"/>
    </w:pPr>
    <w:rPr>
      <w:rFonts w:ascii="宋体" w:hAnsi="宋体" w:cs="宋体"/>
      <w:sz w:val="28"/>
      <w:szCs w:val="28"/>
      <w:lang w:val="zh-TW" w:eastAsia="zh-TW" w:bidi="zh-TW"/>
    </w:rPr>
  </w:style>
  <w:style w:type="character" w:customStyle="1" w:styleId="17">
    <w:name w:val="页脚 Char"/>
    <w:link w:val="6"/>
    <w:qFormat/>
    <w:uiPriority w:val="99"/>
    <w:rPr>
      <w:rFonts w:ascii="Times New Roman" w:hAnsi="Times New Roman" w:eastAsia="宋体" w:cs="Times New Roman"/>
      <w:kern w:val="0"/>
      <w:sz w:val="18"/>
      <w:szCs w:val="18"/>
    </w:rPr>
  </w:style>
  <w:style w:type="character" w:customStyle="1" w:styleId="18">
    <w:name w:val="页眉 Char"/>
    <w:link w:val="7"/>
    <w:qFormat/>
    <w:uiPriority w:val="0"/>
    <w:rPr>
      <w:rFonts w:ascii="Times New Roman" w:hAnsi="Times New Roman" w:eastAsia="宋体" w:cs="Times New Roman"/>
      <w:sz w:val="18"/>
    </w:rPr>
  </w:style>
  <w:style w:type="paragraph" w:customStyle="1" w:styleId="19">
    <w:name w:val="Default Paragraph Font Para Char"/>
    <w:basedOn w:val="1"/>
    <w:qFormat/>
    <w:uiPriority w:val="0"/>
    <w:pPr>
      <w:widowControl/>
      <w:spacing w:after="160" w:line="400" w:lineRule="exact"/>
      <w:jc w:val="left"/>
    </w:pPr>
    <w:rPr>
      <w:rFonts w:ascii="Verdana" w:hAnsi="Verdana"/>
      <w:kern w:val="0"/>
      <w:sz w:val="20"/>
      <w:szCs w:val="20"/>
      <w:lang w:eastAsia="en-US"/>
    </w:rPr>
  </w:style>
  <w:style w:type="paragraph" w:customStyle="1" w:styleId="20">
    <w:name w:val="Heading #2|1"/>
    <w:basedOn w:val="1"/>
    <w:qFormat/>
    <w:uiPriority w:val="0"/>
    <w:pPr>
      <w:spacing w:after="540" w:line="636" w:lineRule="exact"/>
      <w:jc w:val="center"/>
      <w:outlineLvl w:val="1"/>
    </w:pPr>
    <w:rPr>
      <w:rFonts w:ascii="宋体" w:hAnsi="宋体" w:cs="宋体"/>
      <w:color w:val="000000"/>
      <w:kern w:val="0"/>
      <w:sz w:val="40"/>
      <w:szCs w:val="40"/>
      <w:lang w:val="zh-TW" w:eastAsia="zh-TW" w:bidi="zh-TW"/>
    </w:rPr>
  </w:style>
  <w:style w:type="character" w:customStyle="1" w:styleId="21">
    <w:name w:val="日期 Char"/>
    <w:basedOn w:val="12"/>
    <w:link w:val="4"/>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Codes\Idea\09_wjoa\src\main\webapp\public\demo\tpl\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1.dot</Template>
  <Company>微软中国</Company>
  <Pages>14</Pages>
  <Words>926</Words>
  <Characters>5283</Characters>
  <Lines>44</Lines>
  <Paragraphs>12</Paragraphs>
  <TotalTime>7</TotalTime>
  <ScaleCrop>false</ScaleCrop>
  <LinksUpToDate>false</LinksUpToDate>
  <CharactersWithSpaces>6197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2021-07-14T01:20:00Z</dcterms:created>
  <dc:creator>徐翠英</dc:creator>
  <cp:lastModifiedBy>微信用户</cp:lastModifiedBy>
  <cp:lastPrinted>2021-06-28T10:44:00Z</cp:lastPrinted>
  <dcterms:modified xsi:type="dcterms:W3CDTF">2023-08-24T08:22:41Z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047B18B92026464D97CF42FB25423F65</vt:lpwstr>
  </property>
  <property fmtid="{D5CDD505-2E9C-101B-9397-08002B2CF9AE}" pid="4" name="KSOSaveFontToCloudKey">
    <vt:lpwstr>0_btnclosed</vt:lpwstr>
  </property>
</Properties>
</file>