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23" w:line="224" w:lineRule="auto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23" w:line="224" w:lineRule="auto"/>
        <w:ind w:left="160"/>
        <w:jc w:val="center"/>
        <w:textAlignment w:val="baseline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spacing w:val="-4"/>
          <w:kern w:val="0"/>
          <w:sz w:val="36"/>
          <w:szCs w:val="36"/>
          <w14:textFill>
            <w14:solidFill>
              <w14:schemeClr w14:val="tx1"/>
            </w14:solidFill>
          </w14:textFill>
        </w:rPr>
        <w:t>常州市“无废机关”评价指标(试行)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75" w:line="352" w:lineRule="exact"/>
        <w:ind w:left="145"/>
        <w:jc w:val="left"/>
        <w:textAlignment w:val="baseline"/>
        <w:rPr>
          <w:rFonts w:ascii="宋体" w:hAnsi="宋体" w:eastAsia="宋体" w:cs="宋体"/>
          <w:snapToGrid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snapToGrid w:val="0"/>
          <w:color w:val="000000" w:themeColor="text1"/>
          <w:spacing w:val="-21"/>
          <w:kern w:val="0"/>
          <w:position w:val="6"/>
          <w:sz w:val="26"/>
          <w:szCs w:val="26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仿宋" w:hAnsi="仿宋" w:eastAsia="仿宋" w:cs="仿宋"/>
          <w:snapToGrid w:val="0"/>
          <w:color w:val="000000" w:themeColor="text1"/>
          <w:spacing w:val="-21"/>
          <w:kern w:val="0"/>
          <w:position w:val="6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</w:t>
      </w:r>
      <w:r>
        <w:rPr>
          <w:rFonts w:ascii="仿宋" w:hAnsi="仿宋" w:eastAsia="仿宋" w:cs="仿宋"/>
          <w:snapToGrid w:val="0"/>
          <w:color w:val="000000" w:themeColor="text1"/>
          <w:spacing w:val="-21"/>
          <w:kern w:val="0"/>
          <w:position w:val="6"/>
          <w:sz w:val="26"/>
          <w:szCs w:val="26"/>
          <w14:textFill>
            <w14:solidFill>
              <w14:schemeClr w14:val="tx1"/>
            </w14:solidFill>
          </w14:textFill>
        </w:rPr>
        <w:t>总 分 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5" w:lineRule="exact"/>
        <w:jc w:val="left"/>
        <w:textAlignment w:val="baseline"/>
        <w:rPr>
          <w:rFonts w:ascii="Arial" w:hAnsi="Arial" w:eastAsia="Arial" w:cs="Arial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9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271"/>
        <w:gridCol w:w="4329"/>
        <w:gridCol w:w="1273"/>
        <w:gridCol w:w="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4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220" w:lineRule="auto"/>
              <w:ind w:left="8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-7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-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-7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</w:tc>
        <w:tc>
          <w:tcPr>
            <w:tcW w:w="43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18" w:lineRule="auto"/>
              <w:ind w:left="177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3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评价内容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right="161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220" w:lineRule="auto"/>
              <w:ind w:left="18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-3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组织管理(15分 )</w:t>
            </w:r>
          </w:p>
        </w:tc>
        <w:tc>
          <w:tcPr>
            <w:tcW w:w="12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组织领导 (5分)</w:t>
            </w:r>
          </w:p>
        </w:tc>
        <w:tc>
          <w:tcPr>
            <w:tcW w:w="43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成立“无废机关(事业单位)”创建领导机构，明确管理部门和人员职责。(5分)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查看资料</w:t>
            </w:r>
          </w:p>
        </w:tc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制度建设 (5分)</w:t>
            </w:r>
          </w:p>
        </w:tc>
        <w:tc>
          <w:tcPr>
            <w:tcW w:w="43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制定“无废机关”创建工作方案，召开会议进行安排部署。(5分)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查看资料</w:t>
            </w:r>
          </w:p>
        </w:tc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监督检查 (5分)</w:t>
            </w:r>
          </w:p>
        </w:tc>
        <w:tc>
          <w:tcPr>
            <w:tcW w:w="43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组织开展关于“无废机关”、节约能源资源或生活垃圾分类等内容的内部检查，检查工作有记录台账、图片。(5分)。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right="161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查看资料</w:t>
            </w:r>
          </w:p>
        </w:tc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8" w:hRule="atLeast"/>
        </w:trPr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低碳绿色行为方式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(25分 )</w:t>
            </w:r>
          </w:p>
        </w:tc>
        <w:tc>
          <w:tcPr>
            <w:tcW w:w="12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绿色办公 (10分)</w:t>
            </w:r>
          </w:p>
        </w:tc>
        <w:tc>
          <w:tcPr>
            <w:tcW w:w="43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①推进无纸化办公。采取有效措施限制使用一次性硒鼓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一次性签字笔等一次性办公用品；(4分)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②禁止使用一次性杯具以及不可降解的一次性塑料用品；(2分)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③采取有效措施节水、节电，合理设置空调温度：夏季不得低于26摄氏度，冬季不得高于20摄氏度。(4分)</w:t>
            </w:r>
          </w:p>
        </w:tc>
        <w:tc>
          <w:tcPr>
            <w:tcW w:w="1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查看现场或资料</w:t>
            </w:r>
          </w:p>
        </w:tc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反食品浪 费(10分)</w:t>
            </w:r>
          </w:p>
        </w:tc>
        <w:tc>
          <w:tcPr>
            <w:tcW w:w="43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①采取有效措施推动反食品浪费工作，定期开展“光盘行动”活动；(6分)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②食堂不提供一次性餐具；(2分)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③在用餐区域张贴节约粮食、节约用水和文明就餐等宣传标识。(2分)</w:t>
            </w:r>
          </w:p>
        </w:tc>
        <w:tc>
          <w:tcPr>
            <w:tcW w:w="1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查看现场或资料</w:t>
            </w:r>
          </w:p>
        </w:tc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绿色采购 (5分)</w:t>
            </w:r>
          </w:p>
        </w:tc>
        <w:tc>
          <w:tcPr>
            <w:tcW w:w="43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加大绿色采购力度，严格执行国家强制或优先采购节能环保产品的规定，采购列入《节能产品政府采购清单》、《环境标志产品政府采购清单》的产品和能效“领跑者”产品。(5分)</w:t>
            </w:r>
          </w:p>
        </w:tc>
        <w:tc>
          <w:tcPr>
            <w:tcW w:w="1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查看资料</w:t>
            </w:r>
          </w:p>
        </w:tc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2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生活垃圾分类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(38分 )</w:t>
            </w:r>
          </w:p>
        </w:tc>
        <w:tc>
          <w:tcPr>
            <w:tcW w:w="12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制度建设 (8分)</w:t>
            </w:r>
          </w:p>
        </w:tc>
        <w:tc>
          <w:tcPr>
            <w:tcW w:w="43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①制定本单位的垃圾减量和分类管理制度，明确管理部门和人员；(4分)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②每季度定期进行检查，并对存在的问题及时整改。(4分)</w:t>
            </w:r>
          </w:p>
        </w:tc>
        <w:tc>
          <w:tcPr>
            <w:tcW w:w="1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查看现场或资料</w:t>
            </w:r>
          </w:p>
        </w:tc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5" w:lineRule="auto"/>
              <w:ind w:left="83" w:right="1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1" w:line="225" w:lineRule="auto"/>
        <w:ind w:left="83" w:right="161"/>
        <w:jc w:val="left"/>
        <w:textAlignment w:val="baseline"/>
        <w:rPr>
          <w:rFonts w:ascii="宋体" w:hAnsi="宋体" w:eastAsia="宋体" w:cs="宋体"/>
          <w:snapToGrid w:val="0"/>
          <w:color w:val="000000" w:themeColor="text1"/>
          <w:spacing w:val="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MzNiNmI4YjEyNzFlNzIwYjAzY2MwY2M0YzhjNGUifQ=="/>
  </w:docVars>
  <w:rsids>
    <w:rsidRoot w:val="5B2B76E0"/>
    <w:rsid w:val="5B2B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2023-07-13T07:29:00Z</dcterms:created>
  <dc:creator>Administrator</dc:creator>
  <cp:lastModifiedBy>Administrator</cp:lastModifiedBy>
  <dcterms:modified xsi:type="dcterms:W3CDTF">2023-07-13T07:29:50Z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FE6118A6D034486F98AAF661C9EC8ABA_11</vt:lpwstr>
  </property>
</Properties>
</file>