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left"/>
        <w:outlineLvl w:val="0"/>
        <w:rPr>
          <w:rFonts w:eastAsia="黑体"/>
          <w:snapToGrid w:val="0"/>
          <w:kern w:val="0"/>
          <w:sz w:val="32"/>
          <w:szCs w:val="32"/>
        </w:rPr>
      </w:pPr>
      <w:r>
        <w:rPr>
          <w:rFonts w:eastAsia="黑体"/>
          <w:snapToGrid w:val="0"/>
          <w:kern w:val="0"/>
          <w:sz w:val="32"/>
          <w:szCs w:val="32"/>
        </w:rPr>
        <w:t>附件2</w:t>
      </w:r>
    </w:p>
    <w:p>
      <w:pPr>
        <w:overflowPunct w:val="0"/>
        <w:spacing w:line="500" w:lineRule="exact"/>
        <w:jc w:val="center"/>
        <w:rPr>
          <w:rFonts w:hint="eastAsia" w:ascii="方正小标宋简体" w:eastAsia="方正小标宋简体"/>
          <w:snapToGrid w:val="0"/>
          <w:kern w:val="0"/>
          <w:sz w:val="10"/>
          <w:szCs w:val="10"/>
        </w:rPr>
      </w:pPr>
      <w:bookmarkStart w:id="0" w:name="_GoBack"/>
      <w:r>
        <w:rPr>
          <w:rFonts w:hint="eastAsia" w:ascii="方正小标宋简体" w:eastAsia="方正小标宋简体"/>
          <w:snapToGrid w:val="0"/>
          <w:kern w:val="0"/>
          <w:sz w:val="36"/>
          <w:szCs w:val="36"/>
        </w:rPr>
        <w:t>湖塘镇2023年生活垃圾分类工作任务清单</w:t>
      </w:r>
    </w:p>
    <w:bookmarkEnd w:id="0"/>
    <w:p>
      <w:pPr>
        <w:pStyle w:val="2"/>
        <w:ind w:left="840" w:hanging="420"/>
      </w:pPr>
    </w:p>
    <w:tbl>
      <w:tblPr>
        <w:tblStyle w:val="14"/>
        <w:tblW w:w="5067" w:type="pct"/>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62"/>
        <w:gridCol w:w="1057"/>
        <w:gridCol w:w="7878"/>
        <w:gridCol w:w="4158"/>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blHeader/>
        </w:trPr>
        <w:tc>
          <w:tcPr>
            <w:tcW w:w="189" w:type="pct"/>
            <w:noWrap w:val="0"/>
            <w:vAlign w:val="center"/>
          </w:tcPr>
          <w:p>
            <w:pPr>
              <w:overflowPunct w:val="0"/>
              <w:spacing w:line="280" w:lineRule="exact"/>
              <w:jc w:val="center"/>
              <w:rPr>
                <w:rFonts w:hint="eastAsia" w:ascii="仿宋_GB2312" w:hAnsi="宋体" w:eastAsia="仿宋_GB2312"/>
                <w:b/>
                <w:kern w:val="0"/>
                <w:szCs w:val="21"/>
              </w:rPr>
            </w:pPr>
            <w:r>
              <w:rPr>
                <w:rFonts w:hint="eastAsia" w:ascii="仿宋_GB2312" w:hAnsi="宋体" w:eastAsia="仿宋_GB2312"/>
                <w:b/>
                <w:kern w:val="0"/>
                <w:szCs w:val="21"/>
              </w:rPr>
              <w:t>序号</w:t>
            </w:r>
          </w:p>
        </w:tc>
        <w:tc>
          <w:tcPr>
            <w:tcW w:w="355" w:type="pct"/>
            <w:noWrap w:val="0"/>
            <w:vAlign w:val="center"/>
          </w:tcPr>
          <w:p>
            <w:pPr>
              <w:overflowPunct w:val="0"/>
              <w:spacing w:line="280" w:lineRule="exact"/>
              <w:jc w:val="center"/>
              <w:rPr>
                <w:rFonts w:hint="eastAsia" w:ascii="仿宋_GB2312" w:hAnsi="宋体" w:eastAsia="仿宋_GB2312"/>
                <w:b/>
                <w:kern w:val="0"/>
                <w:szCs w:val="21"/>
              </w:rPr>
            </w:pPr>
            <w:r>
              <w:rPr>
                <w:rFonts w:hint="eastAsia" w:ascii="仿宋_GB2312" w:hAnsi="宋体" w:eastAsia="仿宋_GB2312"/>
                <w:b/>
                <w:kern w:val="0"/>
                <w:szCs w:val="21"/>
              </w:rPr>
              <w:t>任务名称</w:t>
            </w:r>
          </w:p>
        </w:tc>
        <w:tc>
          <w:tcPr>
            <w:tcW w:w="2647" w:type="pct"/>
            <w:noWrap w:val="0"/>
            <w:vAlign w:val="center"/>
          </w:tcPr>
          <w:p>
            <w:pPr>
              <w:overflowPunct w:val="0"/>
              <w:spacing w:line="280" w:lineRule="exact"/>
              <w:jc w:val="center"/>
              <w:rPr>
                <w:rFonts w:hint="eastAsia" w:ascii="仿宋_GB2312" w:hAnsi="宋体" w:eastAsia="仿宋_GB2312"/>
                <w:b/>
                <w:kern w:val="0"/>
                <w:szCs w:val="21"/>
              </w:rPr>
            </w:pPr>
            <w:r>
              <w:rPr>
                <w:rFonts w:hint="eastAsia" w:ascii="仿宋_GB2312" w:hAnsi="宋体" w:eastAsia="仿宋_GB2312"/>
                <w:b/>
                <w:kern w:val="0"/>
                <w:szCs w:val="21"/>
              </w:rPr>
              <w:t>目标内容</w:t>
            </w:r>
          </w:p>
        </w:tc>
        <w:tc>
          <w:tcPr>
            <w:tcW w:w="1397" w:type="pct"/>
            <w:noWrap w:val="0"/>
            <w:vAlign w:val="center"/>
          </w:tcPr>
          <w:p>
            <w:pPr>
              <w:overflowPunct w:val="0"/>
              <w:spacing w:line="280" w:lineRule="exact"/>
              <w:jc w:val="center"/>
              <w:rPr>
                <w:rFonts w:hint="eastAsia" w:ascii="仿宋_GB2312" w:hAnsi="宋体" w:eastAsia="仿宋_GB2312"/>
                <w:b/>
                <w:kern w:val="0"/>
                <w:szCs w:val="21"/>
              </w:rPr>
            </w:pPr>
            <w:r>
              <w:rPr>
                <w:rFonts w:hint="eastAsia" w:ascii="仿宋_GB2312" w:hAnsi="宋体" w:eastAsia="仿宋_GB2312"/>
                <w:b/>
                <w:kern w:val="0"/>
                <w:szCs w:val="21"/>
              </w:rPr>
              <w:t>主要责任单位</w:t>
            </w:r>
          </w:p>
        </w:tc>
        <w:tc>
          <w:tcPr>
            <w:tcW w:w="412" w:type="pct"/>
            <w:noWrap w:val="0"/>
            <w:vAlign w:val="center"/>
          </w:tcPr>
          <w:p>
            <w:pPr>
              <w:overflowPunct w:val="0"/>
              <w:spacing w:line="280" w:lineRule="exact"/>
              <w:jc w:val="center"/>
              <w:rPr>
                <w:rFonts w:hint="eastAsia" w:ascii="仿宋_GB2312" w:hAnsi="宋体" w:eastAsia="仿宋_GB2312"/>
                <w:b/>
                <w:kern w:val="0"/>
                <w:szCs w:val="21"/>
              </w:rPr>
            </w:pPr>
            <w:r>
              <w:rPr>
                <w:rFonts w:hint="eastAsia" w:ascii="仿宋_GB2312" w:hAnsi="宋体" w:eastAsia="仿宋_GB2312"/>
                <w:b/>
                <w:kern w:val="0"/>
                <w:szCs w:val="21"/>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9"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1</w:t>
            </w:r>
          </w:p>
        </w:tc>
        <w:tc>
          <w:tcPr>
            <w:tcW w:w="355" w:type="pct"/>
            <w:vMerge w:val="restar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完善组织机制</w:t>
            </w:r>
          </w:p>
          <w:p>
            <w:pPr>
              <w:overflowPunct w:val="0"/>
              <w:spacing w:line="280" w:lineRule="exact"/>
              <w:jc w:val="center"/>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优化调整镇生活垃圾分类工作领导小组，主要领导任领导小组组长，各级政府主要领导亲自推动垃圾分类工作，每季度实地调研或督导检查，加强全区垃圾分类工作的整体谋划和统筹协调。</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 w:hRule="atLeast"/>
        </w:trPr>
        <w:tc>
          <w:tcPr>
            <w:tcW w:w="189" w:type="pct"/>
            <w:vMerge w:val="restar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w:t>
            </w:r>
          </w:p>
        </w:tc>
        <w:tc>
          <w:tcPr>
            <w:tcW w:w="355" w:type="pct"/>
            <w:vMerge w:val="continue"/>
            <w:noWrap w:val="0"/>
            <w:vAlign w:val="center"/>
          </w:tcPr>
          <w:p>
            <w:pPr>
              <w:overflowPunct w:val="0"/>
              <w:spacing w:line="280" w:lineRule="exact"/>
              <w:jc w:val="center"/>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出台《2023年湖塘镇城乡生活垃圾分类和治理工作实施方案》，湖塘镇、各行业制定本单位和本行业垃圾分类实施方案，4月底报区垃圾办。</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 w:hRule="atLeast"/>
        </w:trPr>
        <w:tc>
          <w:tcPr>
            <w:tcW w:w="189" w:type="pct"/>
            <w:vMerge w:val="continue"/>
            <w:noWrap w:val="0"/>
            <w:vAlign w:val="center"/>
          </w:tcPr>
          <w:p>
            <w:pPr>
              <w:overflowPunct w:val="0"/>
              <w:spacing w:line="280" w:lineRule="exact"/>
              <w:jc w:val="center"/>
              <w:rPr>
                <w:rFonts w:hint="eastAsia" w:ascii="仿宋_GB2312" w:hAnsi="宋体" w:eastAsia="仿宋_GB2312"/>
                <w:kern w:val="0"/>
                <w:szCs w:val="21"/>
              </w:rPr>
            </w:pPr>
          </w:p>
        </w:tc>
        <w:tc>
          <w:tcPr>
            <w:tcW w:w="355" w:type="pct"/>
            <w:vMerge w:val="continue"/>
            <w:noWrap w:val="0"/>
            <w:vAlign w:val="center"/>
          </w:tcPr>
          <w:p>
            <w:pPr>
              <w:overflowPunct w:val="0"/>
              <w:spacing w:line="280" w:lineRule="exact"/>
              <w:jc w:val="center"/>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镇、社区垃圾分类专职人员均不低于2名。</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镇综合行政执法局、各社区、股份合作社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3</w:t>
            </w:r>
          </w:p>
        </w:tc>
        <w:tc>
          <w:tcPr>
            <w:tcW w:w="355" w:type="pct"/>
            <w:vMerge w:val="continue"/>
            <w:noWrap w:val="0"/>
            <w:vAlign w:val="center"/>
          </w:tcPr>
          <w:p>
            <w:pPr>
              <w:overflowPunct w:val="0"/>
              <w:spacing w:line="280" w:lineRule="exact"/>
              <w:jc w:val="center"/>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各基层党组织每月至少研究1次垃圾分类工作，组织党员和干部参与垃圾分类、有效服务群众的活动。</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组织办、各社区、股份合作社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4</w:t>
            </w:r>
          </w:p>
        </w:tc>
        <w:tc>
          <w:tcPr>
            <w:tcW w:w="355" w:type="pct"/>
            <w:vMerge w:val="continue"/>
            <w:noWrap w:val="0"/>
            <w:vAlign w:val="center"/>
          </w:tcPr>
          <w:p>
            <w:pPr>
              <w:overflowPunct w:val="0"/>
              <w:spacing w:line="280" w:lineRule="exact"/>
              <w:jc w:val="left"/>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szCs w:val="21"/>
              </w:rPr>
            </w:pPr>
            <w:r>
              <w:rPr>
                <w:rFonts w:hint="eastAsia" w:ascii="仿宋_GB2312" w:hAnsi="宋体" w:eastAsia="仿宋_GB2312"/>
                <w:kern w:val="0"/>
                <w:szCs w:val="21"/>
              </w:rPr>
              <w:t>组织对全镇住宅小区、企事业单位、公共场所等垃圾分类数据调查，调研全区垃圾收集、转运、处置情况，全面掌握本底资料。</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对应区城管局、教育局、财政局、住建局、交通运输局、商务局、文体广电和旅游局、卫生健康局、机关事务管理中心等的相关镇级部门按职责分工负责、各社区、股份合作社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5</w:t>
            </w:r>
          </w:p>
        </w:tc>
        <w:tc>
          <w:tcPr>
            <w:tcW w:w="355"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夯实制度基础</w:t>
            </w: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针对住宅小区、机关、学校、医院、超市、农贸市场和农村等区域及行业特点，制定和完善各行业的垃圾分类投放设施设置标准、管理标准及相应的考核办法等制度文件，6月底报区垃圾办。</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对应区教育局、住建局、城管局、交通运输局、商务局、农业农村局、文体广电和旅游局、卫生健康局、机关事务管理中心的相关镇级部门按职责分工负责</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6</w:t>
            </w:r>
          </w:p>
        </w:tc>
        <w:tc>
          <w:tcPr>
            <w:tcW w:w="355" w:type="pct"/>
            <w:vMerge w:val="restar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推动源头减量</w:t>
            </w:r>
          </w:p>
        </w:tc>
        <w:tc>
          <w:tcPr>
            <w:tcW w:w="2647" w:type="pct"/>
            <w:noWrap w:val="0"/>
            <w:vAlign w:val="center"/>
          </w:tcPr>
          <w:p>
            <w:pPr>
              <w:overflowPunct w:val="0"/>
              <w:spacing w:line="280" w:lineRule="exact"/>
              <w:jc w:val="left"/>
              <w:rPr>
                <w:rFonts w:hint="eastAsia" w:ascii="仿宋_GB2312" w:hAnsi="宋体" w:eastAsia="仿宋_GB2312"/>
                <w:spacing w:val="-4"/>
                <w:kern w:val="0"/>
                <w:szCs w:val="21"/>
              </w:rPr>
            </w:pPr>
            <w:r>
              <w:rPr>
                <w:rFonts w:hint="eastAsia" w:ascii="仿宋_GB2312" w:hAnsi="宋体" w:eastAsia="仿宋_GB2312"/>
                <w:spacing w:val="-4"/>
                <w:kern w:val="0"/>
                <w:szCs w:val="21"/>
              </w:rPr>
              <w:t>限一次性用品使用：旅游、住宿等行业推行不主动提供一次性用品或提供可降解替代品。</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对应区文体广电和旅游局的相关镇级部门、各社区、股份合作社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7</w:t>
            </w:r>
          </w:p>
        </w:tc>
        <w:tc>
          <w:tcPr>
            <w:tcW w:w="355" w:type="pct"/>
            <w:vMerge w:val="continue"/>
            <w:noWrap w:val="0"/>
            <w:vAlign w:val="center"/>
          </w:tcPr>
          <w:p>
            <w:pPr>
              <w:overflowPunct w:val="0"/>
              <w:spacing w:line="280" w:lineRule="exact"/>
              <w:jc w:val="left"/>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绿色办公：党政机关、事业单位、国有企业内部办公场所节约使用和重复利用办公用品，推动办公场所无纸化办公，鼓励使用再生纸制品。</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对应区机关事务管理中心、国资办的相关镇级部门按职责分工负责</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8</w:t>
            </w:r>
          </w:p>
        </w:tc>
        <w:tc>
          <w:tcPr>
            <w:tcW w:w="355" w:type="pct"/>
            <w:vMerge w:val="continue"/>
            <w:noWrap w:val="0"/>
            <w:vAlign w:val="center"/>
          </w:tcPr>
          <w:p>
            <w:pPr>
              <w:overflowPunct w:val="0"/>
              <w:spacing w:line="280" w:lineRule="exact"/>
              <w:jc w:val="left"/>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光盘行动：严格落实反食品浪费法有关规定，在餐饮经营单位开展“光盘行动”，多渠道开展反餐饮浪费宣传、引导餐饮企业开展光盘行动，推动行业自律。</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对应区市场监管局、生态办等的相关镇级部门按职责分工负责</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9</w:t>
            </w:r>
          </w:p>
        </w:tc>
        <w:tc>
          <w:tcPr>
            <w:tcW w:w="355" w:type="pct"/>
            <w:vMerge w:val="continue"/>
            <w:noWrap w:val="0"/>
            <w:vAlign w:val="center"/>
          </w:tcPr>
          <w:p>
            <w:pPr>
              <w:overflowPunct w:val="0"/>
              <w:spacing w:line="280" w:lineRule="exact"/>
              <w:jc w:val="left"/>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净菜进城：推行净菜和洁净农副产品进城上市。</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区商务局</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10</w:t>
            </w:r>
          </w:p>
        </w:tc>
        <w:tc>
          <w:tcPr>
            <w:tcW w:w="355" w:type="pct"/>
            <w:vMerge w:val="continue"/>
            <w:noWrap w:val="0"/>
            <w:vAlign w:val="center"/>
          </w:tcPr>
          <w:p>
            <w:pPr>
              <w:overflowPunct w:val="0"/>
              <w:spacing w:line="280" w:lineRule="exact"/>
              <w:jc w:val="left"/>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spacing w:val="-8"/>
                <w:kern w:val="0"/>
                <w:szCs w:val="21"/>
              </w:rPr>
            </w:pPr>
            <w:r>
              <w:rPr>
                <w:rFonts w:hint="eastAsia" w:ascii="仿宋_GB2312" w:hAnsi="宋体" w:eastAsia="仿宋_GB2312"/>
                <w:spacing w:val="-8"/>
                <w:kern w:val="0"/>
                <w:szCs w:val="21"/>
              </w:rPr>
              <w:t>建筑垃圾减量：推进装配式建筑和全装修成品住房，减少建筑垃圾产生量，新建建筑施工现场建筑垃圾排放量每万平米不高于300吨，装配式建筑占同期新开工建筑面积比例达到50%。</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对应区住建局、绿建区的相关镇级部门</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11</w:t>
            </w:r>
          </w:p>
        </w:tc>
        <w:tc>
          <w:tcPr>
            <w:tcW w:w="355" w:type="pct"/>
            <w:vMerge w:val="continue"/>
            <w:noWrap w:val="0"/>
            <w:vAlign w:val="center"/>
          </w:tcPr>
          <w:p>
            <w:pPr>
              <w:overflowPunct w:val="0"/>
              <w:spacing w:line="280" w:lineRule="exact"/>
              <w:jc w:val="left"/>
              <w:rPr>
                <w:rFonts w:hint="eastAsia" w:ascii="仿宋_GB2312" w:hAnsi="宋体" w:eastAsia="仿宋_GB2312"/>
                <w:kern w:val="0"/>
                <w:szCs w:val="21"/>
              </w:rPr>
            </w:pPr>
          </w:p>
        </w:tc>
        <w:tc>
          <w:tcPr>
            <w:tcW w:w="2647" w:type="pct"/>
            <w:noWrap w:val="0"/>
            <w:vAlign w:val="center"/>
          </w:tcPr>
          <w:p>
            <w:pPr>
              <w:overflowPunct w:val="0"/>
              <w:spacing w:line="260" w:lineRule="exact"/>
              <w:jc w:val="left"/>
              <w:rPr>
                <w:rFonts w:hint="eastAsia" w:ascii="仿宋_GB2312" w:hAnsi="宋体" w:eastAsia="仿宋_GB2312"/>
                <w:kern w:val="0"/>
                <w:szCs w:val="21"/>
              </w:rPr>
            </w:pPr>
            <w:r>
              <w:rPr>
                <w:rFonts w:hint="eastAsia" w:ascii="仿宋_GB2312" w:hAnsi="宋体" w:eastAsia="仿宋_GB2312"/>
                <w:kern w:val="0"/>
                <w:szCs w:val="21"/>
              </w:rPr>
              <w:t>3月底前，建成区住宅小区均要按“四分类”要求设置投放点、投放设施和宣传标识，同一小区投放设施如垃圾桶大小、颜色、标识要相对统一。其他住宅小区年内按“四分类”标准设置分类设施。</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对应区住建局、城管局的相关镇级部门按职责分工负责、各社区、股份合作社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12</w:t>
            </w:r>
          </w:p>
        </w:tc>
        <w:tc>
          <w:tcPr>
            <w:tcW w:w="355" w:type="pct"/>
            <w:vMerge w:val="restar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完善投放设施</w:t>
            </w: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机关、事业单位等共机构和车站、码头等窗口单位实现垃圾“四分类”全覆盖，其他企业单位垃圾分类全覆盖工作有效推动，农村地区要按分类设施设置标准加快配齐统一的投放设施。</w:t>
            </w:r>
          </w:p>
        </w:tc>
        <w:tc>
          <w:tcPr>
            <w:tcW w:w="1397" w:type="pct"/>
            <w:noWrap w:val="0"/>
            <w:vAlign w:val="center"/>
          </w:tcPr>
          <w:p>
            <w:pPr>
              <w:overflowPunct w:val="0"/>
              <w:spacing w:line="240" w:lineRule="exact"/>
              <w:rPr>
                <w:rFonts w:hint="eastAsia" w:ascii="仿宋_GB2312" w:hAnsi="宋体" w:eastAsia="仿宋_GB2312"/>
                <w:kern w:val="0"/>
                <w:szCs w:val="21"/>
              </w:rPr>
            </w:pPr>
            <w:r>
              <w:rPr>
                <w:rFonts w:hint="eastAsia" w:ascii="仿宋_GB2312" w:hAnsi="宋体" w:eastAsia="仿宋_GB2312"/>
                <w:kern w:val="0"/>
                <w:szCs w:val="21"/>
              </w:rPr>
              <w:t>对应区教育局、财政局（国资办）、住建局、城管局、交通运输局、商务局、文体广电和旅游局、卫生健康局、机关事务管理中心等的相关镇级部门按职责分工负责、各社区、股份合作社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13</w:t>
            </w:r>
          </w:p>
        </w:tc>
        <w:tc>
          <w:tcPr>
            <w:tcW w:w="355" w:type="pct"/>
            <w:vMerge w:val="continue"/>
            <w:noWrap w:val="0"/>
            <w:vAlign w:val="center"/>
          </w:tcPr>
          <w:p>
            <w:pPr>
              <w:overflowPunct w:val="0"/>
              <w:spacing w:line="280" w:lineRule="exact"/>
              <w:jc w:val="left"/>
              <w:rPr>
                <w:rFonts w:hint="eastAsia" w:ascii="仿宋_GB2312" w:hAnsi="宋体" w:eastAsia="仿宋_GB2312"/>
                <w:kern w:val="0"/>
                <w:szCs w:val="21"/>
              </w:rPr>
            </w:pPr>
          </w:p>
        </w:tc>
        <w:tc>
          <w:tcPr>
            <w:tcW w:w="2647" w:type="pct"/>
            <w:noWrap w:val="0"/>
            <w:vAlign w:val="center"/>
          </w:tcPr>
          <w:p>
            <w:pPr>
              <w:overflowPunct w:val="0"/>
              <w:spacing w:line="260" w:lineRule="exact"/>
              <w:jc w:val="left"/>
              <w:rPr>
                <w:rFonts w:hint="eastAsia" w:ascii="仿宋_GB2312" w:hAnsi="宋体" w:eastAsia="仿宋_GB2312"/>
                <w:spacing w:val="-6"/>
                <w:kern w:val="0"/>
                <w:szCs w:val="21"/>
              </w:rPr>
            </w:pPr>
            <w:r>
              <w:rPr>
                <w:rFonts w:hint="eastAsia" w:ascii="仿宋_GB2312" w:hAnsi="宋体" w:eastAsia="仿宋_GB2312"/>
                <w:spacing w:val="-6"/>
                <w:kern w:val="0"/>
                <w:szCs w:val="21"/>
              </w:rPr>
              <w:t>推行“三定一撤（即定时、定点、定人、撤桶并点）”。住宅小区要在“四分类”基础上全面推行“三定一撤”达标小区建设，所有达标小区均要实现楼栋单元撤桶，投放点配备分类督导员，实行督导员“桶边值守”、现场督导、上门宣传、指导居民准确分类。</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对应区住建局、城管局的相关镇级部门按职责分工负责、各社区、股份合作社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14</w:t>
            </w:r>
          </w:p>
        </w:tc>
        <w:tc>
          <w:tcPr>
            <w:tcW w:w="355" w:type="pct"/>
            <w:vMerge w:val="continue"/>
            <w:noWrap w:val="0"/>
            <w:vAlign w:val="center"/>
          </w:tcPr>
          <w:p>
            <w:pPr>
              <w:overflowPunct w:val="0"/>
              <w:spacing w:line="280" w:lineRule="exact"/>
              <w:jc w:val="left"/>
              <w:rPr>
                <w:rFonts w:hint="eastAsia" w:ascii="仿宋_GB2312" w:hAnsi="宋体" w:eastAsia="仿宋_GB2312"/>
                <w:kern w:val="0"/>
                <w:szCs w:val="21"/>
              </w:rPr>
            </w:pPr>
          </w:p>
        </w:tc>
        <w:tc>
          <w:tcPr>
            <w:tcW w:w="2647" w:type="pct"/>
            <w:noWrap w:val="0"/>
            <w:vAlign w:val="center"/>
          </w:tcPr>
          <w:p>
            <w:pPr>
              <w:overflowPunct w:val="0"/>
              <w:spacing w:line="260" w:lineRule="exact"/>
              <w:jc w:val="left"/>
              <w:rPr>
                <w:rFonts w:hint="eastAsia" w:ascii="仿宋_GB2312" w:hAnsi="宋体" w:eastAsia="仿宋_GB2312"/>
                <w:kern w:val="0"/>
                <w:szCs w:val="21"/>
              </w:rPr>
            </w:pPr>
            <w:r>
              <w:rPr>
                <w:rFonts w:hint="eastAsia" w:ascii="仿宋_GB2312" w:hAnsi="宋体" w:eastAsia="仿宋_GB2312"/>
                <w:kern w:val="0"/>
                <w:szCs w:val="21"/>
              </w:rPr>
              <w:t>新建小区（2020年1月1日起出让地块）要按规划要求同步配套建设集中投放收集点（清洁屋等），老旧小区改造时有条件的要同步增建一定数量的集中投放设施，其他小区因地制宜通过建设清洁屋、改造和利用现有分类亭、流动收集车等方式设置集中收集投放点，同时所有小区根据需要可设置部分误时投放点，减少分散式投放带来的污染，逐步形成“房、亭、车”相结合的集中投放收集模式。</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对应区住建局、城管局、自然资源和规划分局的相关镇级部门按职责分工负责、各社区、股份合作社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15</w:t>
            </w:r>
          </w:p>
        </w:tc>
        <w:tc>
          <w:tcPr>
            <w:tcW w:w="355" w:type="pct"/>
            <w:vMerge w:val="continue"/>
            <w:noWrap w:val="0"/>
            <w:vAlign w:val="center"/>
          </w:tcPr>
          <w:p>
            <w:pPr>
              <w:overflowPunct w:val="0"/>
              <w:spacing w:line="280" w:lineRule="exact"/>
              <w:jc w:val="left"/>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优化运输方式。建立健全与生活垃圾分类投放收集相匹配的运输网络，合理布局转运站点，科学确定分类收运频次、时间和线路，严禁混收混运。</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镇综合行政执法局、各社区、股份合作社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16</w:t>
            </w:r>
          </w:p>
        </w:tc>
        <w:tc>
          <w:tcPr>
            <w:tcW w:w="355" w:type="pct"/>
            <w:vMerge w:val="restar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健全分类体系</w:t>
            </w: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积极探索“公交式”收运、流动定时收运、预约收运等新模式，提高收运保障能力。</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镇综合行政执法局、各社区、股份合作社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17</w:t>
            </w:r>
          </w:p>
        </w:tc>
        <w:tc>
          <w:tcPr>
            <w:tcW w:w="355" w:type="pct"/>
            <w:vMerge w:val="continue"/>
            <w:noWrap w:val="0"/>
            <w:vAlign w:val="center"/>
          </w:tcPr>
          <w:p>
            <w:pPr>
              <w:overflowPunct w:val="0"/>
              <w:spacing w:line="280" w:lineRule="exact"/>
              <w:jc w:val="left"/>
              <w:rPr>
                <w:rFonts w:hint="eastAsia" w:ascii="仿宋_GB2312" w:hAnsi="宋体" w:eastAsia="仿宋_GB2312"/>
                <w:kern w:val="0"/>
                <w:szCs w:val="21"/>
              </w:rPr>
            </w:pPr>
          </w:p>
        </w:tc>
        <w:tc>
          <w:tcPr>
            <w:tcW w:w="2647" w:type="pct"/>
            <w:noWrap w:val="0"/>
            <w:vAlign w:val="center"/>
          </w:tcPr>
          <w:p>
            <w:pPr>
              <w:overflowPunct w:val="0"/>
              <w:spacing w:line="260" w:lineRule="exact"/>
              <w:jc w:val="left"/>
              <w:rPr>
                <w:rFonts w:hint="eastAsia" w:ascii="仿宋_GB2312" w:hAnsi="宋体" w:eastAsia="仿宋_GB2312"/>
                <w:kern w:val="0"/>
                <w:szCs w:val="21"/>
              </w:rPr>
            </w:pPr>
            <w:r>
              <w:rPr>
                <w:rFonts w:hint="eastAsia" w:ascii="仿宋_GB2312" w:hAnsi="宋体" w:eastAsia="仿宋_GB2312"/>
                <w:kern w:val="0"/>
                <w:szCs w:val="21"/>
              </w:rPr>
              <w:t>加强运输车辆规范化、密闭化改造，统一规范前端垃圾分类收集车的外观、标识、编号，配足配齐不同种类的收集车辆并安装视频监控、车载定位等信息化设备，实现专桶专用、专车专收、专线转运。</w:t>
            </w:r>
          </w:p>
        </w:tc>
        <w:tc>
          <w:tcPr>
            <w:tcW w:w="1397" w:type="pct"/>
            <w:noWrap w:val="0"/>
            <w:vAlign w:val="center"/>
          </w:tcPr>
          <w:p>
            <w:pPr>
              <w:overflowPunct w:val="0"/>
              <w:spacing w:line="260" w:lineRule="exact"/>
              <w:rPr>
                <w:rFonts w:hint="eastAsia" w:ascii="仿宋_GB2312" w:hAnsi="宋体" w:eastAsia="仿宋_GB2312"/>
                <w:kern w:val="0"/>
                <w:szCs w:val="21"/>
              </w:rPr>
            </w:pPr>
            <w:r>
              <w:rPr>
                <w:rFonts w:hint="eastAsia" w:ascii="仿宋_GB2312" w:hAnsi="宋体" w:eastAsia="仿宋_GB2312"/>
                <w:kern w:val="0"/>
                <w:szCs w:val="21"/>
              </w:rPr>
              <w:t>对应区城管局、交通运输局、公安分局的相关镇级部门按职责分工负责、各社区、股份合作社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18</w:t>
            </w:r>
          </w:p>
        </w:tc>
        <w:tc>
          <w:tcPr>
            <w:tcW w:w="355" w:type="pct"/>
            <w:vMerge w:val="continue"/>
            <w:noWrap w:val="0"/>
            <w:vAlign w:val="center"/>
          </w:tcPr>
          <w:p>
            <w:pPr>
              <w:overflowPunct w:val="0"/>
              <w:spacing w:line="280" w:lineRule="exact"/>
              <w:jc w:val="left"/>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年内配合加快东升环卫综合项目前期工作</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全镇、先行集团</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19</w:t>
            </w:r>
          </w:p>
        </w:tc>
        <w:tc>
          <w:tcPr>
            <w:tcW w:w="355" w:type="pct"/>
            <w:vMerge w:val="continue"/>
            <w:noWrap w:val="0"/>
            <w:vAlign w:val="center"/>
          </w:tcPr>
          <w:p>
            <w:pPr>
              <w:overflowPunct w:val="0"/>
              <w:spacing w:line="280" w:lineRule="exact"/>
              <w:jc w:val="left"/>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配合完成武进马杭垃圾转运站改建、雪堰镇垃圾临时转运站改建和武进城南转运站渗滤液处理等工程。</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对应区城管局、各社区、股份合作社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20</w:t>
            </w:r>
          </w:p>
        </w:tc>
        <w:tc>
          <w:tcPr>
            <w:tcW w:w="355" w:type="pct"/>
            <w:vMerge w:val="continue"/>
            <w:noWrap w:val="0"/>
            <w:vAlign w:val="center"/>
          </w:tcPr>
          <w:p>
            <w:pPr>
              <w:overflowPunct w:val="0"/>
              <w:spacing w:line="280" w:lineRule="exact"/>
              <w:jc w:val="center"/>
              <w:rPr>
                <w:rFonts w:hint="eastAsia" w:ascii="仿宋_GB2312" w:hAnsi="宋体" w:eastAsia="仿宋_GB2312"/>
                <w:kern w:val="0"/>
                <w:szCs w:val="21"/>
              </w:rPr>
            </w:pPr>
          </w:p>
        </w:tc>
        <w:tc>
          <w:tcPr>
            <w:tcW w:w="2647" w:type="pct"/>
            <w:noWrap w:val="0"/>
            <w:vAlign w:val="center"/>
          </w:tcPr>
          <w:p>
            <w:pPr>
              <w:overflowPunct w:val="0"/>
              <w:spacing w:line="260" w:lineRule="exact"/>
              <w:jc w:val="left"/>
              <w:rPr>
                <w:rFonts w:hint="eastAsia" w:ascii="仿宋_GB2312" w:hAnsi="宋体" w:eastAsia="仿宋_GB2312"/>
                <w:spacing w:val="-10"/>
                <w:kern w:val="0"/>
                <w:szCs w:val="21"/>
              </w:rPr>
            </w:pPr>
            <w:r>
              <w:rPr>
                <w:rFonts w:hint="eastAsia" w:ascii="仿宋_GB2312" w:hAnsi="宋体" w:eastAsia="仿宋_GB2312"/>
                <w:spacing w:val="-10"/>
                <w:kern w:val="0"/>
                <w:szCs w:val="21"/>
              </w:rPr>
              <w:t>配合将再生资源回收网（点）纳入城市建设规划,建设“回收服务点、回收服务站、回收中心”三级“两网融合”体系，形成市民交投便捷、企业物流畅通的系统。源头布点上，在居住区、商务街等建设一批“回收服务点”，可结合垃圾分类收集点、装修垃圾收集点、便民服务中心、宣传教育站一并建设；中间转运上，以镇（街道）为单位，建设一批“回收服务站”，对再生资源进行集中回收、存储、分选、打包、转运，对可用物品进行整修，方便旧物交易利用。</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对应区商务局、城管局的相关镇级部门按职责分工负责、各社区、股份合作社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21</w:t>
            </w:r>
          </w:p>
        </w:tc>
        <w:tc>
          <w:tcPr>
            <w:tcW w:w="355" w:type="pct"/>
            <w:vMerge w:val="continue"/>
            <w:noWrap w:val="0"/>
            <w:vAlign w:val="center"/>
          </w:tcPr>
          <w:p>
            <w:pPr>
              <w:overflowPunct w:val="0"/>
              <w:spacing w:line="280" w:lineRule="exact"/>
              <w:jc w:val="center"/>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推进湖塘镇可回收物分拣中心异地新建工作，具备商品交易、分拣加工、仓储配送和配套服务等功能，进行托底保障服务。</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对应区发改局、城管局、行政审批局、商务局的相关镇级部门</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22</w:t>
            </w:r>
          </w:p>
        </w:tc>
        <w:tc>
          <w:tcPr>
            <w:tcW w:w="355" w:type="pct"/>
            <w:vMerge w:val="continue"/>
            <w:noWrap w:val="0"/>
            <w:vAlign w:val="center"/>
          </w:tcPr>
          <w:p>
            <w:pPr>
              <w:overflowPunct w:val="0"/>
              <w:spacing w:line="280" w:lineRule="exact"/>
              <w:jc w:val="center"/>
              <w:rPr>
                <w:rFonts w:hint="eastAsia" w:ascii="仿宋_GB2312" w:hAnsi="宋体" w:eastAsia="仿宋_GB2312"/>
                <w:kern w:val="0"/>
                <w:szCs w:val="21"/>
              </w:rPr>
            </w:pPr>
          </w:p>
        </w:tc>
        <w:tc>
          <w:tcPr>
            <w:tcW w:w="2647" w:type="pct"/>
            <w:noWrap w:val="0"/>
            <w:vAlign w:val="center"/>
          </w:tcPr>
          <w:p>
            <w:pPr>
              <w:overflowPunct w:val="0"/>
              <w:spacing w:line="260" w:lineRule="exact"/>
              <w:jc w:val="left"/>
              <w:rPr>
                <w:rFonts w:hint="eastAsia" w:ascii="仿宋_GB2312" w:hAnsi="宋体" w:eastAsia="仿宋_GB2312"/>
                <w:kern w:val="0"/>
                <w:szCs w:val="21"/>
              </w:rPr>
            </w:pPr>
            <w:r>
              <w:rPr>
                <w:rFonts w:hint="eastAsia" w:ascii="仿宋_GB2312" w:hAnsi="宋体" w:eastAsia="仿宋_GB2312"/>
                <w:kern w:val="0"/>
                <w:szCs w:val="21"/>
              </w:rPr>
              <w:t>对照《江苏省垃圾分类小区评价标准（修订版）》，以“四分类+三定一撤”为基本要求和“硬件齐、管理强、效果优”为标准，9月底前完成江苏省下达的达标小区创建任务41个。</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23</w:t>
            </w:r>
          </w:p>
        </w:tc>
        <w:tc>
          <w:tcPr>
            <w:tcW w:w="355" w:type="pct"/>
            <w:vMerge w:val="restar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提升分类质效</w:t>
            </w:r>
          </w:p>
        </w:tc>
        <w:tc>
          <w:tcPr>
            <w:tcW w:w="2647" w:type="pct"/>
            <w:noWrap w:val="0"/>
            <w:vAlign w:val="center"/>
          </w:tcPr>
          <w:p>
            <w:pPr>
              <w:overflowPunct w:val="0"/>
              <w:spacing w:line="260" w:lineRule="exact"/>
              <w:jc w:val="left"/>
              <w:rPr>
                <w:rFonts w:hint="eastAsia" w:ascii="仿宋_GB2312" w:hAnsi="宋体" w:eastAsia="仿宋_GB2312"/>
                <w:kern w:val="0"/>
                <w:szCs w:val="21"/>
              </w:rPr>
            </w:pPr>
            <w:r>
              <w:rPr>
                <w:rFonts w:hint="eastAsia" w:ascii="仿宋_GB2312" w:hAnsi="宋体" w:eastAsia="仿宋_GB2312"/>
                <w:kern w:val="0"/>
                <w:szCs w:val="21"/>
              </w:rPr>
              <w:t>加大垃圾分类行业管理力度，推进机关、学校、医院、农贸市场、宾馆饭店、超市商场、车站等公共场所等行业垃圾分类。将垃圾分类纳入“无废学校”、“绿色商场”、“无废菜场”、“无废景区”、“无废酒店”、“无废医院”、“无废机关”创建中。每季度对行业部门至少组织1次源头减量或垃圾分类工作督查，每年度开展1次总结。</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对应区教育局、商务局、文体广电和旅游局、卫生健康局、机关事务管理中心的相关镇级部门等按职责分工负责</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24</w:t>
            </w:r>
          </w:p>
        </w:tc>
        <w:tc>
          <w:tcPr>
            <w:tcW w:w="355" w:type="pct"/>
            <w:vMerge w:val="continue"/>
            <w:noWrap w:val="0"/>
            <w:vAlign w:val="center"/>
          </w:tcPr>
          <w:p>
            <w:pPr>
              <w:overflowPunct w:val="0"/>
              <w:spacing w:line="280" w:lineRule="exact"/>
              <w:jc w:val="center"/>
              <w:rPr>
                <w:rFonts w:hint="eastAsia" w:ascii="仿宋_GB2312" w:hAnsi="宋体" w:eastAsia="仿宋_GB2312"/>
                <w:kern w:val="0"/>
                <w:szCs w:val="21"/>
              </w:rPr>
            </w:pPr>
          </w:p>
        </w:tc>
        <w:tc>
          <w:tcPr>
            <w:tcW w:w="2647" w:type="pct"/>
            <w:noWrap w:val="0"/>
            <w:vAlign w:val="center"/>
          </w:tcPr>
          <w:p>
            <w:pPr>
              <w:overflowPunct w:val="0"/>
              <w:spacing w:line="260" w:lineRule="exact"/>
              <w:jc w:val="left"/>
              <w:rPr>
                <w:rFonts w:hint="eastAsia" w:ascii="仿宋_GB2312" w:hAnsi="宋体" w:eastAsia="仿宋_GB2312"/>
                <w:kern w:val="0"/>
                <w:szCs w:val="21"/>
              </w:rPr>
            </w:pPr>
            <w:r>
              <w:rPr>
                <w:rFonts w:hint="eastAsia" w:ascii="仿宋_GB2312" w:hAnsi="宋体" w:eastAsia="仿宋_GB2312"/>
                <w:kern w:val="0"/>
                <w:szCs w:val="21"/>
              </w:rPr>
              <w:t>依托常州市垃圾分类信息管理子系统，进一步整合全区垃圾分类体系基础信息。</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对应区城管局的相关镇级部门、各社区、股份合作社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5" w:hRule="atLeast"/>
        </w:trPr>
        <w:tc>
          <w:tcPr>
            <w:tcW w:w="189" w:type="pct"/>
            <w:noWrap w:val="0"/>
            <w:vAlign w:val="center"/>
          </w:tcPr>
          <w:p>
            <w:pPr>
              <w:overflowPunct w:val="0"/>
              <w:spacing w:line="280" w:lineRule="exact"/>
              <w:jc w:val="center"/>
              <w:rPr>
                <w:rFonts w:hint="eastAsia" w:ascii="仿宋_GB2312" w:hAnsi="宋体" w:eastAsia="仿宋_GB2312"/>
                <w:szCs w:val="21"/>
              </w:rPr>
            </w:pPr>
            <w:r>
              <w:rPr>
                <w:rFonts w:hint="eastAsia" w:ascii="仿宋_GB2312" w:hAnsi="宋体" w:eastAsia="仿宋_GB2312"/>
                <w:szCs w:val="21"/>
              </w:rPr>
              <w:t>25</w:t>
            </w:r>
          </w:p>
        </w:tc>
        <w:tc>
          <w:tcPr>
            <w:tcW w:w="355" w:type="pct"/>
            <w:vMerge w:val="continue"/>
            <w:noWrap w:val="0"/>
            <w:vAlign w:val="center"/>
          </w:tcPr>
          <w:p>
            <w:pPr>
              <w:overflowPunct w:val="0"/>
              <w:spacing w:line="280" w:lineRule="exact"/>
              <w:jc w:val="center"/>
              <w:rPr>
                <w:rFonts w:hint="eastAsia" w:ascii="仿宋_GB2312" w:hAnsi="宋体" w:eastAsia="仿宋_GB2312"/>
                <w:szCs w:val="21"/>
              </w:rPr>
            </w:pPr>
          </w:p>
        </w:tc>
        <w:tc>
          <w:tcPr>
            <w:tcW w:w="2647" w:type="pct"/>
            <w:noWrap w:val="0"/>
            <w:vAlign w:val="center"/>
          </w:tcPr>
          <w:p>
            <w:pPr>
              <w:overflowPunct w:val="0"/>
              <w:spacing w:line="260" w:lineRule="exact"/>
              <w:jc w:val="left"/>
              <w:rPr>
                <w:rFonts w:hint="eastAsia" w:ascii="仿宋_GB2312" w:hAnsi="宋体" w:eastAsia="仿宋_GB2312"/>
                <w:kern w:val="0"/>
                <w:szCs w:val="21"/>
              </w:rPr>
            </w:pPr>
            <w:r>
              <w:rPr>
                <w:rFonts w:hint="eastAsia" w:ascii="仿宋_GB2312" w:hAnsi="宋体" w:eastAsia="仿宋_GB2312"/>
                <w:kern w:val="0"/>
                <w:szCs w:val="21"/>
              </w:rPr>
              <w:t>年内新增达标小区应实现“三定一撤”投放点计量数据实时接入市级平台。</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对应区住建局、城管局的相关镇级部门按职责分工负责、各社区、股份合作社</w:t>
            </w:r>
          </w:p>
        </w:tc>
        <w:tc>
          <w:tcPr>
            <w:tcW w:w="412" w:type="pct"/>
            <w:noWrap w:val="0"/>
            <w:vAlign w:val="center"/>
          </w:tcPr>
          <w:p>
            <w:pPr>
              <w:overflowPunct w:val="0"/>
              <w:spacing w:line="280" w:lineRule="exact"/>
              <w:jc w:val="center"/>
              <w:rPr>
                <w:rFonts w:hint="eastAsia" w:ascii="仿宋_GB2312" w:hAnsi="宋体" w:eastAsia="仿宋_GB2312"/>
                <w:spacing w:val="-10"/>
                <w:kern w:val="0"/>
                <w:szCs w:val="21"/>
              </w:rPr>
            </w:pPr>
            <w:r>
              <w:rPr>
                <w:rFonts w:hint="eastAsia" w:ascii="仿宋_GB2312" w:hAnsi="宋体" w:eastAsia="仿宋_GB2312"/>
                <w:spacing w:val="-10"/>
                <w:kern w:val="0"/>
                <w:szCs w:val="21"/>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26</w:t>
            </w:r>
          </w:p>
        </w:tc>
        <w:tc>
          <w:tcPr>
            <w:tcW w:w="355" w:type="pct"/>
            <w:vMerge w:val="continue"/>
            <w:noWrap w:val="0"/>
            <w:vAlign w:val="center"/>
          </w:tcPr>
          <w:p>
            <w:pPr>
              <w:overflowPunct w:val="0"/>
              <w:spacing w:line="280" w:lineRule="exact"/>
              <w:jc w:val="left"/>
              <w:rPr>
                <w:rFonts w:hint="eastAsia" w:ascii="仿宋_GB2312" w:hAnsi="宋体" w:eastAsia="仿宋_GB2312"/>
                <w:kern w:val="0"/>
                <w:szCs w:val="21"/>
              </w:rPr>
            </w:pPr>
          </w:p>
        </w:tc>
        <w:tc>
          <w:tcPr>
            <w:tcW w:w="2647" w:type="pct"/>
            <w:noWrap w:val="0"/>
            <w:vAlign w:val="center"/>
          </w:tcPr>
          <w:p>
            <w:pPr>
              <w:overflowPunct w:val="0"/>
              <w:spacing w:line="260" w:lineRule="exact"/>
              <w:jc w:val="left"/>
              <w:rPr>
                <w:rFonts w:hint="eastAsia" w:ascii="仿宋_GB2312" w:hAnsi="宋体" w:eastAsia="仿宋_GB2312"/>
                <w:kern w:val="0"/>
                <w:szCs w:val="21"/>
              </w:rPr>
            </w:pPr>
            <w:r>
              <w:rPr>
                <w:rFonts w:hint="eastAsia" w:ascii="仿宋_GB2312" w:hAnsi="宋体" w:eastAsia="仿宋_GB2312"/>
                <w:kern w:val="0"/>
                <w:szCs w:val="21"/>
              </w:rPr>
              <w:t>加大垃圾分类公益广告刊播力度，公益广告中垃圾分类占比不低于10%；</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对应区委宣传部、区城管局的相关镇级部门等按职责分工负责、各社区、股份合作社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27</w:t>
            </w:r>
          </w:p>
        </w:tc>
        <w:tc>
          <w:tcPr>
            <w:tcW w:w="355" w:type="pct"/>
            <w:vMerge w:val="restar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强化宣传引导</w:t>
            </w:r>
          </w:p>
        </w:tc>
        <w:tc>
          <w:tcPr>
            <w:tcW w:w="2647" w:type="pct"/>
            <w:noWrap w:val="0"/>
            <w:vAlign w:val="center"/>
          </w:tcPr>
          <w:p>
            <w:pPr>
              <w:overflowPunct w:val="0"/>
              <w:spacing w:line="260" w:lineRule="exact"/>
              <w:jc w:val="left"/>
              <w:rPr>
                <w:rFonts w:hint="eastAsia" w:ascii="仿宋_GB2312" w:hAnsi="宋体" w:eastAsia="仿宋_GB2312"/>
                <w:kern w:val="0"/>
                <w:szCs w:val="21"/>
              </w:rPr>
            </w:pPr>
            <w:r>
              <w:rPr>
                <w:rFonts w:hint="eastAsia" w:ascii="仿宋_GB2312" w:hAnsi="宋体" w:eastAsia="仿宋_GB2312"/>
                <w:kern w:val="0"/>
                <w:szCs w:val="21"/>
              </w:rPr>
              <w:t>开展全区范围的垃圾分类主题宣传活动每季度不少于1次，同步在市级以上主流媒体开展宣传活动报道每季度不少于1次</w:t>
            </w:r>
          </w:p>
        </w:tc>
        <w:tc>
          <w:tcPr>
            <w:tcW w:w="1397" w:type="pct"/>
            <w:vMerge w:val="restar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对应区委宣传部、区委政法委、区城管局、住建局的相关镇级部门等按职责分工负责、各社区、股份合作社</w:t>
            </w:r>
          </w:p>
        </w:tc>
        <w:tc>
          <w:tcPr>
            <w:tcW w:w="412" w:type="pct"/>
            <w:vMerge w:val="restar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28</w:t>
            </w:r>
          </w:p>
        </w:tc>
        <w:tc>
          <w:tcPr>
            <w:tcW w:w="355" w:type="pct"/>
            <w:vMerge w:val="continue"/>
            <w:noWrap w:val="0"/>
            <w:vAlign w:val="center"/>
          </w:tcPr>
          <w:p>
            <w:pPr>
              <w:overflowPunct w:val="0"/>
              <w:spacing w:line="280" w:lineRule="exact"/>
              <w:jc w:val="center"/>
              <w:rPr>
                <w:rFonts w:hint="eastAsia" w:ascii="仿宋_GB2312" w:hAnsi="宋体" w:eastAsia="仿宋_GB2312"/>
                <w:kern w:val="0"/>
                <w:szCs w:val="21"/>
              </w:rPr>
            </w:pPr>
          </w:p>
        </w:tc>
        <w:tc>
          <w:tcPr>
            <w:tcW w:w="2647" w:type="pct"/>
            <w:noWrap w:val="0"/>
            <w:vAlign w:val="center"/>
          </w:tcPr>
          <w:p>
            <w:pPr>
              <w:overflowPunct w:val="0"/>
              <w:spacing w:line="260" w:lineRule="exact"/>
              <w:jc w:val="left"/>
              <w:rPr>
                <w:rFonts w:hint="eastAsia" w:ascii="仿宋_GB2312" w:hAnsi="宋体" w:eastAsia="仿宋_GB2312"/>
                <w:kern w:val="0"/>
                <w:szCs w:val="21"/>
              </w:rPr>
            </w:pPr>
            <w:r>
              <w:rPr>
                <w:rFonts w:hint="eastAsia" w:ascii="仿宋_GB2312" w:hAnsi="宋体" w:eastAsia="仿宋_GB2312"/>
                <w:kern w:val="0"/>
                <w:szCs w:val="21"/>
              </w:rPr>
              <w:t>全年组织区、街道（镇）、社区（村）三级业务骨干的培训不少于1次，全区物业服务企业宣传及管理培训不少于1次。各板块依托网格管理，结合达标小区建设，持续“地毯式”入户宣传每季度不少于1次，每季度入户宣传居民户数不低于建成区居民总户数的25%；每季度开展垃圾分类志愿服务活动不少于3次；依托宣教阵地开展街道（镇）级宣教活动每季度不少于1次。</w:t>
            </w:r>
          </w:p>
        </w:tc>
        <w:tc>
          <w:tcPr>
            <w:tcW w:w="1397" w:type="pct"/>
            <w:vMerge w:val="continue"/>
            <w:noWrap w:val="0"/>
            <w:vAlign w:val="center"/>
          </w:tcPr>
          <w:p>
            <w:pPr>
              <w:overflowPunct w:val="0"/>
              <w:spacing w:line="280" w:lineRule="exact"/>
              <w:rPr>
                <w:rFonts w:hint="eastAsia" w:ascii="仿宋_GB2312" w:hAnsi="宋体" w:eastAsia="仿宋_GB2312"/>
                <w:kern w:val="0"/>
                <w:szCs w:val="21"/>
              </w:rPr>
            </w:pPr>
          </w:p>
        </w:tc>
        <w:tc>
          <w:tcPr>
            <w:tcW w:w="412" w:type="pct"/>
            <w:vMerge w:val="continue"/>
            <w:noWrap w:val="0"/>
            <w:vAlign w:val="center"/>
          </w:tcPr>
          <w:p>
            <w:pPr>
              <w:overflowPunct w:val="0"/>
              <w:spacing w:line="280" w:lineRule="exact"/>
              <w:jc w:val="center"/>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29</w:t>
            </w:r>
          </w:p>
        </w:tc>
        <w:tc>
          <w:tcPr>
            <w:tcW w:w="355" w:type="pct"/>
            <w:vMerge w:val="continue"/>
            <w:noWrap w:val="0"/>
            <w:vAlign w:val="center"/>
          </w:tcPr>
          <w:p>
            <w:pPr>
              <w:overflowPunct w:val="0"/>
              <w:spacing w:line="280" w:lineRule="exact"/>
              <w:jc w:val="center"/>
              <w:rPr>
                <w:rFonts w:hint="eastAsia" w:ascii="仿宋_GB2312" w:hAnsi="宋体" w:eastAsia="仿宋_GB2312"/>
                <w:kern w:val="0"/>
                <w:szCs w:val="21"/>
              </w:rPr>
            </w:pPr>
          </w:p>
        </w:tc>
        <w:tc>
          <w:tcPr>
            <w:tcW w:w="2647" w:type="pct"/>
            <w:noWrap w:val="0"/>
            <w:vAlign w:val="center"/>
          </w:tcPr>
          <w:p>
            <w:pPr>
              <w:overflowPunct w:val="0"/>
              <w:spacing w:line="260" w:lineRule="exact"/>
              <w:jc w:val="left"/>
              <w:rPr>
                <w:rFonts w:hint="eastAsia" w:ascii="仿宋_GB2312" w:hAnsi="宋体" w:eastAsia="仿宋_GB2312"/>
                <w:kern w:val="0"/>
                <w:szCs w:val="21"/>
              </w:rPr>
            </w:pPr>
            <w:r>
              <w:rPr>
                <w:rFonts w:hint="eastAsia" w:ascii="仿宋_GB2312" w:hAnsi="宋体" w:eastAsia="仿宋_GB2312"/>
                <w:kern w:val="0"/>
                <w:szCs w:val="21"/>
              </w:rPr>
              <w:t>健全垃圾分类督导员教育培训机制，落实岗前培训、岗中提升、后进“跟学”制度，每季度培训不少于1次，确保分类督导员具有相应工作能力。各板块要建立完善督导员队伍监督考核机制，考核结果与督导员补贴经费挂钩，并纳入“三定一撤”小区日常运行考核内容。要改进督导员补贴经费发放方式，与督导工作量和绩效挂钩，促使督导员履职尽责。</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对应区住建局、城管局、财政局的相关镇级部门等按职责分工负责、各社区、股份合作社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30</w:t>
            </w:r>
          </w:p>
        </w:tc>
        <w:tc>
          <w:tcPr>
            <w:tcW w:w="355" w:type="pct"/>
            <w:vMerge w:val="continue"/>
            <w:noWrap w:val="0"/>
            <w:vAlign w:val="center"/>
          </w:tcPr>
          <w:p>
            <w:pPr>
              <w:overflowPunct w:val="0"/>
              <w:spacing w:line="280" w:lineRule="exact"/>
              <w:jc w:val="left"/>
              <w:rPr>
                <w:rFonts w:hint="eastAsia" w:ascii="仿宋_GB2312" w:hAnsi="宋体" w:eastAsia="仿宋_GB2312"/>
                <w:kern w:val="0"/>
                <w:szCs w:val="21"/>
              </w:rPr>
            </w:pPr>
          </w:p>
        </w:tc>
        <w:tc>
          <w:tcPr>
            <w:tcW w:w="2647" w:type="pct"/>
            <w:noWrap w:val="0"/>
            <w:vAlign w:val="center"/>
          </w:tcPr>
          <w:p>
            <w:pPr>
              <w:overflowPunct w:val="0"/>
              <w:spacing w:line="260" w:lineRule="exact"/>
              <w:jc w:val="left"/>
              <w:rPr>
                <w:rFonts w:hint="eastAsia" w:ascii="仿宋_GB2312" w:hAnsi="宋体" w:eastAsia="仿宋_GB2312"/>
                <w:kern w:val="0"/>
                <w:szCs w:val="21"/>
              </w:rPr>
            </w:pPr>
            <w:r>
              <w:rPr>
                <w:rFonts w:hint="eastAsia" w:ascii="仿宋_GB2312" w:hAnsi="宋体" w:eastAsia="仿宋_GB2312"/>
                <w:kern w:val="0"/>
                <w:szCs w:val="21"/>
              </w:rPr>
              <w:t>统筹部署专项执法。认真落实《江苏省城市市容和环境卫生管理条例》和《常州市生活垃圾分类管理办法》，坚持区、镇联动，建立区、镇两级联合执法保障机制，建立垃圾分类专项执法队伍，形成常态执法，严肃查处分类过程中的乱投乱放等违规违法行为，重点对主动破袋率、分类准确率不高的小区，对履职不到位的物业，落实“执法人员进驻”制度，对居民违法行为及时溯源、依法查处，突出执法的靶向性。</w:t>
            </w:r>
          </w:p>
        </w:tc>
        <w:tc>
          <w:tcPr>
            <w:tcW w:w="1397" w:type="pct"/>
            <w:noWrap w:val="0"/>
            <w:vAlign w:val="center"/>
          </w:tcPr>
          <w:p>
            <w:pPr>
              <w:overflowPunct w:val="0"/>
              <w:spacing w:line="280" w:lineRule="exact"/>
              <w:rPr>
                <w:rFonts w:hint="eastAsia" w:ascii="仿宋_GB2312" w:hAnsi="宋体" w:eastAsia="仿宋_GB2312"/>
                <w:kern w:val="0"/>
                <w:szCs w:val="21"/>
              </w:rPr>
            </w:pPr>
            <w:r>
              <w:rPr>
                <w:rFonts w:hint="eastAsia" w:ascii="仿宋_GB2312" w:hAnsi="宋体" w:eastAsia="仿宋_GB2312"/>
                <w:kern w:val="0"/>
                <w:szCs w:val="21"/>
              </w:rPr>
              <w:t>镇综合行政执法局、各社区、股份合作社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31</w:t>
            </w:r>
          </w:p>
        </w:tc>
        <w:tc>
          <w:tcPr>
            <w:tcW w:w="355" w:type="pct"/>
            <w:vMerge w:val="restar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建立执法机制</w:t>
            </w: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定期开展执法案卷会商。注重规范公开执法流程，统一处罚裁量基准，细化违法处罚程序，按月度汇总执法情况，每季度发布垃圾分类执法专项通报。</w:t>
            </w:r>
          </w:p>
        </w:tc>
        <w:tc>
          <w:tcPr>
            <w:tcW w:w="1397" w:type="pct"/>
            <w:noWrap w:val="0"/>
            <w:vAlign w:val="center"/>
          </w:tcPr>
          <w:p>
            <w:pPr>
              <w:overflowPunct w:val="0"/>
              <w:spacing w:line="260" w:lineRule="exact"/>
              <w:rPr>
                <w:rFonts w:hint="eastAsia" w:ascii="仿宋_GB2312" w:hAnsi="宋体" w:eastAsia="仿宋_GB2312"/>
                <w:kern w:val="0"/>
                <w:szCs w:val="21"/>
              </w:rPr>
            </w:pPr>
            <w:r>
              <w:rPr>
                <w:rFonts w:hint="eastAsia" w:ascii="仿宋_GB2312" w:hAnsi="宋体" w:eastAsia="仿宋_GB2312"/>
                <w:kern w:val="0"/>
                <w:szCs w:val="21"/>
              </w:rPr>
              <w:t>镇综合行政执法局、各社区、股份合作社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32</w:t>
            </w:r>
          </w:p>
        </w:tc>
        <w:tc>
          <w:tcPr>
            <w:tcW w:w="355" w:type="pct"/>
            <w:vMerge w:val="continue"/>
            <w:noWrap w:val="0"/>
            <w:vAlign w:val="center"/>
          </w:tcPr>
          <w:p>
            <w:pPr>
              <w:overflowPunct w:val="0"/>
              <w:spacing w:line="280" w:lineRule="exact"/>
              <w:jc w:val="left"/>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建立垃圾分类执法帮扶机制。区城管局定期组织开展垃圾分类执法帮扶引导工作，特别是对执法人员素养、执法装备、简易执法程序指引、居民抗拒执法等出具指导意见，提高执法队伍的法律素养和业务技能，增强执法的透明度和公众的满意度。</w:t>
            </w:r>
          </w:p>
        </w:tc>
        <w:tc>
          <w:tcPr>
            <w:tcW w:w="1397" w:type="pct"/>
            <w:noWrap w:val="0"/>
            <w:vAlign w:val="center"/>
          </w:tcPr>
          <w:p>
            <w:pPr>
              <w:overflowPunct w:val="0"/>
              <w:spacing w:line="260" w:lineRule="exact"/>
              <w:rPr>
                <w:rFonts w:hint="eastAsia" w:ascii="仿宋_GB2312" w:hAnsi="宋体" w:eastAsia="仿宋_GB2312"/>
                <w:kern w:val="0"/>
                <w:szCs w:val="21"/>
              </w:rPr>
            </w:pPr>
            <w:r>
              <w:rPr>
                <w:rFonts w:hint="eastAsia" w:ascii="仿宋_GB2312" w:hAnsi="宋体" w:eastAsia="仿宋_GB2312"/>
                <w:kern w:val="0"/>
                <w:szCs w:val="21"/>
              </w:rPr>
              <w:t>镇综合行政执法局、各社区、股份合作社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34</w:t>
            </w:r>
          </w:p>
        </w:tc>
        <w:tc>
          <w:tcPr>
            <w:tcW w:w="355" w:type="pct"/>
            <w:vMerge w:val="restar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完善参与机制</w:t>
            </w: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引导社区将垃圾分类纳入居民自治制度，镇、街道定期组织开展民主协商研究垃圾分类工作，积极推动群众自我管理、自我服务、自我教育、自我监督。</w:t>
            </w:r>
          </w:p>
        </w:tc>
        <w:tc>
          <w:tcPr>
            <w:tcW w:w="1397" w:type="pct"/>
            <w:noWrap w:val="0"/>
            <w:vAlign w:val="center"/>
          </w:tcPr>
          <w:p>
            <w:pPr>
              <w:overflowPunct w:val="0"/>
              <w:spacing w:line="260" w:lineRule="exact"/>
              <w:rPr>
                <w:rFonts w:hint="eastAsia" w:ascii="仿宋_GB2312" w:hAnsi="宋体" w:eastAsia="仿宋_GB2312"/>
                <w:kern w:val="0"/>
                <w:szCs w:val="21"/>
              </w:rPr>
            </w:pPr>
            <w:r>
              <w:rPr>
                <w:rFonts w:hint="eastAsia" w:ascii="仿宋_GB2312" w:hAnsi="宋体" w:eastAsia="仿宋_GB2312"/>
                <w:kern w:val="0"/>
                <w:szCs w:val="21"/>
              </w:rPr>
              <w:t>对应民政局</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35</w:t>
            </w:r>
          </w:p>
        </w:tc>
        <w:tc>
          <w:tcPr>
            <w:tcW w:w="355" w:type="pct"/>
            <w:vMerge w:val="continue"/>
            <w:noWrap w:val="0"/>
            <w:vAlign w:val="center"/>
          </w:tcPr>
          <w:p>
            <w:pPr>
              <w:overflowPunct w:val="0"/>
              <w:spacing w:line="280" w:lineRule="exact"/>
              <w:jc w:val="center"/>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依托网格管理，统筹居（村）民委员会、业主委员会、物业单位力量，加强垃圾分类宣传，普及分类知识，充分听取居民意见，灵活运用“红黑榜”、“时尚榜”、“示范户”等引导机制，将居（村）民分类意识转化为自觉行动，推动产生生活垃圾的单位、家庭和个人，提高生活垃圾分类知晓率和投放准确率。</w:t>
            </w:r>
          </w:p>
        </w:tc>
        <w:tc>
          <w:tcPr>
            <w:tcW w:w="1397" w:type="pct"/>
            <w:noWrap w:val="0"/>
            <w:vAlign w:val="center"/>
          </w:tcPr>
          <w:p>
            <w:pPr>
              <w:overflowPunct w:val="0"/>
              <w:spacing w:line="260" w:lineRule="exact"/>
              <w:rPr>
                <w:rFonts w:hint="eastAsia" w:ascii="仿宋_GB2312" w:hAnsi="宋体" w:eastAsia="仿宋_GB2312"/>
                <w:kern w:val="0"/>
                <w:szCs w:val="21"/>
              </w:rPr>
            </w:pPr>
            <w:r>
              <w:rPr>
                <w:rFonts w:hint="eastAsia" w:ascii="仿宋_GB2312" w:hAnsi="宋体" w:eastAsia="仿宋_GB2312"/>
                <w:kern w:val="0"/>
                <w:szCs w:val="21"/>
              </w:rPr>
              <w:t>对应区委政法委、区住建局、城管局、农业农村局的相关镇级部门按职责分工负责、各社区、股份合作社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36</w:t>
            </w:r>
          </w:p>
        </w:tc>
        <w:tc>
          <w:tcPr>
            <w:tcW w:w="355" w:type="pct"/>
            <w:vMerge w:val="continue"/>
            <w:noWrap w:val="0"/>
            <w:vAlign w:val="center"/>
          </w:tcPr>
          <w:p>
            <w:pPr>
              <w:overflowPunct w:val="0"/>
              <w:spacing w:line="280" w:lineRule="exact"/>
              <w:jc w:val="center"/>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建立垃圾分类激励约束机制，合理运用长效考评结果和第三方考核结果，对住宅小区垃圾分类工作开展等级评定，建立等级动态调整机制。</w:t>
            </w:r>
          </w:p>
        </w:tc>
        <w:tc>
          <w:tcPr>
            <w:tcW w:w="1397" w:type="pct"/>
            <w:noWrap w:val="0"/>
            <w:vAlign w:val="center"/>
          </w:tcPr>
          <w:p>
            <w:pPr>
              <w:overflowPunct w:val="0"/>
              <w:spacing w:line="260" w:lineRule="exact"/>
              <w:rPr>
                <w:rFonts w:hint="eastAsia" w:ascii="仿宋_GB2312" w:hAnsi="宋体" w:eastAsia="仿宋_GB2312"/>
                <w:kern w:val="0"/>
                <w:szCs w:val="21"/>
              </w:rPr>
            </w:pPr>
            <w:r>
              <w:rPr>
                <w:rFonts w:hint="eastAsia" w:ascii="仿宋_GB2312" w:hAnsi="宋体" w:eastAsia="仿宋_GB2312"/>
                <w:kern w:val="0"/>
                <w:szCs w:val="21"/>
              </w:rPr>
              <w:t>对应区城管局、住建局的相关镇级部门、各社区、股份合作社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37</w:t>
            </w:r>
          </w:p>
        </w:tc>
        <w:tc>
          <w:tcPr>
            <w:tcW w:w="355" w:type="pct"/>
            <w:vMerge w:val="restar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落实激励约束</w:t>
            </w:r>
          </w:p>
        </w:tc>
        <w:tc>
          <w:tcPr>
            <w:tcW w:w="2647" w:type="pct"/>
            <w:noWrap w:val="0"/>
            <w:vAlign w:val="center"/>
          </w:tcPr>
          <w:p>
            <w:pPr>
              <w:pStyle w:val="2"/>
              <w:overflowPunct w:val="0"/>
              <w:spacing w:line="280" w:lineRule="exact"/>
              <w:ind w:left="0" w:leftChars="0" w:firstLine="0" w:firstLineChars="0"/>
              <w:jc w:val="left"/>
              <w:rPr>
                <w:rFonts w:hint="eastAsia" w:ascii="仿宋_GB2312" w:hAnsi="宋体" w:eastAsia="仿宋_GB2312"/>
                <w:kern w:val="0"/>
                <w:szCs w:val="21"/>
              </w:rPr>
            </w:pPr>
            <w:r>
              <w:rPr>
                <w:rFonts w:hint="eastAsia" w:ascii="仿宋_GB2312" w:hAnsi="宋体" w:eastAsia="仿宋_GB2312"/>
                <w:szCs w:val="21"/>
              </w:rPr>
              <w:t>落实垃圾分类达标小区 “红黑榜”管理制度，发挥“红榜”典型示范作用，实行“黑榜”逐一销号制度，开展年度评优评先工作。</w:t>
            </w:r>
          </w:p>
        </w:tc>
        <w:tc>
          <w:tcPr>
            <w:tcW w:w="1397" w:type="pct"/>
            <w:noWrap w:val="0"/>
            <w:vAlign w:val="center"/>
          </w:tcPr>
          <w:p>
            <w:pPr>
              <w:overflowPunct w:val="0"/>
              <w:spacing w:line="260" w:lineRule="exact"/>
              <w:rPr>
                <w:rFonts w:hint="eastAsia" w:ascii="仿宋_GB2312" w:hAnsi="宋体" w:eastAsia="仿宋_GB2312"/>
                <w:kern w:val="0"/>
                <w:szCs w:val="21"/>
              </w:rPr>
            </w:pPr>
            <w:r>
              <w:rPr>
                <w:rFonts w:hint="eastAsia" w:ascii="仿宋_GB2312" w:hAnsi="宋体" w:eastAsia="仿宋_GB2312"/>
                <w:kern w:val="0"/>
                <w:szCs w:val="21"/>
              </w:rPr>
              <w:t>对应区城管局、住建局、各社区、股份合作社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38</w:t>
            </w:r>
          </w:p>
        </w:tc>
        <w:tc>
          <w:tcPr>
            <w:tcW w:w="355" w:type="pct"/>
            <w:vMerge w:val="continue"/>
            <w:noWrap w:val="0"/>
            <w:vAlign w:val="center"/>
          </w:tcPr>
          <w:p>
            <w:pPr>
              <w:overflowPunct w:val="0"/>
              <w:spacing w:line="280" w:lineRule="exact"/>
              <w:jc w:val="center"/>
              <w:rPr>
                <w:rFonts w:hint="eastAsia" w:ascii="仿宋_GB2312" w:hAnsi="宋体" w:eastAsia="仿宋_GB2312"/>
                <w:kern w:val="0"/>
                <w:szCs w:val="21"/>
              </w:rPr>
            </w:pPr>
          </w:p>
        </w:tc>
        <w:tc>
          <w:tcPr>
            <w:tcW w:w="2647" w:type="pct"/>
            <w:noWrap w:val="0"/>
            <w:vAlign w:val="center"/>
          </w:tcPr>
          <w:p>
            <w:pPr>
              <w:overflowPunct w:val="0"/>
              <w:spacing w:line="280" w:lineRule="exact"/>
              <w:jc w:val="left"/>
              <w:rPr>
                <w:rFonts w:hint="eastAsia" w:ascii="仿宋_GB2312" w:hAnsi="宋体" w:eastAsia="仿宋_GB2312"/>
                <w:szCs w:val="21"/>
              </w:rPr>
            </w:pPr>
            <w:r>
              <w:rPr>
                <w:rFonts w:hint="eastAsia" w:ascii="仿宋_GB2312" w:hAnsi="宋体" w:eastAsia="仿宋_GB2312"/>
                <w:kern w:val="0"/>
                <w:szCs w:val="21"/>
              </w:rPr>
              <w:t>按照政府事权划分，区、镇两级结合实际统筹安排预算，保障生活垃圾分类投放、收集、运输、处置体系的建设、运营和监管。垃圾分类经费要侧重支持垃圾分类投放点建设、终端处理设施建设以及分类宣传督导等方面。</w:t>
            </w:r>
          </w:p>
        </w:tc>
        <w:tc>
          <w:tcPr>
            <w:tcW w:w="1397" w:type="pct"/>
            <w:noWrap w:val="0"/>
            <w:vAlign w:val="center"/>
          </w:tcPr>
          <w:p>
            <w:pPr>
              <w:overflowPunct w:val="0"/>
              <w:spacing w:line="260" w:lineRule="exact"/>
              <w:rPr>
                <w:rFonts w:hint="eastAsia" w:ascii="仿宋_GB2312" w:hAnsi="宋体" w:eastAsia="仿宋_GB2312"/>
                <w:kern w:val="0"/>
                <w:szCs w:val="21"/>
              </w:rPr>
            </w:pPr>
            <w:r>
              <w:rPr>
                <w:rFonts w:hint="eastAsia" w:ascii="仿宋_GB2312" w:hAnsi="宋体" w:eastAsia="仿宋_GB2312"/>
                <w:kern w:val="0"/>
                <w:szCs w:val="21"/>
              </w:rPr>
              <w:t>对应区财政局的相关镇级部门、各社区、股份合作社</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39</w:t>
            </w:r>
          </w:p>
        </w:tc>
        <w:tc>
          <w:tcPr>
            <w:tcW w:w="355"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加大资金保障</w:t>
            </w:r>
          </w:p>
        </w:tc>
        <w:tc>
          <w:tcPr>
            <w:tcW w:w="2647" w:type="pct"/>
            <w:noWrap w:val="0"/>
            <w:vAlign w:val="center"/>
          </w:tcPr>
          <w:p>
            <w:pPr>
              <w:overflowPunct w:val="0"/>
              <w:spacing w:line="280" w:lineRule="exact"/>
              <w:jc w:val="left"/>
              <w:rPr>
                <w:rFonts w:hint="eastAsia" w:ascii="仿宋_GB2312" w:hAnsi="宋体" w:eastAsia="仿宋_GB2312"/>
                <w:kern w:val="0"/>
                <w:szCs w:val="21"/>
              </w:rPr>
            </w:pPr>
            <w:r>
              <w:rPr>
                <w:rFonts w:hint="eastAsia" w:ascii="仿宋_GB2312" w:hAnsi="宋体" w:eastAsia="仿宋_GB2312"/>
                <w:kern w:val="0"/>
                <w:szCs w:val="21"/>
              </w:rPr>
              <w:t>镇综合行政执法局组织湖塘镇及区相关部门贯彻落实垃圾分类工作联络员制度，建立月度台账报送制度，各部门严格落实住建部《城市生活垃圾分类工作评估细则》要求，每月及时报送相关工作台账，以便镇综合行政执法局及时汇总上报市垃分办，并上传至住建部垃圾分类评估填报系统。</w:t>
            </w:r>
          </w:p>
        </w:tc>
        <w:tc>
          <w:tcPr>
            <w:tcW w:w="1397" w:type="pct"/>
            <w:noWrap w:val="0"/>
            <w:vAlign w:val="center"/>
          </w:tcPr>
          <w:p>
            <w:pPr>
              <w:overflowPunct w:val="0"/>
              <w:spacing w:line="260" w:lineRule="exact"/>
              <w:rPr>
                <w:rFonts w:hint="eastAsia" w:ascii="仿宋_GB2312" w:hAnsi="宋体" w:eastAsia="仿宋_GB2312"/>
                <w:kern w:val="0"/>
                <w:szCs w:val="21"/>
              </w:rPr>
            </w:pPr>
            <w:r>
              <w:rPr>
                <w:rFonts w:hint="eastAsia" w:ascii="仿宋_GB2312" w:hAnsi="宋体" w:eastAsia="仿宋_GB2312"/>
                <w:kern w:val="0"/>
                <w:szCs w:val="21"/>
              </w:rPr>
              <w:t>对应区委组织部、区委宣传部（文明办）、区发改局、教育局、民政局、住建局、城管局、商务局、文体广电和旅游局、市场监管局、生态办、邮政局、总工会、团区委、妇联的相关镇级部门等按职责分工负责</w:t>
            </w: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每月末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7" w:hRule="atLeast"/>
        </w:trPr>
        <w:tc>
          <w:tcPr>
            <w:tcW w:w="189"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40</w:t>
            </w:r>
          </w:p>
        </w:tc>
        <w:tc>
          <w:tcPr>
            <w:tcW w:w="355"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健全工作机制</w:t>
            </w:r>
          </w:p>
        </w:tc>
        <w:tc>
          <w:tcPr>
            <w:tcW w:w="2647" w:type="pct"/>
            <w:noWrap w:val="0"/>
            <w:vAlign w:val="center"/>
          </w:tcPr>
          <w:p>
            <w:pPr>
              <w:overflowPunct w:val="0"/>
              <w:spacing w:line="260" w:lineRule="exact"/>
              <w:jc w:val="left"/>
              <w:rPr>
                <w:rFonts w:hint="eastAsia" w:ascii="仿宋_GB2312" w:hAnsi="宋体" w:eastAsia="仿宋_GB2312"/>
                <w:kern w:val="0"/>
                <w:szCs w:val="21"/>
              </w:rPr>
            </w:pPr>
            <w:r>
              <w:rPr>
                <w:rFonts w:hint="eastAsia" w:ascii="仿宋_GB2312" w:hAnsi="宋体" w:eastAsia="仿宋_GB2312"/>
                <w:kern w:val="0"/>
                <w:szCs w:val="21"/>
              </w:rPr>
              <w:t>建立季度总结制度，各部门对照年度目标任务分解表按季度报送工作进展。</w:t>
            </w:r>
          </w:p>
        </w:tc>
        <w:tc>
          <w:tcPr>
            <w:tcW w:w="1397" w:type="pct"/>
            <w:noWrap w:val="0"/>
            <w:vAlign w:val="center"/>
          </w:tcPr>
          <w:p>
            <w:pPr>
              <w:overflowPunct w:val="0"/>
              <w:spacing w:line="260" w:lineRule="exact"/>
              <w:jc w:val="center"/>
              <w:rPr>
                <w:rFonts w:hint="eastAsia" w:ascii="仿宋_GB2312" w:hAnsi="宋体" w:eastAsia="仿宋_GB2312"/>
                <w:kern w:val="0"/>
                <w:szCs w:val="21"/>
              </w:rPr>
            </w:pPr>
          </w:p>
        </w:tc>
        <w:tc>
          <w:tcPr>
            <w:tcW w:w="412" w:type="pct"/>
            <w:noWrap w:val="0"/>
            <w:vAlign w:val="center"/>
          </w:tcPr>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全年，</w:t>
            </w:r>
          </w:p>
          <w:p>
            <w:pPr>
              <w:overflowPunct w:val="0"/>
              <w:spacing w:line="280" w:lineRule="exact"/>
              <w:jc w:val="center"/>
              <w:rPr>
                <w:rFonts w:hint="eastAsia" w:ascii="仿宋_GB2312" w:hAnsi="宋体" w:eastAsia="仿宋_GB2312"/>
                <w:kern w:val="0"/>
                <w:szCs w:val="21"/>
              </w:rPr>
            </w:pPr>
            <w:r>
              <w:rPr>
                <w:rFonts w:hint="eastAsia" w:ascii="仿宋_GB2312" w:hAnsi="宋体" w:eastAsia="仿宋_GB2312"/>
                <w:kern w:val="0"/>
                <w:szCs w:val="21"/>
              </w:rPr>
              <w:t>每季度末</w:t>
            </w:r>
          </w:p>
        </w:tc>
      </w:tr>
    </w:tbl>
    <w:p>
      <w:pPr>
        <w:overflowPunct w:val="0"/>
        <w:spacing w:line="320" w:lineRule="exact"/>
        <w:ind w:left="1080" w:hanging="1080" w:hangingChars="450"/>
        <w:jc w:val="left"/>
        <w:rPr>
          <w:rFonts w:hint="eastAsia" w:ascii="楷体_GB2312" w:eastAsia="楷体_GB2312"/>
          <w:kern w:val="0"/>
          <w:sz w:val="24"/>
        </w:rPr>
      </w:pPr>
      <w:r>
        <w:rPr>
          <w:rFonts w:hint="eastAsia" w:ascii="楷体_GB2312" w:eastAsia="楷体_GB2312"/>
          <w:kern w:val="0"/>
          <w:sz w:val="24"/>
        </w:rPr>
        <w:t>备注：1. 垃圾分类达标小区按照《江苏省垃圾分类小区评价标准（修订版）》（苏建函城管〔2021〕484号）、《常州市住宅小区生活垃圾分类设施配置标准》（常城管〔2021〕67号）执行，且评分≥95分。</w:t>
      </w:r>
    </w:p>
    <w:p>
      <w:pPr>
        <w:pStyle w:val="2"/>
        <w:overflowPunct w:val="0"/>
        <w:ind w:left="0" w:leftChars="0" w:firstLine="720" w:firstLineChars="300"/>
        <w:rPr>
          <w:rFonts w:hint="eastAsia" w:ascii="楷体_GB2312" w:eastAsia="楷体_GB2312"/>
          <w:sz w:val="24"/>
        </w:rPr>
      </w:pPr>
      <w:r>
        <w:rPr>
          <w:rFonts w:hint="eastAsia" w:ascii="楷体_GB2312" w:eastAsia="楷体_GB2312"/>
          <w:kern w:val="0"/>
          <w:sz w:val="24"/>
        </w:rPr>
        <w:t>2. 垃圾分类示范村创建按照《常州市农村生活垃圾分类示范村评估标准（试行）》（常垃分办〔2022〕8号）执行。</w:t>
      </w:r>
    </w:p>
    <w:p>
      <w:pPr>
        <w:overflowPunct w:val="0"/>
        <w:spacing w:line="400" w:lineRule="exact"/>
        <w:rPr>
          <w:rFonts w:eastAsia="黑体"/>
          <w:snapToGrid w:val="0"/>
          <w:kern w:val="0"/>
          <w:sz w:val="32"/>
          <w:szCs w:val="32"/>
        </w:rPr>
        <w:sectPr>
          <w:headerReference r:id="rId3" w:type="default"/>
          <w:footerReference r:id="rId5" w:type="default"/>
          <w:headerReference r:id="rId4" w:type="even"/>
          <w:footerReference r:id="rId6" w:type="even"/>
          <w:pgSz w:w="16838" w:h="11905" w:orient="landscape"/>
          <w:pgMar w:top="1134" w:right="1134" w:bottom="1134" w:left="1134" w:header="851" w:footer="1361" w:gutter="0"/>
          <w:pgNumType w:fmt="numberInDash"/>
          <w:cols w:space="720" w:num="1"/>
          <w:docGrid w:type="lines" w:linePitch="327"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23 -</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22 -</w:t>
    </w:r>
    <w:r>
      <w:rPr>
        <w:rFonts w:ascii="宋体" w:hAnsi="宋体"/>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DE3ZWY0NDJlMzVlZTNmNThmMWU2MTg3Njc1NjYifQ=="/>
  </w:docVars>
  <w:rsids>
    <w:rsidRoot w:val="7EE245BC"/>
    <w:rsid w:val="02043D0B"/>
    <w:rsid w:val="033A63C8"/>
    <w:rsid w:val="03D34026"/>
    <w:rsid w:val="059C797B"/>
    <w:rsid w:val="09610A38"/>
    <w:rsid w:val="0AAC03E8"/>
    <w:rsid w:val="0BF82E93"/>
    <w:rsid w:val="0CBA3508"/>
    <w:rsid w:val="0DD43183"/>
    <w:rsid w:val="0EF0514B"/>
    <w:rsid w:val="0F384B0F"/>
    <w:rsid w:val="0F502A28"/>
    <w:rsid w:val="10570EF9"/>
    <w:rsid w:val="127F5447"/>
    <w:rsid w:val="12C87122"/>
    <w:rsid w:val="135C61F9"/>
    <w:rsid w:val="13D15680"/>
    <w:rsid w:val="15E96C0C"/>
    <w:rsid w:val="167A1613"/>
    <w:rsid w:val="1D0876B5"/>
    <w:rsid w:val="20C34BB8"/>
    <w:rsid w:val="220B1BC2"/>
    <w:rsid w:val="225E098D"/>
    <w:rsid w:val="24277AFF"/>
    <w:rsid w:val="25D23219"/>
    <w:rsid w:val="26A655F4"/>
    <w:rsid w:val="26F1199F"/>
    <w:rsid w:val="27170ACC"/>
    <w:rsid w:val="28291CBC"/>
    <w:rsid w:val="2AE96EA8"/>
    <w:rsid w:val="2B0823CB"/>
    <w:rsid w:val="2C2F0FF2"/>
    <w:rsid w:val="2FCF0C69"/>
    <w:rsid w:val="312A1BA8"/>
    <w:rsid w:val="33B3216B"/>
    <w:rsid w:val="3408161E"/>
    <w:rsid w:val="35D27C4B"/>
    <w:rsid w:val="364B0521"/>
    <w:rsid w:val="38E956EF"/>
    <w:rsid w:val="39B527DE"/>
    <w:rsid w:val="3E6B3412"/>
    <w:rsid w:val="415353D3"/>
    <w:rsid w:val="42424D8B"/>
    <w:rsid w:val="42D9578F"/>
    <w:rsid w:val="46494FE1"/>
    <w:rsid w:val="480F7CF1"/>
    <w:rsid w:val="48EE7D3B"/>
    <w:rsid w:val="4B696EA8"/>
    <w:rsid w:val="4B9366F7"/>
    <w:rsid w:val="4B944C86"/>
    <w:rsid w:val="4D0E7126"/>
    <w:rsid w:val="4F4E7BCE"/>
    <w:rsid w:val="4F506DD9"/>
    <w:rsid w:val="50246EC8"/>
    <w:rsid w:val="532939E9"/>
    <w:rsid w:val="542672B5"/>
    <w:rsid w:val="55A7675C"/>
    <w:rsid w:val="56574BE4"/>
    <w:rsid w:val="56D366A7"/>
    <w:rsid w:val="56E76CCD"/>
    <w:rsid w:val="57231CD7"/>
    <w:rsid w:val="57A43F30"/>
    <w:rsid w:val="5ABF3065"/>
    <w:rsid w:val="5B662F31"/>
    <w:rsid w:val="62C366A0"/>
    <w:rsid w:val="636730E6"/>
    <w:rsid w:val="65D37701"/>
    <w:rsid w:val="66541989"/>
    <w:rsid w:val="669C5E64"/>
    <w:rsid w:val="68F920FD"/>
    <w:rsid w:val="6BFC5AB9"/>
    <w:rsid w:val="72816F46"/>
    <w:rsid w:val="72AE7282"/>
    <w:rsid w:val="793A041E"/>
    <w:rsid w:val="79AA2E45"/>
    <w:rsid w:val="7BAD6F9E"/>
    <w:rsid w:val="7E3F1C43"/>
    <w:rsid w:val="7ED06F95"/>
    <w:rsid w:val="7EE245BC"/>
    <w:rsid w:val="7F37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adjustRightInd w:val="0"/>
      <w:snapToGrid w:val="0"/>
      <w:spacing w:before="0" w:beforeAutospacing="0" w:after="0" w:afterAutospacing="0" w:line="700" w:lineRule="exact"/>
      <w:ind w:firstLine="0" w:firstLineChars="0"/>
      <w:jc w:val="center"/>
      <w:outlineLvl w:val="0"/>
    </w:pPr>
    <w:rPr>
      <w:rFonts w:ascii="Times New Roman" w:hAnsi="Times New Roman" w:eastAsia="方正小标宋简体" w:cs="宋体"/>
      <w:bCs/>
      <w:kern w:val="44"/>
      <w:sz w:val="44"/>
      <w:szCs w:val="48"/>
      <w:lang w:bidi="ar"/>
    </w:rPr>
  </w:style>
  <w:style w:type="paragraph" w:styleId="4">
    <w:name w:val="heading 2"/>
    <w:basedOn w:val="1"/>
    <w:next w:val="1"/>
    <w:link w:val="16"/>
    <w:semiHidden/>
    <w:unhideWhenUsed/>
    <w:qFormat/>
    <w:uiPriority w:val="0"/>
    <w:pPr>
      <w:keepNext/>
      <w:keepLines/>
      <w:adjustRightInd w:val="0"/>
      <w:snapToGrid w:val="0"/>
      <w:spacing w:beforeLines="0" w:beforeAutospacing="0" w:afterLines="0" w:afterAutospacing="0" w:line="560" w:lineRule="exact"/>
      <w:ind w:firstLine="1120" w:firstLineChars="200"/>
      <w:jc w:val="both"/>
      <w:outlineLvl w:val="1"/>
    </w:pPr>
    <w:rPr>
      <w:rFonts w:eastAsia="黑体"/>
    </w:rPr>
  </w:style>
  <w:style w:type="paragraph" w:styleId="5">
    <w:name w:val="heading 3"/>
    <w:basedOn w:val="1"/>
    <w:next w:val="1"/>
    <w:link w:val="17"/>
    <w:semiHidden/>
    <w:unhideWhenUsed/>
    <w:qFormat/>
    <w:uiPriority w:val="0"/>
    <w:pPr>
      <w:adjustRightInd w:val="0"/>
      <w:snapToGrid w:val="0"/>
      <w:spacing w:before="0" w:beforeAutospacing="0" w:after="0" w:afterAutospacing="0" w:line="560" w:lineRule="exact"/>
      <w:ind w:firstLine="880" w:firstLineChars="200"/>
      <w:jc w:val="both"/>
      <w:outlineLvl w:val="2"/>
    </w:pPr>
    <w:rPr>
      <w:rFonts w:eastAsia="楷体_GB2312" w:cs="宋体" w:asciiTheme="minorAscii" w:hAnsiTheme="minorAscii"/>
      <w:b/>
      <w:bCs/>
      <w:kern w:val="0"/>
      <w:sz w:val="32"/>
      <w:szCs w:val="27"/>
      <w:lang w:bidi="ar"/>
    </w:rPr>
  </w:style>
  <w:style w:type="paragraph" w:styleId="6">
    <w:name w:val="heading 4"/>
    <w:basedOn w:val="1"/>
    <w:next w:val="1"/>
    <w:semiHidden/>
    <w:unhideWhenUsed/>
    <w:qFormat/>
    <w:uiPriority w:val="0"/>
    <w:pPr>
      <w:keepNext/>
      <w:keepLines/>
      <w:adjustRightInd w:val="0"/>
      <w:snapToGrid w:val="0"/>
      <w:spacing w:beforeLines="0" w:beforeAutospacing="0" w:afterLines="0" w:afterAutospacing="0" w:line="530" w:lineRule="exact"/>
      <w:ind w:firstLine="880" w:firstLineChars="200"/>
      <w:outlineLvl w:val="3"/>
    </w:pPr>
    <w:rPr>
      <w:rFonts w:ascii="Arial" w:hAnsi="Arial" w:eastAsia="仿宋_GB2312" w:cstheme="minorBidi"/>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7">
    <w:name w:val="annotation text"/>
    <w:basedOn w:val="1"/>
    <w:qFormat/>
    <w:uiPriority w:val="0"/>
    <w:pPr>
      <w:jc w:val="left"/>
    </w:pPr>
    <w:rPr>
      <w:rFonts w:ascii="Times New Roman" w:hAnsi="Times New Roman" w:eastAsia="宋体"/>
    </w:rPr>
  </w:style>
  <w:style w:type="paragraph" w:styleId="8">
    <w:name w:val="Body Text"/>
    <w:basedOn w:val="1"/>
    <w:qFormat/>
    <w:uiPriority w:val="0"/>
    <w:pPr>
      <w:spacing w:after="120" w:afterLines="0" w:afterAutospacing="0"/>
    </w:pPr>
  </w:style>
  <w:style w:type="paragraph" w:styleId="9">
    <w:name w:val="Body Text Indent"/>
    <w:basedOn w:val="1"/>
    <w:qFormat/>
    <w:uiPriority w:val="0"/>
    <w:pPr>
      <w:spacing w:after="120" w:afterLines="0" w:afterAutospacing="0"/>
      <w:ind w:left="420" w:leftChars="200"/>
    </w:pPr>
  </w:style>
  <w:style w:type="paragraph" w:styleId="10">
    <w:name w:val="footer"/>
    <w:basedOn w:val="1"/>
    <w:unhideWhenUsed/>
    <w:uiPriority w:val="99"/>
    <w:pPr>
      <w:tabs>
        <w:tab w:val="center" w:pos="4153"/>
        <w:tab w:val="right" w:pos="8306"/>
      </w:tabs>
      <w:snapToGrid w:val="0"/>
      <w:jc w:val="left"/>
    </w:pPr>
    <w:rPr>
      <w:kern w:val="0"/>
      <w:sz w:val="18"/>
      <w:szCs w:val="18"/>
    </w:rPr>
  </w:style>
  <w:style w:type="paragraph" w:styleId="11">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0"/>
  </w:style>
  <w:style w:type="paragraph" w:styleId="13">
    <w:name w:val="Body Text First Indent 2"/>
    <w:basedOn w:val="9"/>
    <w:qFormat/>
    <w:uiPriority w:val="0"/>
    <w:pPr>
      <w:ind w:firstLine="420" w:firstLineChars="200"/>
    </w:pPr>
  </w:style>
  <w:style w:type="character" w:customStyle="1" w:styleId="16">
    <w:name w:val="标题 2 Char"/>
    <w:link w:val="4"/>
    <w:qFormat/>
    <w:uiPriority w:val="0"/>
    <w:rPr>
      <w:rFonts w:ascii="Times New Roman" w:hAnsi="Times New Roman" w:eastAsia="黑体"/>
      <w:sz w:val="32"/>
      <w:szCs w:val="22"/>
    </w:rPr>
  </w:style>
  <w:style w:type="character" w:customStyle="1" w:styleId="17">
    <w:name w:val="标题 3 Char"/>
    <w:link w:val="5"/>
    <w:qFormat/>
    <w:uiPriority w:val="0"/>
    <w:rPr>
      <w:rFonts w:hint="default" w:ascii="Times New Roman" w:hAnsi="Times New Roman" w:eastAsia="楷体_GB2312" w:cs="宋体"/>
      <w:b/>
      <w:bCs/>
      <w:kern w:val="0"/>
      <w:sz w:val="32"/>
      <w:szCs w:val="27"/>
      <w:lang w:val="en-US" w:eastAsia="zh-CN" w:bidi="ar"/>
    </w:rPr>
  </w:style>
  <w:style w:type="character" w:customStyle="1" w:styleId="18">
    <w:name w:val="标题 1 Char"/>
    <w:link w:val="3"/>
    <w:qFormat/>
    <w:uiPriority w:val="0"/>
    <w:rPr>
      <w:rFonts w:hint="eastAsia" w:ascii="Times New Roman" w:hAnsi="Times New Roman" w:eastAsia="方正小标宋简体" w:cs="Times New Roman"/>
      <w:bCs/>
      <w:kern w:val="44"/>
      <w:sz w:val="44"/>
      <w:szCs w:val="48"/>
      <w:lang w:bidi="ar"/>
    </w:rPr>
  </w:style>
  <w:style w:type="paragraph" w:customStyle="1" w:styleId="19">
    <w:name w:val="样式1"/>
    <w:qFormat/>
    <w:uiPriority w:val="99"/>
    <w:pPr>
      <w:spacing w:line="530" w:lineRule="exact"/>
      <w:ind w:firstLine="200" w:firstLineChars="200"/>
    </w:pPr>
    <w:rPr>
      <w:rFonts w:ascii="Times New Roman" w:hAnsi="Times New Roman" w:eastAsia="仿宋_GB2312" w:cs="Times New Roman"/>
      <w:kern w:val="2"/>
      <w:sz w:val="32"/>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494</Words>
  <Characters>532</Characters>
  <Lines>0</Lines>
  <Paragraphs>0</Paragraphs>
  <TotalTime>0</TotalTime>
  <ScaleCrop>false</ScaleCrop>
  <LinksUpToDate>false</LinksUpToDate>
  <CharactersWithSpaces>535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2023-06-21T01:54:00Z</dcterms:created>
  <dc:creator>微信用户</dc:creator>
  <cp:lastModifiedBy>微信用户</cp:lastModifiedBy>
  <dcterms:modified xsi:type="dcterms:W3CDTF">2023-06-21T01:55:53Z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01D25E33FB3941719D428A85896B44AD_13</vt:lpwstr>
  </property>
</Properties>
</file>