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常州市武进区工业和信息化局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武进区工业和信息化局负责贯彻落实中央关于工业和信息化工作的方针政策和省委、市委、区委的决策部署，在履行职责过程中坚持和加强党对工业和信息化工作的集中统一领导。主要职责是：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（一）贯彻执行党和国家有关工业和信息化工作的方针政策、法律法规以及省、市、区决策部署，统筹协调全区工业和信息化工作，对工业和信息化发展的重大问题进行研究分析并提出意见和建议。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推进全区工业和信息化高质量发展。根据全区经济社会发展总体规划，制定实施工业和信息化高质量发展的产业政策、发展规划，提出优化产业布局、调整产业结构、推动产业转型升级的政策建议，推进信息化与工业化深度融合。按分工承担供给侧结构性改革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推进制造强区建设。贯彻实施新型工业化发展战略，统筹推进制造强区建设，培育先进制造业集群。推动全区工业和信息化领域的战略性新兴产业发展，牵头推进重大项目建设，培育新产业、新技术、新业态、新模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全区工业和信息化运行监测协调。制订并实施近期工业、信息化运行调控目标、政策措施，开展企业信息采集、行业分析和产业发展报告等工作，进行监测预警、预期引导，协调解决运行发展中的重大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全区工业和信息化领域的投资和技术改造相关工作。提出全区工业和信息化领域固定资产投资方向和规模，按规定权限管理工业和信息化领域固定资产投资项目。制订并实施推进企业技术改造的有关政策，按规定配合做好企业技术改造项目的核准备案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全区自主可控的先进制造业体系建设。推动提升关键技术的控制力、产业集群的带动力、产业链条的整合力、信息化的引领力和标准的主导力。推动工业和信息化领域技术创新，推进产业创新体系和能力建设。组织实施重大技术装备攻关。推广应用新技术、新材料、新工艺，促进产学研用结合和技术成果转化。协同推进工业和信息化领域品牌、质量、标准、知识产权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进全区有关生产性服务业发展。制订并实施服务型制造、工业和信息化领域生产性服务业发展政策，推动先进制造业和现代服务业深度融合。推动工业设计、现代物流、会展业等发展，负责工业遗产保护、工业文化建设和工业、信息产品市场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全区工业和信息化领域的行业发展管理。研究提出推动行业发展、加强行业管理的政策建议，制订并实施行业发展规划、准入标准，协调解决行业发展中重大问题。指导民爆、船舶行业安全生产工作。负责工业和信息化应急管理、产业安全和国防动员有关工作。指导工业和信息化领域的对外交流与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统筹推进全区信息化发展。协调推进经济社会信息化发展，深化信息技术应用。协调重大信息基础设施建设，协调信息服务业领域涉及公共社会利益的重大事项，推动跨行业、跨部门的互连互通。配合做好全区无线电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（十）负责推进工业化和信息化融合发展。指导推进“互联网+先进制造业”、人工智能与制造业融合创新应用、智能制造发展和产业数字化转型。指导推进工业信息安全保障工作。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综合协调全社会节能工作。制订并实施全社会工业节能规划与工业和信息化领域循环经济发展、清洁生产、资源综合利用规划及促进政策，实施能耗强度管理，承担节能监督管理工作。组织协调节能改造和绿色制造示范工程，指导节能环保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培育发展全区大企业大集团和龙头骨干企业。制订并实施培育发展大企业大集团、龙头骨干企业的政策措施。推动企业管理创新和建立现代企业制度，推动企业家队伍建设和产业人才开发，组织指导企业经营管理人才教育培训。协调企业重大资产重组项目。牵头推进企业减负降本。</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全区中小企业和民营经济发展的宏观指导和服务。会同有关部门制订并组织实施促进中小企业和民营经济发展政策，协调解决发展中的有关重大问题。负责中小企业公共服务平台和社会化服务体系建设。开展中小企业梯次培育，推进中小企业专精特新发展，培育制造业单项冠军和“隐形冠军”企业，促进中小企业与大企业融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协助省、市国防科技工业办公室做好有关国防科技工业、军品科研生产、武器装备科研生产许可、保密认证以及军工统计等相关工作，负责军工系统安全生产标准化达标建设推进工作和全区国防科技工业保密监督管理工作。负责全区船舶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职能转变。深化供给侧结构性改革，推动信息化和工业化、先进制造业和现代服务业深度融合发展，打造自主可控的先进制造业体系，建设制造强区、网络强区。提升工业和信息化运行监测、预测预警和预期引导能力，推动工业和信息化高质量发展。优化产行业管理，逐步减少微观管理事务，最大程度减少对工业和信息化领域市场资源的直接配置，进一步激发市场活力，创造良好营商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财务科）、组织人事科、运行监测协调科（区减轻企业负担工作办公室）、产业政策与产业投资科、行业发展服务科、中小企业科（民营经济促进科）、信息化发展科、安全生产监督管理科、节能与综合利用科以及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常州市武进区工业和信息化局（本级）。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是全面贯彻落实党的二十大精神的开局之年,也是实施“十四五”规划承上启下的关键一年，区工信局将坚持稳中求进工作总基调，完整、准确、全面贯彻新发展理念，坚持改革创新，统筹发展和安全，坚持不懈走绿色发展之路，向着产业高端强链补链，聚力智能升级推进企业深耕转型，推进产业质态不断提升，奋力建设国际化智造名城、打造长三角产业中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抓好“项目建设”，发展后劲不断夯实。一是运行监测“再加强”。紧盯主要年度工业目标，针对复杂多变的国内国际宏观经济环境，加强运行监测，做好工业经济运行和各项目标完成的跟踪、督查、预测和预警工作。围绕全区工业经济新增长点，跟踪服务一批结构优、附加值高、效益好的重点、新增长点企业，保障全区工业经济平稳健康运行。二是有效投资“再扩大”。做好工业投资分析研判，帮助企业把握企业政策导向，协调要素保障，发挥投资对优化供给结构的关键性作用，确保投资稳定增长，力争2023年度全区工业投资增长8.0%以上，重点亿元技改项目完成6个以上，推进150个以上区重点项目建设。三是项目推进“再加力”。通过问题收集、导向计划、项目推进、政策扶持等方式，加大对区重点工业项目推进力度，力保省、市、区重点项目全年投资目标达到预定计划。启动2023年区重点工业项目摸排，争取2023年实施200个以上投资超5000万元的工业项目，总投资和当年投资分别超过800亿元和200亿元，新建项目开工率力争达80%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抓好“创新驱动”，内生动力不断增强。一是制造业创新中心建设“快马加鞭”。推动国家级制造业创新中心创建步伐，加快完善运营机制、制定发展规划、整合高端资源、研发共性关键技术、加快知识产权和标准布局，引领行业发展，“新能源汽车能源与信息创新中心”在目前省级试点基础上冲刺国家制造业创新中心。围绕“95X”产业体系，组织我区轨道交通、工业互联网、机器人等行业企业来了解创新中心，力争再牵头建设1家创新中心、参与建设2家创新中心。力争2023年我区获得3个以上核心关键技术攻关省级项目。二是企业技术中心培育“再接再厉”。争取国家级企业技术中心创建工作取得新突破，力争启动培育1家国家级企业技术中心。稳步推进省级、市级企业技术中心培育，提前制定好培育计划，开展申报培训辅导，及时关注省市申报通知，全面组织好申报工作。督促企业软实力提升和硬件建设，指导企业迎接现场考核与答辩，2023年争取新认定省级企业技术中心6家、市级企业技术中心20家以上。做好两年一度的省级、市级企业技术中心评价工作。三是新技术新产品应用“力争上游”。引导鼓励企业积极研发新产品，组织好新技术新产品鉴定。做好省重点推广应用的新技术新产品上目录的宣传和申报工作，提高该项工作在企业中的影响力，切实引导企业开发、使用新技术新产品，促进技术进步，实现产业升级。加力推进高端装备制造业发展，鼓励企业开展首台（套）重大装备、关键核心装备研发制造，重点加大首台（套）智能化成套设备和关键部件的应用推广。四是生产服务两业融合“全面深化”。加快先进制造业和现代服务业深度融合，大力推广工业设计、服务型制造等新型制造模式和产业形态，有效助力我区广大企业创新增效。2023年争取新增认定省级以上工业设计中心和服务型制造示范企业（平台）6家以上，国家级服务型制造示范企业（平台）实现零突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抓好“智改数转”，转型升级不断加快。一是全力推进入企诊断。全力支持各镇、开发区和诊断服务商推进入企诊断工作，面向各板块开展诊断讲解、政策答疑、方案宣讲等一系列活动，以更大力度营造“智改数转”全覆盖的工作氛围。对诊断结论严格把控，鼓励服务商通过回访和后续服务，详细讲解诊断结论应用方向，在输出诊断能力的同时，输出“智改数转”理念，同步推进思维和行为改造。二是完善培育企业名单。围绕市政府最新的“十链突破”“百企领航”“千景应用”三大工程，形成武进企业培育库，构建高效稳定、安全可控、富有韧性的产业链、供应链，围绕“专精特新”、上市（后备）等重点领域企业，结合武进机器人十条，全面推广“机器人+”各类场景改造，助力传统产业和中小微企业体验式、步进式“智改数转”升级。三是全面加强案例推广。依托常州市建设的“智改数转”案例库数字化平台，将全区智能工厂、智能车间、工业互联网标杆工厂、工业互联网示范平台等建设的成功案例按行业领域、企业类型、应用阶段、工段工序等进行整理和推介。一方面，以图表化的方式展现案例的改造路径、基本设备（软件）、效益分析等信息，赋能同行企业“智改数转”，另一方面，通过宏量“易查易懂易推广”案例，体现武进“智改数转”发展水平。2023年争取市级智能车间10家以上、省级智能车间8家以上。四是全力推进标杆创建。在2022年市标“十大先进制造业集群壮大工程”“智改数转”重点项目库基础上，健全全区“智改数转”项目库，将“智改数转”诊断、案例与标杆项目创建进行有机结合，创建20个“智改数转”标杆项目。同时，与世界接轨，与全球制造业领域智能制造和数字化最高水平对标，鼓励恒立液压、万帮股份、理想汽车、汇川新能源等智能制造前列企业创建“灯塔工厂”，进一步擦亮武进智造名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抓好“专精特新”，产业能级不断提升。一是立足常态化。强化日常走访服务意识，有效扩容全区专精特新培育库，争取将培育库企业从800家提升至1000家以上。二是立足精准化。精准开展专精特新诊断提升服务工作，对专注细分领域、成长性好、有自主创新能力和核心竞争力的工业企业进行走访、调研，提前筛选当年度预申报国家和省、市专精特新企业名单，提前介入并指导企业完善申报指标，补齐短板，提高申报认定率。三是立足引领化。以提升产业高质量发展水平和创新力，助推优势特色产业量质并举，能级跃升为目标，鼓励并支持制造业单项冠军、专精特新“小巨人”企业发挥引领带动作用，支持各类企业与“小巨人”企业协同创新、产业链上下游协作配套，支撑产业链补链延链固链、提升产业链供应链稳定性和竞争力。四是立足长效化。出台全区专精特新企业发展扶持奖励政策体系。一方面，完善“专精特新”中小企业服务体系，建立部门协同配合、共同推动的工作机制。另一方面，出台区级层面资金奖补政策，重点出台针对市、区级专精特新类企业的奖补政策，有效激发企业走专精特新发展之路的内生动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抓好“绿色安全”，发展理念不断更新。一是全力淘汰落后产能。持续推进化工、电镀、铸造、印染、钢铁、铁合金、铝熔炼、有色金属冶炼和稀土等重点行业的管理与服务工作，坚决贯彻落实产业政策，配合有关部门开展专项整治，促进行业安全、绿色高质量发展。二是全力抓好安全生产。综合指导工业和信息化领域加强安全生产管理，深入贯彻上级关于安全生产的各项工作部署。指导船舶企业安全风险摸排，进一步完善船舶企业风险报告制度；加强船舶修造行业安全生产监督检查，确保隐患见底、措施到底、治理彻底。三是全力推进园区提升。按照市、区“危污乱散低”专项行动年度工作部署，依托区工业经济高质量发展平台，全面应用工业企业效益综合评价结果，坚持“以亩均论英雄”鲜明政策导向，全力牵头湖塘沟南工业园等9个园区（工业片区）整治提升工作。加强园区整治提升模式创新应用，统筹推进工业园区形态更新、产业创新升级、发展活力再造，全面提升资源利用效率，加快推进优势产业集聚。四是全力推行绿色制造。组织企业开展节能诊断服务，为节能技改挖掘更大空间。加强重点用能单位能源管理负责人备案，持续开展能源管理人员培训、不断提升队伍素质、提升企业节能工作水平。推进万吨以上标煤企业的能耗在线监测系统安装、运行和维护，通过加强管理，倒逼节能技术改造、压降能源消耗。充分利用省、市扶持政策，加强节能与循环经济项目培育，积极帮助企业争取扶持资金。开展项目管控，加强节能审查，坚决遏制高能耗项目盲目发展。打造绿色制造先进典型，引领绿色低碳发展，积极创建国家级绿色园区、国家级绿色供应链、国家级绿色产品，培育国家级、省级、市级绿色工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抓好“贴心服务”，发展生态不断向优。一是提升服务效率。以深入贯彻“六保”工作部署为重点，及时牵头落实上级各类减负惠企政策和出台区级相关配套措施，全力帮助广大企业减负脱困。突出项目申报引领，积极帮助区内企业争取上级政策支持，加强宣传指导，提升工作成效。鼓励优质产品参加各类市场推广活动，不断提升武进制造业品牌。积极协调重点企业、高成长企业纾困解难，促进全区工业经济基本面稳定向好。二是完善服务体系。做强中小企业公共服务平台，提升其多样化、精准化、便捷化服务和需求快速响应能力。鼓励各类机构利用“互联网+”手段为小微企业提供全方位、深层次、专业化的创新创业服务，瞄准企业技术创新、数字化转型、管理咨询等需求优化服务，推进创新创业项目快速落地、高效转化。三是优化发展环境。营造市场化、法治化、国际化营商环境，保障民营企业依法平等使用资源要素、公开公平公正参与竞争。构建完善中小企业融资服务体系，降低民营企业融资成本，加大对重点行业和中小企业帮扶力度，推动政策跑在疫情受困企业前面。清理拖欠民营企业账款清偿进度达到100%，实现民营实体经济降本减负。</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常州市武进区工业和信息化局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常州市武进区工业和信息化局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2,843.03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1,677.97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266.30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47.99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850.77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2,843.03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2,843.03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2,843.03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2,843.03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2,843.03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2,843.03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2,843.03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常州市武进区工业和信息化局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2,843.03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2,843.03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2,843.03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常州市武进区工业和信息化局（本级）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2,843.03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2,843.03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2,843.03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2,843.03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2,325.67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1,677.97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1,677.97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常州市武进区工业和信息化局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2,843.03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1,677.97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266.30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47.99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850.77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2,843.03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2,843.03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2,843.03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2,325.67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2,243.79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81.88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1,677.97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1,677.97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常州市武进区工业和信息化局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2,325.67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2,243.79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1,817.26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2,843.03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2,325.67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2,243.79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1,677.97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1,677.97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1,160.61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2,325.67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2,243.79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1,817.26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24.86</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常州市武进区工业和信息化局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常州市武进区工业和信息化局（本级）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日常公用支出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常州市武进区工业和信息化局（本级）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世界工业和能源互联网博览会武进分论坛经费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博览会服务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常州市武进区工业和信息化局2023年度收入、支出预算总计2,843.03万元，与上年相比收、支预算总计各增加261.69万元，增长10.14%。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（一）收入预算总计2,843.03万元。包括：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1．本年收入合计2,843.03万元。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（1）一般公共预算拨款收入2,843.03万元，与上年相比增加261.69万元，增长10.14%。主要原因是政策性增加基础绩效。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（二）支出预算总计2,843.03万元。包括：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1．本年支出合计2,843.03万元。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（1）一般公共服务支出（类）支出1,677.97万元，主要用于局机关及事业单位开展工作任务而发生的基本支出和项目支出。与上年相比增加377.27万元，增长29.01%。主要原因是政策性增加基础绩效。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（2）社会保障和就业支出（类）支出266.3万元，主要用于机关事业单位养老保险及职业年金等支出。与上年相比减少90.58万元，减少25.38%。主要原因是离退休人员减少，相应费用减少。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（3）卫生健康支出（类）支出47.99万元，主要用于职工医疗补助经费支出。与上年相比增加0.73万元，增长1.54%。主要原因是行政事业人数微调。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（4）住房保障支出（类）支出850.77万元，主要用于职工住房公积金、提租补贴及购房补贴等支出。与上年相比减少25.73万元，减少2.94%。主要原因是人员有所减少。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常州市武进区工业和信息化局2023年收入预算合计2,843.03万元，包括本年收入2,843.03万元，上年结转结余0万元。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本年一般公共预算收入2,843.03万元，占100%；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常州市武进区工业和信息化局2023年支出预算合计2,843.03万元，其中：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基本支出2,325.67万元，占81.8%；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项目支出517.36万元，占18.2%；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常州市武进区工业和信息化局2023年度财政拨款收、支总预算2,843.03万元。与上年相比，财政拨款收、支总计各增加261.69万元，增长10.14%。主要原因是政策性增加基础绩效。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常州市武进区工业和信息化局2023年财政拨款预算支出2,843.03万元，占本年支出合计的100%。与上年相比，财政拨款支出增加261.69万元，增长10.14%。主要原因是政策性增加基础绩效。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1.商贸事务（款）行政运行（项）支出1,160.61万元，与上年相比增加361.58万元，增长45.25%。主要原因是政策性增加基础绩效。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2.商贸事务（款）一般行政管理事务（项）支出517.36万元，与上年相比增加15.69万元，增长3.13%。主要原因是根据工作需要增加了工业经济高质量发展平台运行维护费等预算。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1.行政事业单位养老支出（款）行政单位离退休（项）支出99.53万元，与上年相比减少88.67万元，减少47.11%。主要原因是离退休人员减少，相应费用减少。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2.行政事业单位养老支出（款）机关事业单位基本养老保险缴费支出（项）支出111.18万元，与上年相比减少1.27万元，减少1.13%。主要原因是人员有所减少。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3.行政事业单位养老支出（款）机关事业单位职业年金缴费支出（项）支出55.59万元，与上年相比减少0.64万元，减少1.14%。主要原因是人员有所减少。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1.行政事业单位医疗（款）行政单位医疗（项）支出26.32万元，与上年相比增加0.8万元，增长3.13%。主要原因是行政事业人数微调。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2.行政事业单位医疗（款）事业单位医疗（项）支出10.47万元，与上年相比增加0.09万元，增长0.87%。主要原因是行政事业人数微调。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3.行政事业单位医疗（款）公务员医疗补助（项）支出11.2万元，与上年相比减少0.16万元，减少1.41%。主要原因是人员有所减少。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1.住房改革支出（款）住房公积金（项）支出173.76万元，与上年相比减少4.03万元，减少2.27%。主要原因是人员有所减少。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2.住房改革支出（款）提租补贴（项）支出549.39万元，与上年相比减少23.22万元，减少4.06%。主要原因是人员有所减少。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3.住房改革支出（款）购房补贴（项）支出127.62万元，与上年相比增加1.52万元，增长1.21%。主要原因是老职工退休，新招一名公务员。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常州市武进区工业和信息化局2023年度财政拨款基本支出预算2,325.67万元，其中：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2,243.79万元。主要包括：基本工资、津贴补贴、奖金、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（二）公用经费81.88万元。主要包括：办公费、邮电费、差旅费、会议费、培训费、公务接待费、劳务费、工会经费、福利费、其他商品和服务支出。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常州市武进区工业和信息化局2023年一般公共预算财政拨款支出预算2,843.03万元，与上年相比增加261.69万元，增长10.14%。主要原因是政策性增加基础绩效。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常州市武进区工业和信息化局2023年度一般公共预算财政拨款基本支出预算2,325.67万元，其中：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2,243.79万元。主要包括：基本工资、津贴补贴、奖金、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（二）公用经费81.88万元。主要包括：办公费、邮电费、差旅费、会议费、培训费、公务接待费、劳务费、工会经费、福利费、其他商品和服务支出。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一般公共预算拨款安排的“三公”经费预算支出中，因公出国（境）费支出0万元，占“三公”经费的0%；公务用车购置及运行维护费支出0万元，占“三公”经费的0%；公务接待费支出1.6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常州市武进区工业和信息化局2023年度一般公共预算拨款安排的会议费预算支出3.2万元，与上年预算数相同。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常州市武进区工业和信息化局2023年度一般公共预算拨款安排的培训费预算支出5万元，与上年预算数相同。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常州市武进区工业和信息化局2023年国有资本经营预算支出0万元。与上年预算数相同。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2023年本部门一般公共预算机关运行经费预算支出81.88万元。与上年相比减少3.17万元，减少3.73%。主要原因是人员有所减少。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2023年度政府采购支出预算总额53万元，其中：拟采购货物支出3万元、拟采购工程支出0万元、拟采购服务支出50万元。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2023年度，本部门整体支出纳入绩效目标管理，涉及财政性资金6,843.03万元；本部门共9个项目纳入绩效目标管理，涉及财政性资金合计4,517.36万元，占财政性资金(基本支出除外)总额的比例为100%。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八、一般公共服务支出(类)商贸事务(款)行政运行(项)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九、一般公共服务支出(类)商贸事务(款)一般行政管理事务(项)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常州市武进区工业和信息化局</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