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23</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23</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223014地块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武进区前黄镇、南夏墅街道</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根据拟征收土地现状调查结果，本次拟征收土地现状如下：</w:t>
      </w:r>
    </w:p>
    <w:p>
      <w:pPr>
        <w:ind w:firstLine="480" w:firstLineChars="200"/>
        <w:jc w:val="right"/>
        <w:rPr>
          <w:rFonts w:hint="default" w:ascii="FangSong_GB2312" w:hAnsi="FangSong_GB2312" w:eastAsia="宋体" w:cs="FangSong_GB2312"/>
          <w:sz w:val="24"/>
          <w:szCs w:val="24"/>
          <w:lang w:val="en-US" w:eastAsia="zh-CN"/>
        </w:rPr>
      </w:pPr>
      <w:r>
        <w:rPr>
          <w:rFonts w:hint="eastAsia" w:ascii="FangSong_GB2312" w:hAnsi="FangSong_GB2312" w:eastAsia="宋体" w:cs="FangSong_GB2312"/>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序号</w:t>
            </w:r>
          </w:p>
        </w:tc>
        <w:tc>
          <w:tcPr>
            <w:tcW w:w="3430"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被征地村组</w:t>
            </w:r>
          </w:p>
        </w:tc>
        <w:tc>
          <w:tcPr>
            <w:tcW w:w="6840" w:type="dxa"/>
            <w:gridSpan w:val="5"/>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被征地面积</w:t>
            </w:r>
          </w:p>
        </w:tc>
        <w:tc>
          <w:tcPr>
            <w:tcW w:w="141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拟安置农业人口数</w:t>
            </w:r>
          </w:p>
        </w:tc>
        <w:tc>
          <w:tcPr>
            <w:tcW w:w="1143"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以下</w:t>
            </w:r>
          </w:p>
        </w:tc>
        <w:tc>
          <w:tcPr>
            <w:tcW w:w="108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5"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3430"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小计</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农用地</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（其中耕地）</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建设用地</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未利用地</w:t>
            </w:r>
          </w:p>
        </w:tc>
        <w:tc>
          <w:tcPr>
            <w:tcW w:w="141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143"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08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前黄镇</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2134</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654</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207</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1480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前黄镇蒋排村楼下组</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37204</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26552</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1705</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10652</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前黄镇蒋排村</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701</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697</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南夏墅街道</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8568</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7384</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5968</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433</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751</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48607</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34590</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7880</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12569</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1448</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bl>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outlineLvl w:val="9"/>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根据《中华人民共和国土地管理法》第四十五条的规定，本次征收土地目的</w:t>
      </w:r>
      <w:r>
        <w:rPr>
          <w:rFonts w:hint="eastAsia" w:ascii="FangSong_GB2312" w:hAnsi="FangSong_GB2312" w:eastAsia="FangSong_GB2312" w:cs="FangSong_GB2312"/>
          <w:sz w:val="24"/>
          <w:szCs w:val="24"/>
          <w:lang w:val="en-US" w:eastAsia="zh-CN"/>
        </w:rPr>
        <w:t>为在土地利用总体规划确定的城镇建设用地范围内，经省级以上人民政府批准由县级以上地方人民</w:t>
      </w:r>
      <w:r>
        <w:rPr>
          <w:rFonts w:hint="eastAsia" w:ascii="FangSong_GB2312" w:hAnsi="FangSong_GB2312" w:eastAsia="FangSong_GB2312" w:cs="FangSong_GB2312"/>
          <w:sz w:val="24"/>
          <w:szCs w:val="24"/>
        </w:rPr>
        <w:t>政府组织实施的</w:t>
      </w:r>
      <w:r>
        <w:rPr>
          <w:rFonts w:hint="eastAsia" w:ascii="FangSong_GB2312" w:hAnsi="FangSong_GB2312" w:eastAsia="FangSong_GB2312" w:cs="FangSong_GB2312"/>
          <w:sz w:val="24"/>
          <w:szCs w:val="24"/>
          <w:lang w:val="en-US" w:eastAsia="zh-CN"/>
        </w:rPr>
        <w:t>成片开发</w:t>
      </w:r>
      <w:r>
        <w:rPr>
          <w:rFonts w:hint="eastAsia" w:ascii="FangSong_GB2312" w:hAnsi="FangSong_GB2312" w:eastAsia="FangSong_GB2312" w:cs="FangSong_GB2312"/>
          <w:sz w:val="24"/>
          <w:szCs w:val="24"/>
        </w:rPr>
        <w:t>建设需要用地的。</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w:t>
      </w:r>
      <w:r>
        <w:rPr>
          <w:rFonts w:hint="eastAsia" w:ascii="仿宋_GB2312" w:hAnsi="仿宋_GB2312" w:eastAsia="仿宋_GB2312" w:cs="仿宋_GB2312"/>
          <w:sz w:val="24"/>
          <w:szCs w:val="24"/>
        </w:rPr>
        <w:t>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w:t>
      </w:r>
      <w:r>
        <w:rPr>
          <w:rFonts w:hint="eastAsia" w:ascii="FangSong_GB2312" w:hAnsi="FangSong_GB2312" w:eastAsia="FangSong_GB2312" w:cs="FangSong_GB2312"/>
          <w:sz w:val="24"/>
          <w:szCs w:val="24"/>
        </w:rPr>
        <w:t>文件规定执行，其他附着物按照武政办发〔2017〕118号文件规定执行。</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4</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29</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5</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28</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5</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28</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4</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29</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5</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28</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200" w:firstLineChars="40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3</w:t>
      </w:r>
      <w:r>
        <w:rPr>
          <w:rFonts w:hint="eastAsia" w:ascii="FangSong_GB2312" w:hAnsi="FangSong_GB2312" w:eastAsia="FangSong_GB2312" w:cs="FangSong_GB2312"/>
          <w:sz w:val="28"/>
          <w:szCs w:val="28"/>
        </w:rPr>
        <w:t xml:space="preserve">年 </w:t>
      </w:r>
      <w:r>
        <w:rPr>
          <w:rFonts w:hint="eastAsia" w:ascii="FangSong_GB2312" w:hAnsi="FangSong_GB2312" w:eastAsia="宋体" w:cs="FangSong_GB2312"/>
          <w:sz w:val="28"/>
          <w:szCs w:val="28"/>
          <w:lang w:val="en-US" w:eastAsia="zh-CN"/>
        </w:rPr>
        <w:t>4</w:t>
      </w:r>
      <w:r>
        <w:rPr>
          <w:rFonts w:hint="eastAsia" w:ascii="FangSong_GB2312" w:hAnsi="FangSong_GB2312" w:eastAsia="FangSong_GB2312" w:cs="FangSong_GB2312"/>
          <w:sz w:val="28"/>
          <w:szCs w:val="28"/>
        </w:rPr>
        <w:t xml:space="preserve">月 </w:t>
      </w:r>
      <w:r>
        <w:rPr>
          <w:rFonts w:hint="eastAsia" w:ascii="FangSong_GB2312" w:hAnsi="FangSong_GB2312" w:eastAsia="宋体" w:cs="FangSong_GB2312"/>
          <w:sz w:val="28"/>
          <w:szCs w:val="28"/>
          <w:lang w:val="en-US" w:eastAsia="zh-CN"/>
        </w:rPr>
        <w:t>29</w:t>
      </w:r>
      <w:r>
        <w:rPr>
          <w:rFonts w:hint="eastAsia" w:ascii="FangSong_GB2312" w:hAnsi="FangSong_GB2312" w:eastAsia="FangSong_GB2312" w:cs="FangSong_GB2312"/>
          <w:sz w:val="28"/>
          <w:szCs w:val="28"/>
        </w:rPr>
        <w:t xml:space="preserve"> 日</w:t>
      </w:r>
    </w:p>
    <w:p>
      <w:pPr>
        <w:ind w:firstLine="11280" w:firstLineChars="4700"/>
        <w:rPr>
          <w:rFonts w:hint="eastAsia" w:ascii="FangSong_GB2312" w:hAnsi="FangSong_GB2312" w:eastAsia="FangSong_GB2312" w:cs="FangSong_GB2312"/>
          <w:sz w:val="24"/>
          <w:szCs w:val="2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04A6F30"/>
    <w:rsid w:val="043C3AFB"/>
    <w:rsid w:val="08EA4956"/>
    <w:rsid w:val="091055D8"/>
    <w:rsid w:val="0EC6269C"/>
    <w:rsid w:val="0F2F3200"/>
    <w:rsid w:val="101C3006"/>
    <w:rsid w:val="138749D3"/>
    <w:rsid w:val="14A449C1"/>
    <w:rsid w:val="1C6850AA"/>
    <w:rsid w:val="1FEB337C"/>
    <w:rsid w:val="220B1394"/>
    <w:rsid w:val="29167DEC"/>
    <w:rsid w:val="31DE63F6"/>
    <w:rsid w:val="40704D03"/>
    <w:rsid w:val="4211484E"/>
    <w:rsid w:val="4794102E"/>
    <w:rsid w:val="4EF86C24"/>
    <w:rsid w:val="4FA52FF6"/>
    <w:rsid w:val="504D3FDE"/>
    <w:rsid w:val="51975EFF"/>
    <w:rsid w:val="522D2E18"/>
    <w:rsid w:val="584965F5"/>
    <w:rsid w:val="5ACE39FD"/>
    <w:rsid w:val="62870B21"/>
    <w:rsid w:val="655C13D8"/>
    <w:rsid w:val="69F56306"/>
    <w:rsid w:val="6DA22637"/>
    <w:rsid w:val="73021D05"/>
    <w:rsid w:val="76206E41"/>
    <w:rsid w:val="76F24D78"/>
    <w:rsid w:val="7A564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3008</Words>
  <Characters>3368</Characters>
  <Lines>0</Lines>
  <Paragraphs>0</Paragraphs>
  <TotalTime>0</TotalTime>
  <ScaleCrop>false</ScaleCrop>
  <LinksUpToDate>false</LinksUpToDate>
  <CharactersWithSpaces>3612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DongLi</cp:lastModifiedBy>
  <cp:lastPrinted>2022-06-30T03:06:00Z</cp:lastPrinted>
  <dcterms:modified xsi:type="dcterms:W3CDTF">2023-05-12T03:05:59Z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595CEDE0E15D423BA65EBD6387E59897_13</vt:lpwstr>
  </property>
</Properties>
</file>