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8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6794500</wp:posOffset>
            </wp:positionH>
            <wp:positionV relativeFrom="page">
              <wp:posOffset>7308850</wp:posOffset>
            </wp:positionV>
            <wp:extent cx="812800" cy="15494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763" cy="154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spacing w:before="111" w:line="219" w:lineRule="auto"/>
        <w:ind w:left="72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3"/>
          <w:sz w:val="34"/>
          <w:szCs w:val="34"/>
        </w:rPr>
        <w:t>附件3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72" w:line="198" w:lineRule="auto"/>
        <w:ind w:left="1390"/>
        <w:rPr>
          <w:rFonts w:ascii="黑体" w:hAnsi="黑体" w:eastAsia="黑体" w:cs="黑体"/>
          <w:sz w:val="53"/>
          <w:szCs w:val="53"/>
        </w:rPr>
      </w:pPr>
      <w:r>
        <w:rPr>
          <w:rFonts w:ascii="黑体" w:hAnsi="黑体" w:eastAsia="黑体" w:cs="黑体"/>
          <w:b/>
          <w:bCs/>
          <w:spacing w:val="29"/>
          <w:sz w:val="53"/>
          <w:szCs w:val="53"/>
        </w:rPr>
        <w:t>江苏省固体(危险)废物</w:t>
      </w:r>
    </w:p>
    <w:p>
      <w:pPr>
        <w:spacing w:before="2" w:line="220" w:lineRule="auto"/>
        <w:ind w:left="1380"/>
        <w:rPr>
          <w:rFonts w:ascii="黑体" w:hAnsi="黑体" w:eastAsia="黑体" w:cs="黑体"/>
          <w:sz w:val="53"/>
          <w:szCs w:val="53"/>
        </w:rPr>
      </w:pPr>
      <w:r>
        <w:rPr>
          <w:rFonts w:ascii="黑体" w:hAnsi="黑体" w:eastAsia="黑体" w:cs="黑体"/>
          <w:b/>
          <w:bCs/>
          <w:spacing w:val="29"/>
          <w:sz w:val="53"/>
          <w:szCs w:val="53"/>
        </w:rPr>
        <w:t>跨省(市)转移实施方案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10" w:line="277" w:lineRule="auto"/>
        <w:ind w:left="123"/>
        <w:rPr>
          <w:rFonts w:ascii="宋体" w:hAnsi="宋体" w:eastAsia="宋体" w:cs="宋体"/>
          <w:sz w:val="34"/>
          <w:szCs w:val="3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-413385</wp:posOffset>
            </wp:positionV>
            <wp:extent cx="1555750" cy="154305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5768" cy="154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9"/>
          <w:sz w:val="34"/>
          <w:szCs w:val="34"/>
        </w:rPr>
        <w:t>申</w:t>
      </w:r>
      <w:r>
        <w:rPr>
          <w:rFonts w:ascii="宋体" w:hAnsi="宋体" w:eastAsia="宋体" w:cs="宋体"/>
          <w:spacing w:val="-3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</w:rPr>
        <w:t>请</w:t>
      </w:r>
      <w:r>
        <w:rPr>
          <w:rFonts w:ascii="宋体" w:hAnsi="宋体" w:eastAsia="宋体" w:cs="宋体"/>
          <w:spacing w:val="-4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</w:rPr>
        <w:t>单</w:t>
      </w:r>
      <w:r>
        <w:rPr>
          <w:rFonts w:ascii="宋体" w:hAnsi="宋体" w:eastAsia="宋体" w:cs="宋体"/>
          <w:spacing w:val="-4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</w:rPr>
        <w:t>位</w:t>
      </w:r>
      <w:r>
        <w:rPr>
          <w:rFonts w:ascii="宋体" w:hAnsi="宋体" w:eastAsia="宋体" w:cs="宋体"/>
          <w:spacing w:val="-14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</w:rPr>
        <w:t>：</w:t>
      </w:r>
      <w:r>
        <w:rPr>
          <w:rFonts w:ascii="宋体" w:hAnsi="宋体" w:eastAsia="宋体" w:cs="宋体"/>
          <w:spacing w:val="-12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58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杭</w:t>
      </w:r>
      <w:r>
        <w:rPr>
          <w:rFonts w:ascii="宋体" w:hAnsi="宋体" w:eastAsia="宋体" w:cs="宋体"/>
          <w:spacing w:val="-50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州</w:t>
      </w:r>
      <w:r>
        <w:rPr>
          <w:rFonts w:ascii="宋体" w:hAnsi="宋体" w:eastAsia="宋体" w:cs="宋体"/>
          <w:spacing w:val="-48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大</w:t>
      </w:r>
      <w:r>
        <w:rPr>
          <w:rFonts w:ascii="宋体" w:hAnsi="宋体" w:eastAsia="宋体" w:cs="宋体"/>
          <w:spacing w:val="-5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地</w:t>
      </w:r>
      <w:r>
        <w:rPr>
          <w:rFonts w:ascii="宋体" w:hAnsi="宋体" w:eastAsia="宋体" w:cs="宋体"/>
          <w:spacing w:val="-53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海</w:t>
      </w:r>
      <w:r>
        <w:rPr>
          <w:rFonts w:ascii="宋体" w:hAnsi="宋体" w:eastAsia="宋体" w:cs="宋体"/>
          <w:spacing w:val="-50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洋</w:t>
      </w:r>
      <w:r>
        <w:rPr>
          <w:rFonts w:ascii="宋体" w:hAnsi="宋体" w:eastAsia="宋体" w:cs="宋体"/>
          <w:spacing w:val="-5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环</w:t>
      </w:r>
      <w:r>
        <w:rPr>
          <w:rFonts w:ascii="宋体" w:hAnsi="宋体" w:eastAsia="宋体" w:cs="宋体"/>
          <w:spacing w:val="-5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保</w:t>
      </w:r>
      <w:r>
        <w:rPr>
          <w:rFonts w:ascii="宋体" w:hAnsi="宋体" w:eastAsia="宋体" w:cs="宋体"/>
          <w:spacing w:val="-5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股</w:t>
      </w:r>
      <w:r>
        <w:rPr>
          <w:rFonts w:ascii="宋体" w:hAnsi="宋体" w:eastAsia="宋体" w:cs="宋体"/>
          <w:spacing w:val="-52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份</w:t>
      </w:r>
      <w:r>
        <w:rPr>
          <w:rFonts w:ascii="宋体" w:hAnsi="宋体" w:eastAsia="宋体" w:cs="宋体"/>
          <w:spacing w:val="-50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有</w:t>
      </w:r>
      <w:r>
        <w:rPr>
          <w:rFonts w:ascii="宋体" w:hAnsi="宋体" w:eastAsia="宋体" w:cs="宋体"/>
          <w:spacing w:val="-27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限</w:t>
      </w:r>
      <w:r>
        <w:rPr>
          <w:rFonts w:ascii="宋体" w:hAnsi="宋体" w:eastAsia="宋体" w:cs="宋体"/>
          <w:spacing w:val="-4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公</w:t>
      </w:r>
      <w:r>
        <w:rPr>
          <w:rFonts w:ascii="宋体" w:hAnsi="宋体" w:eastAsia="宋体" w:cs="宋体"/>
          <w:spacing w:val="-39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19"/>
          <w:sz w:val="34"/>
          <w:szCs w:val="34"/>
          <w:u w:val="single" w:color="auto"/>
        </w:rPr>
        <w:t>司</w:t>
      </w:r>
    </w:p>
    <w:p>
      <w:pPr>
        <w:spacing w:before="1" w:line="218" w:lineRule="auto"/>
        <w:ind w:left="233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3"/>
          <w:sz w:val="34"/>
          <w:szCs w:val="34"/>
        </w:rPr>
        <w:t>(公章)</w:t>
      </w:r>
    </w:p>
    <w:p>
      <w:pPr>
        <w:spacing w:before="109" w:line="219" w:lineRule="auto"/>
        <w:ind w:left="83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37"/>
          <w:sz w:val="34"/>
          <w:szCs w:val="34"/>
        </w:rPr>
        <w:t>填报日期：</w:t>
      </w:r>
      <w:r>
        <w:rPr>
          <w:rFonts w:ascii="宋体" w:hAnsi="宋体" w:eastAsia="宋体" w:cs="宋体"/>
          <w:spacing w:val="-1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7"/>
          <w:sz w:val="34"/>
          <w:szCs w:val="34"/>
          <w:u w:val="single" w:color="auto"/>
        </w:rPr>
        <w:t xml:space="preserve"> 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2</w:t>
      </w:r>
      <w:r>
        <w:rPr>
          <w:rFonts w:ascii="宋体" w:hAnsi="宋体" w:eastAsia="宋体" w:cs="宋体"/>
          <w:spacing w:val="12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0</w:t>
      </w:r>
      <w:r>
        <w:rPr>
          <w:rFonts w:ascii="宋体" w:hAnsi="宋体" w:eastAsia="宋体" w:cs="宋体"/>
          <w:spacing w:val="13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2</w:t>
      </w:r>
      <w:r>
        <w:rPr>
          <w:rFonts w:ascii="宋体" w:hAnsi="宋体" w:eastAsia="宋体" w:cs="宋体"/>
          <w:spacing w:val="16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3</w:t>
      </w:r>
      <w:r>
        <w:rPr>
          <w:rFonts w:ascii="宋体" w:hAnsi="宋体" w:eastAsia="宋体" w:cs="宋体"/>
          <w:spacing w:val="11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年</w:t>
      </w:r>
      <w:r>
        <w:rPr>
          <w:rFonts w:ascii="宋体" w:hAnsi="宋体" w:eastAsia="宋体" w:cs="宋体"/>
          <w:spacing w:val="35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1</w:t>
      </w:r>
      <w:r>
        <w:rPr>
          <w:rFonts w:ascii="宋体" w:hAnsi="宋体" w:eastAsia="宋体" w:cs="宋体"/>
          <w:spacing w:val="17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月</w:t>
      </w:r>
      <w:r>
        <w:rPr>
          <w:rFonts w:ascii="宋体" w:hAnsi="宋体" w:eastAsia="宋体" w:cs="宋体"/>
          <w:spacing w:val="35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1</w:t>
      </w:r>
      <w:r>
        <w:rPr>
          <w:rFonts w:ascii="宋体" w:hAnsi="宋体" w:eastAsia="宋体" w:cs="宋体"/>
          <w:spacing w:val="68"/>
          <w:sz w:val="34"/>
          <w:szCs w:val="34"/>
          <w:u w:val="single" w:color="auto"/>
        </w:rPr>
        <w:t xml:space="preserve"> </w:t>
      </w:r>
      <w:r>
        <w:rPr>
          <w:rFonts w:ascii="宋体" w:hAnsi="宋体" w:eastAsia="宋体" w:cs="宋体"/>
          <w:spacing w:val="-37"/>
          <w:sz w:val="34"/>
          <w:szCs w:val="34"/>
          <w:u w:val="single" w:color="auto"/>
        </w:rPr>
        <w:t>日</w:t>
      </w:r>
      <w:r>
        <w:rPr>
          <w:rFonts w:ascii="宋体" w:hAnsi="宋体" w:eastAsia="宋体" w:cs="宋体"/>
          <w:sz w:val="34"/>
          <w:szCs w:val="34"/>
          <w:u w:val="single" w:color="auto"/>
        </w:rPr>
        <w:t xml:space="preserve">                  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2" w:line="219" w:lineRule="auto"/>
        <w:ind w:left="3146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11"/>
          <w:sz w:val="25"/>
          <w:szCs w:val="25"/>
        </w:rPr>
        <w:t>江苏省环境保护厅制</w:t>
      </w:r>
    </w:p>
    <w:p>
      <w:pPr>
        <w:sectPr>
          <w:headerReference r:id="rId5" w:type="default"/>
          <w:pgSz w:w="11980" w:h="16830"/>
          <w:pgMar w:top="400" w:right="0" w:bottom="0" w:left="1797" w:header="0" w:footer="0" w:gutter="0"/>
          <w:cols w:space="720" w:num="1"/>
        </w:sect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46" w:line="221" w:lineRule="auto"/>
        <w:ind w:left="3696"/>
        <w:rPr>
          <w:rFonts w:ascii="黑体" w:hAnsi="黑体" w:eastAsia="黑体" w:cs="黑体"/>
          <w:sz w:val="45"/>
          <w:szCs w:val="45"/>
        </w:rPr>
      </w:pPr>
      <w:r>
        <w:rPr>
          <w:rFonts w:ascii="黑体" w:hAnsi="黑体" w:eastAsia="黑体" w:cs="黑体"/>
          <w:b/>
          <w:bCs/>
          <w:spacing w:val="-21"/>
          <w:sz w:val="45"/>
          <w:szCs w:val="45"/>
        </w:rPr>
        <w:t>申请者声明</w:t>
      </w:r>
    </w:p>
    <w:p>
      <w:pPr>
        <w:spacing w:line="272" w:lineRule="auto"/>
        <w:rPr>
          <w:rFonts w:ascii="Arial"/>
          <w:sz w:val="21"/>
        </w:rPr>
      </w:pPr>
    </w:p>
    <w:p>
      <w:pPr>
        <w:spacing w:line="272" w:lineRule="auto"/>
        <w:rPr>
          <w:rFonts w:ascii="Arial"/>
          <w:sz w:val="21"/>
        </w:rPr>
      </w:pPr>
    </w:p>
    <w:p>
      <w:pPr>
        <w:spacing w:before="104" w:line="329" w:lineRule="auto"/>
        <w:ind w:firstLine="640"/>
        <w:jc w:val="both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3"/>
          <w:sz w:val="32"/>
          <w:szCs w:val="32"/>
        </w:rPr>
        <w:t>我代表申请单位郑重承诺：本实施方案所填资料是完整的</w:t>
      </w:r>
      <w:r>
        <w:rPr>
          <w:rFonts w:ascii="宋体" w:hAnsi="宋体" w:eastAsia="宋体" w:cs="宋体"/>
          <w:spacing w:val="8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3"/>
          <w:sz w:val="32"/>
          <w:szCs w:val="32"/>
        </w:rPr>
        <w:t>和真实的。转移的危险废物名称、类别、代码、数量与实际相</w:t>
      </w:r>
      <w:r>
        <w:rPr>
          <w:rFonts w:ascii="宋体" w:hAnsi="宋体" w:eastAsia="宋体" w:cs="宋体"/>
          <w:spacing w:val="4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3"/>
          <w:sz w:val="32"/>
          <w:szCs w:val="32"/>
        </w:rPr>
        <w:t>符。危险废物接受单位具备相应的处置利用能力和污</w:t>
      </w:r>
      <w:r>
        <w:rPr>
          <w:rFonts w:ascii="宋体" w:hAnsi="宋体" w:eastAsia="宋体" w:cs="宋体"/>
          <w:spacing w:val="2"/>
          <w:sz w:val="32"/>
          <w:szCs w:val="32"/>
        </w:rPr>
        <w:t>染防治措</w:t>
      </w:r>
      <w:r>
        <w:rPr>
          <w:rFonts w:ascii="宋体" w:hAnsi="宋体" w:eastAsia="宋体" w:cs="宋体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2"/>
          <w:sz w:val="32"/>
          <w:szCs w:val="32"/>
        </w:rPr>
        <w:t>施。委托有资质单位进行运输并按照制定的运输路线运输，保</w:t>
      </w:r>
      <w:r>
        <w:rPr>
          <w:rFonts w:ascii="宋体" w:hAnsi="宋体" w:eastAsia="宋体" w:cs="宋体"/>
          <w:spacing w:val="15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2"/>
          <w:sz w:val="32"/>
          <w:szCs w:val="32"/>
        </w:rPr>
        <w:t>证转移的废物均到达接收单位进行安全处置处理，对转移过程</w:t>
      </w:r>
      <w:r>
        <w:rPr>
          <w:rFonts w:ascii="宋体" w:hAnsi="宋体" w:eastAsia="宋体" w:cs="宋体"/>
          <w:spacing w:val="16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10"/>
          <w:sz w:val="32"/>
          <w:szCs w:val="32"/>
        </w:rPr>
        <w:t>中可能产生的环境风险提出合理的控制措施，实行跨省(市)</w:t>
      </w:r>
    </w:p>
    <w:p>
      <w:pPr>
        <w:spacing w:before="1" w:line="217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3"/>
          <w:sz w:val="32"/>
          <w:szCs w:val="32"/>
        </w:rPr>
        <w:t>转移网上报告，承担转移全过程监控责任。</w:t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04"/>
        <w:ind w:right="76"/>
        <w:jc w:val="right"/>
        <w:rPr>
          <w:sz w:val="32"/>
          <w:szCs w:val="32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1386840</wp:posOffset>
            </wp:positionV>
            <wp:extent cx="1651000" cy="34290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1012" cy="34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position w:val="-105"/>
          <w:sz w:val="32"/>
          <w:szCs w:val="32"/>
        </w:rPr>
        <w:drawing>
          <wp:inline distT="0" distB="0" distL="0" distR="0">
            <wp:extent cx="1567180" cy="153606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7333" cy="1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pacing w:val="-28"/>
          <w:w w:val="63"/>
          <w:sz w:val="32"/>
          <w:szCs w:val="32"/>
        </w:rPr>
        <w:t>法人代表签</w:t>
      </w:r>
      <w:r>
        <w:rPr>
          <w:position w:val="-54"/>
          <w:sz w:val="32"/>
          <w:szCs w:val="32"/>
        </w:rPr>
        <w:drawing>
          <wp:inline distT="0" distB="0" distL="0" distR="0">
            <wp:extent cx="1191260" cy="7232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1414" cy="72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80" w:h="16830"/>
          <w:pgMar w:top="400" w:right="1593" w:bottom="0" w:left="1659" w:header="0" w:footer="0" w:gutter="0"/>
          <w:cols w:space="720" w:num="1"/>
        </w:sect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91" w:line="222" w:lineRule="auto"/>
        <w:ind w:left="54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4"/>
          <w:sz w:val="28"/>
          <w:szCs w:val="28"/>
        </w:rPr>
        <w:t>第一部分：拟转移废物基本情况</w:t>
      </w:r>
    </w:p>
    <w:p>
      <w:pPr>
        <w:spacing w:line="22" w:lineRule="exact"/>
      </w:pPr>
    </w:p>
    <w:tbl>
      <w:tblPr>
        <w:tblStyle w:val="4"/>
        <w:tblW w:w="91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3"/>
        <w:gridCol w:w="2058"/>
        <w:gridCol w:w="1349"/>
        <w:gridCol w:w="2407"/>
        <w:gridCol w:w="18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9130" w:type="dxa"/>
            <w:gridSpan w:val="5"/>
            <w:vAlign w:val="top"/>
          </w:tcPr>
          <w:p>
            <w:pPr>
              <w:spacing w:before="250" w:line="219" w:lineRule="auto"/>
              <w:ind w:left="9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表</w:t>
            </w:r>
            <w:r>
              <w:rPr>
                <w:rFonts w:ascii="宋体" w:hAnsi="宋体" w:eastAsia="宋体" w:cs="宋体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废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物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产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生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情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6" w:hRule="atLeast"/>
        </w:trPr>
        <w:tc>
          <w:tcPr>
            <w:tcW w:w="9130" w:type="dxa"/>
            <w:gridSpan w:val="5"/>
            <w:vAlign w:val="top"/>
          </w:tcPr>
          <w:p>
            <w:pPr>
              <w:spacing w:before="49" w:line="310" w:lineRule="exact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position w:val="7"/>
                <w:sz w:val="21"/>
                <w:szCs w:val="21"/>
              </w:rPr>
              <w:t>废物产生企业概况(企业投产时间，主要经营范围及规模)</w:t>
            </w:r>
          </w:p>
          <w:p>
            <w:pPr>
              <w:spacing w:line="219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>企业投产时间：</w:t>
            </w:r>
          </w:p>
          <w:p>
            <w:pPr>
              <w:spacing w:before="41" w:line="255" w:lineRule="auto"/>
              <w:ind w:left="95" w:right="76" w:firstLine="4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杭州大地海洋环保股份有限公司创立于2003年，是一家专注于废弃资源综合利用的国家高新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技术企业，主要从事废矿物油、废乳化液、废滤芯/油桶(壶)等危废收集、资源化利用与无害化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处置业务。经过多年的发展，在危废行业具备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较高的声誉和知名度，且拥有丰富的研发、生产、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销售和管理经验，组建了规范化的危废收集物流团队，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与多家大型国企、外企等产废企业建立了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21"/>
                <w:szCs w:val="21"/>
              </w:rPr>
              <w:t>合作关系。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130" w:type="dxa"/>
            <w:gridSpan w:val="5"/>
            <w:vAlign w:val="top"/>
          </w:tcPr>
          <w:p>
            <w:pPr>
              <w:spacing w:before="183" w:line="219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产品及产废情况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4920" w:type="dxa"/>
            <w:gridSpan w:val="3"/>
            <w:vAlign w:val="top"/>
          </w:tcPr>
          <w:p>
            <w:pPr>
              <w:spacing w:before="184" w:line="219" w:lineRule="auto"/>
              <w:ind w:left="20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产品情况</w:t>
            </w:r>
          </w:p>
        </w:tc>
        <w:tc>
          <w:tcPr>
            <w:tcW w:w="4210" w:type="dxa"/>
            <w:gridSpan w:val="2"/>
            <w:vAlign w:val="top"/>
          </w:tcPr>
          <w:p>
            <w:pPr>
              <w:spacing w:before="184" w:line="219" w:lineRule="auto"/>
              <w:ind w:left="12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产生危险废物情况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513" w:type="dxa"/>
            <w:vAlign w:val="top"/>
          </w:tcPr>
          <w:p>
            <w:pPr>
              <w:spacing w:before="185" w:line="219" w:lineRule="auto"/>
              <w:ind w:left="3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产品名称</w:t>
            </w:r>
          </w:p>
        </w:tc>
        <w:tc>
          <w:tcPr>
            <w:tcW w:w="2058" w:type="dxa"/>
            <w:vAlign w:val="top"/>
          </w:tcPr>
          <w:p>
            <w:pPr>
              <w:spacing w:before="186" w:line="220" w:lineRule="auto"/>
              <w:ind w:left="2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主要成分化学名</w:t>
            </w:r>
          </w:p>
        </w:tc>
        <w:tc>
          <w:tcPr>
            <w:tcW w:w="1349" w:type="dxa"/>
            <w:vAlign w:val="top"/>
          </w:tcPr>
          <w:p>
            <w:pPr>
              <w:spacing w:before="185" w:line="219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年产量</w:t>
            </w:r>
          </w:p>
        </w:tc>
        <w:tc>
          <w:tcPr>
            <w:tcW w:w="2407" w:type="dxa"/>
            <w:vAlign w:val="top"/>
          </w:tcPr>
          <w:p>
            <w:pPr>
              <w:spacing w:before="186" w:line="220" w:lineRule="auto"/>
              <w:ind w:left="7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废物名称</w:t>
            </w:r>
          </w:p>
        </w:tc>
        <w:tc>
          <w:tcPr>
            <w:tcW w:w="1803" w:type="dxa"/>
            <w:vAlign w:val="top"/>
          </w:tcPr>
          <w:p>
            <w:pPr>
              <w:spacing w:before="185" w:line="219" w:lineRule="auto"/>
              <w:ind w:left="4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年产生量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513" w:type="dxa"/>
            <w:vMerge w:val="restart"/>
            <w:tcBorders>
              <w:bottom w:val="nil"/>
            </w:tcBorders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9" w:line="224" w:lineRule="auto"/>
              <w:ind w:left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基础油</w:t>
            </w:r>
          </w:p>
        </w:tc>
        <w:tc>
          <w:tcPr>
            <w:tcW w:w="2058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left="8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烃类</w:t>
            </w:r>
          </w:p>
        </w:tc>
        <w:tc>
          <w:tcPr>
            <w:tcW w:w="1349" w:type="dxa"/>
            <w:vMerge w:val="restart"/>
            <w:tcBorders>
              <w:bottom w:val="nil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68" w:line="183" w:lineRule="auto"/>
              <w:ind w:left="40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47448</w:t>
            </w:r>
          </w:p>
        </w:tc>
        <w:tc>
          <w:tcPr>
            <w:tcW w:w="2407" w:type="dxa"/>
            <w:vAlign w:val="top"/>
          </w:tcPr>
          <w:p>
            <w:pPr>
              <w:spacing w:before="56" w:line="219" w:lineRule="auto"/>
              <w:ind w:left="7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废矿物油</w:t>
            </w:r>
          </w:p>
        </w:tc>
        <w:tc>
          <w:tcPr>
            <w:tcW w:w="1803" w:type="dxa"/>
            <w:vAlign w:val="top"/>
          </w:tcPr>
          <w:p>
            <w:pPr>
              <w:spacing w:before="67" w:line="213" w:lineRule="auto"/>
              <w:ind w:left="5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60000吨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51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1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5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80" w:h="16830"/>
          <w:pgMar w:top="400" w:right="1504" w:bottom="0" w:left="1334" w:header="0" w:footer="0" w:gutter="0"/>
          <w:cols w:space="720" w:num="1"/>
        </w:sectPr>
      </w:pPr>
    </w:p>
    <w:p/>
    <w:p/>
    <w:p/>
    <w:p/>
    <w:p>
      <w:pPr>
        <w:spacing w:line="129" w:lineRule="exact"/>
      </w:pPr>
    </w:p>
    <w:tbl>
      <w:tblPr>
        <w:tblStyle w:val="4"/>
        <w:tblW w:w="9150" w:type="dxa"/>
        <w:tblInd w:w="5" w:type="dxa"/>
        <w:tblBorders>
          <w:top w:val="none" w:color="000000" w:sz="8" w:space="0"/>
          <w:left w:val="none" w:color="000000" w:sz="8" w:space="0"/>
          <w:bottom w:val="none" w:color="000000" w:sz="8" w:space="0"/>
          <w:right w:val="none" w:color="000000" w:sz="8" w:space="0"/>
          <w:insideH w:val="none" w:color="000000" w:sz="8" w:space="0"/>
          <w:insideV w:val="non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6"/>
        <w:gridCol w:w="1409"/>
        <w:gridCol w:w="1219"/>
        <w:gridCol w:w="1154"/>
        <w:gridCol w:w="1392"/>
        <w:gridCol w:w="1179"/>
        <w:gridCol w:w="1251"/>
      </w:tblGrid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915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219" w:lineRule="auto"/>
              <w:ind w:left="98"/>
              <w:rPr>
                <w:rFonts w:ascii="宋体" w:hAnsi="宋体" w:eastAsia="宋体" w:cs="宋体"/>
                <w:sz w:val="25"/>
                <w:szCs w:val="25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5"/>
                <w:szCs w:val="25"/>
              </w:rPr>
              <w:t>表2与申请转移废物相关的生产工艺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</w:trPr>
        <w:tc>
          <w:tcPr>
            <w:tcW w:w="9150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69" w:line="219" w:lineRule="auto"/>
              <w:ind w:left="1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文字描述及工艺流程图</w:t>
            </w:r>
          </w:p>
          <w:p>
            <w:pPr>
              <w:spacing w:before="61" w:line="256" w:lineRule="auto"/>
              <w:ind w:left="95" w:right="111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>废矿物油(桶装)回收进厂后卸至装卸平台，装卸平台一侧为中转沉淀池(地上式，平台高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于沉淀池，平台周边均设有截流沟)。废矿物油经检验后，将废矿物油转移至靠近沉淀池一侧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人工将桶内的废矿物油倒入隔油沉淀池，经几道格栅隔油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、沉淀处理，处理完毕后将其泵入储罐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>区的储油罐。生产时将废矿物油泵入预热罐，静置加热至80℃左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右，加热3~4h,使矿物油各成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分因密度不同进行分层，油、水分别在上层和下层，将下层的水排出后进行收集(收集废水送乳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化液污水处理设施处理达标后排放)。上层油通过密闭管道输送至膜处理系统去除杂质后得到产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1"/>
                <w:szCs w:val="21"/>
              </w:rPr>
              <w:t>品泵入储罐。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9150" w:type="dxa"/>
            <w:gridSpan w:val="7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77" w:line="219" w:lineRule="auto"/>
              <w:ind w:left="3357"/>
              <w:rPr>
                <w:rFonts w:ascii="宋体" w:hAnsi="宋体" w:eastAsia="宋体" w:cs="宋体"/>
                <w:sz w:val="18"/>
                <w:szCs w:val="18"/>
              </w:rPr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1905</wp:posOffset>
                  </wp:positionV>
                  <wp:extent cx="5473700" cy="2838450"/>
                  <wp:effectExtent l="0" t="0" r="0" b="0"/>
                  <wp:wrapNone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680" cy="28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b/>
                <w:bCs/>
                <w:color w:val="000079"/>
                <w:spacing w:val="3"/>
                <w:sz w:val="18"/>
                <w:szCs w:val="18"/>
              </w:rPr>
              <w:t>废矿物油处置回收工艺流程图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4174" w:type="dxa"/>
            <w:gridSpan w:val="3"/>
            <w:tcBorders>
              <w:left w:val="single" w:color="000000" w:sz="4" w:space="0"/>
            </w:tcBorders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spacing w:before="39" w:line="221" w:lineRule="auto"/>
              <w:ind w:left="20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BA1"/>
                <w:spacing w:val="5"/>
                <w:position w:val="-1"/>
                <w:sz w:val="12"/>
                <w:szCs w:val="12"/>
              </w:rPr>
              <w:t>春构疾气</w:t>
            </w:r>
            <w:r>
              <w:rPr>
                <w:rFonts w:ascii="宋体" w:hAnsi="宋体" w:eastAsia="宋体" w:cs="宋体"/>
                <w:color w:val="000BA1"/>
                <w:spacing w:val="1"/>
                <w:position w:val="-1"/>
                <w:sz w:val="12"/>
                <w:szCs w:val="12"/>
              </w:rPr>
              <w:t xml:space="preserve">             </w:t>
            </w:r>
            <w:r>
              <w:rPr>
                <w:rFonts w:ascii="宋体" w:hAnsi="宋体" w:eastAsia="宋体" w:cs="宋体"/>
                <w:color w:val="0500A2"/>
                <w:spacing w:val="5"/>
                <w:position w:val="1"/>
                <w:sz w:val="12"/>
                <w:szCs w:val="12"/>
              </w:rPr>
              <w:t>有机底气</w:t>
            </w:r>
          </w:p>
        </w:tc>
        <w:tc>
          <w:tcPr>
            <w:tcW w:w="4976" w:type="dxa"/>
            <w:gridSpan w:val="4"/>
            <w:tcBorders>
              <w:right w:val="single" w:color="000000" w:sz="4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39" w:line="219" w:lineRule="auto"/>
              <w:ind w:left="35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A009B"/>
                <w:spacing w:val="-1"/>
                <w:sz w:val="12"/>
                <w:szCs w:val="12"/>
              </w:rPr>
              <w:t>布机庭气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546" w:type="dxa"/>
            <w:tcBorders>
              <w:left w:val="single" w:color="000000" w:sz="4" w:space="0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39" w:line="219" w:lineRule="auto"/>
              <w:ind w:left="63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11A7"/>
                <w:spacing w:val="-1"/>
                <w:sz w:val="12"/>
                <w:szCs w:val="12"/>
              </w:rPr>
              <w:t>底矿物油</w:t>
            </w:r>
          </w:p>
        </w:tc>
        <w:tc>
          <w:tcPr>
            <w:tcW w:w="140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9" w:line="215" w:lineRule="auto"/>
              <w:ind w:left="42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16A4"/>
                <w:spacing w:val="13"/>
                <w:sz w:val="12"/>
                <w:szCs w:val="12"/>
              </w:rPr>
              <w:t>中转糕(洒</w:t>
            </w:r>
          </w:p>
          <w:p>
            <w:pPr>
              <w:spacing w:line="219" w:lineRule="auto"/>
              <w:ind w:left="45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BAB"/>
                <w:spacing w:val="-6"/>
                <w:sz w:val="12"/>
                <w:szCs w:val="12"/>
              </w:rPr>
              <w:t>淀</w:t>
            </w:r>
            <w:r>
              <w:rPr>
                <w:rFonts w:ascii="宋体" w:hAnsi="宋体" w:eastAsia="宋体" w:cs="宋体"/>
                <w:color w:val="000BAB"/>
                <w:spacing w:val="-18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B"/>
                <w:spacing w:val="-6"/>
                <w:sz w:val="12"/>
                <w:szCs w:val="12"/>
              </w:rPr>
              <w:t>除</w:t>
            </w:r>
            <w:r>
              <w:rPr>
                <w:rFonts w:ascii="宋体" w:hAnsi="宋体" w:eastAsia="宋体" w:cs="宋体"/>
                <w:color w:val="000BAB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B"/>
                <w:spacing w:val="-6"/>
                <w:sz w:val="12"/>
                <w:szCs w:val="12"/>
              </w:rPr>
              <w:t>亲</w:t>
            </w:r>
            <w:r>
              <w:rPr>
                <w:rFonts w:ascii="宋体" w:hAnsi="宋体" w:eastAsia="宋体" w:cs="宋体"/>
                <w:color w:val="000BAB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B"/>
                <w:spacing w:val="-6"/>
                <w:sz w:val="12"/>
                <w:szCs w:val="12"/>
              </w:rPr>
              <w:t>)</w:t>
            </w:r>
          </w:p>
        </w:tc>
        <w:tc>
          <w:tcPr>
            <w:tcW w:w="2373" w:type="dxa"/>
            <w:gridSpan w:val="2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39" w:line="236" w:lineRule="auto"/>
              <w:ind w:left="37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59D"/>
                <w:spacing w:val="2"/>
                <w:sz w:val="12"/>
                <w:szCs w:val="12"/>
              </w:rPr>
              <w:t>健油融</w:t>
            </w:r>
            <w:r>
              <w:rPr>
                <w:rFonts w:ascii="宋体" w:hAnsi="宋体" w:eastAsia="宋体" w:cs="宋体"/>
                <w:color w:val="00059D"/>
                <w:spacing w:val="1"/>
                <w:sz w:val="12"/>
                <w:szCs w:val="12"/>
              </w:rPr>
              <w:t xml:space="preserve">             </w:t>
            </w:r>
            <w:r>
              <w:rPr>
                <w:rFonts w:ascii="宋体" w:hAnsi="宋体" w:eastAsia="宋体" w:cs="宋体"/>
                <w:spacing w:val="2"/>
                <w:sz w:val="12"/>
                <w:szCs w:val="12"/>
              </w:rPr>
              <w:t>股</w:t>
            </w:r>
            <w:r>
              <w:rPr>
                <w:rFonts w:ascii="宋体" w:hAnsi="宋体" w:eastAsia="宋体" w:cs="宋体"/>
                <w:spacing w:val="-7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2"/>
                <w:szCs w:val="12"/>
              </w:rPr>
              <w:t>热</w:t>
            </w:r>
            <w:r>
              <w:rPr>
                <w:rFonts w:ascii="宋体" w:hAnsi="宋体" w:eastAsia="宋体" w:cs="宋体"/>
                <w:spacing w:val="-10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2"/>
                <w:szCs w:val="12"/>
              </w:rPr>
              <w:t>敏</w:t>
            </w:r>
          </w:p>
        </w:tc>
        <w:tc>
          <w:tcPr>
            <w:tcW w:w="139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39" w:line="219" w:lineRule="auto"/>
              <w:ind w:left="2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11AA"/>
                <w:spacing w:val="10"/>
                <w:sz w:val="12"/>
                <w:szCs w:val="12"/>
              </w:rPr>
              <w:t>脱水系统(分</w:t>
            </w:r>
          </w:p>
          <w:p>
            <w:pPr>
              <w:spacing w:before="17" w:line="219" w:lineRule="auto"/>
              <w:ind w:left="37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BA6"/>
                <w:spacing w:val="-5"/>
                <w:sz w:val="12"/>
                <w:szCs w:val="12"/>
              </w:rPr>
              <w:t>屈</w:t>
            </w:r>
            <w:r>
              <w:rPr>
                <w:rFonts w:ascii="宋体" w:hAnsi="宋体" w:eastAsia="宋体" w:cs="宋体"/>
                <w:color w:val="000BA6"/>
                <w:spacing w:val="-24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6"/>
                <w:spacing w:val="-5"/>
                <w:sz w:val="12"/>
                <w:szCs w:val="12"/>
              </w:rPr>
              <w:t>排</w:t>
            </w:r>
            <w:r>
              <w:rPr>
                <w:rFonts w:ascii="宋体" w:hAnsi="宋体" w:eastAsia="宋体" w:cs="宋体"/>
                <w:color w:val="000BA6"/>
                <w:spacing w:val="-2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6"/>
                <w:spacing w:val="-5"/>
                <w:sz w:val="12"/>
                <w:szCs w:val="12"/>
              </w:rPr>
              <w:t>水</w:t>
            </w:r>
            <w:r>
              <w:rPr>
                <w:rFonts w:ascii="宋体" w:hAnsi="宋体" w:eastAsia="宋体" w:cs="宋体"/>
                <w:color w:val="000BA6"/>
                <w:spacing w:val="-23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000BA6"/>
                <w:spacing w:val="-5"/>
                <w:sz w:val="12"/>
                <w:szCs w:val="12"/>
              </w:rPr>
              <w:t>)</w:t>
            </w:r>
          </w:p>
        </w:tc>
        <w:tc>
          <w:tcPr>
            <w:tcW w:w="11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39" w:line="220" w:lineRule="auto"/>
              <w:ind w:left="3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6AF"/>
                <w:spacing w:val="17"/>
                <w:sz w:val="12"/>
                <w:szCs w:val="12"/>
              </w:rPr>
              <w:t>VMMST腰</w:t>
            </w:r>
          </w:p>
          <w:p>
            <w:pPr>
              <w:spacing w:before="6" w:line="219" w:lineRule="auto"/>
              <w:ind w:left="42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B9F"/>
                <w:spacing w:val="-2"/>
                <w:sz w:val="12"/>
                <w:szCs w:val="12"/>
              </w:rPr>
              <w:t>纷满系班</w:t>
            </w:r>
          </w:p>
        </w:tc>
        <w:tc>
          <w:tcPr>
            <w:tcW w:w="1251" w:type="dxa"/>
            <w:tcBorders>
              <w:right w:val="single" w:color="000000" w:sz="4" w:space="0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39" w:line="219" w:lineRule="auto"/>
              <w:ind w:left="27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5A3"/>
                <w:spacing w:val="10"/>
                <w:sz w:val="12"/>
                <w:szCs w:val="12"/>
              </w:rPr>
              <w:t>墨础油产品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5328" w:type="dxa"/>
            <w:gridSpan w:val="4"/>
            <w:vMerge w:val="restart"/>
            <w:tcBorders>
              <w:left w:val="single" w:color="000000" w:sz="4" w:space="0"/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39" w:line="226" w:lineRule="auto"/>
              <w:ind w:left="4594" w:right="349" w:hanging="13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7"/>
                <w:sz w:val="12"/>
                <w:szCs w:val="12"/>
              </w:rPr>
              <w:t>导进油炉</w:t>
            </w:r>
            <w:r>
              <w:rPr>
                <w:rFonts w:ascii="宋体" w:hAnsi="宋体" w:eastAsia="宋体" w:cs="宋体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生中</w:t>
            </w:r>
          </w:p>
          <w:p>
            <w:pPr>
              <w:spacing w:before="106" w:line="219" w:lineRule="auto"/>
              <w:ind w:left="279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B00A5"/>
                <w:spacing w:val="-1"/>
                <w:sz w:val="12"/>
                <w:szCs w:val="12"/>
              </w:rPr>
              <w:t>含油院谨</w:t>
            </w: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39" w:line="219" w:lineRule="auto"/>
              <w:ind w:left="2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59A"/>
                <w:spacing w:val="-1"/>
                <w:sz w:val="12"/>
                <w:szCs w:val="12"/>
              </w:rPr>
              <w:t>委拼处盖</w:t>
            </w:r>
          </w:p>
        </w:tc>
        <w:tc>
          <w:tcPr>
            <w:tcW w:w="1392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39" w:line="221" w:lineRule="auto"/>
              <w:ind w:left="39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0A8"/>
                <w:spacing w:val="-2"/>
                <w:sz w:val="12"/>
                <w:szCs w:val="12"/>
              </w:rPr>
              <w:t>金油底序</w:t>
            </w:r>
          </w:p>
        </w:tc>
        <w:tc>
          <w:tcPr>
            <w:tcW w:w="2430" w:type="dxa"/>
            <w:gridSpan w:val="2"/>
            <w:tcBorders>
              <w:right w:val="single" w:color="000000" w:sz="4" w:space="0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39" w:line="220" w:lineRule="auto"/>
              <w:ind w:left="4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006A7"/>
                <w:spacing w:val="-2"/>
                <w:sz w:val="12"/>
                <w:szCs w:val="12"/>
              </w:rPr>
              <w:t>金油疾谨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5328" w:type="dxa"/>
            <w:gridSpan w:val="4"/>
            <w:vMerge w:val="continue"/>
            <w:tcBorders>
              <w:top w:val="nil"/>
              <w:left w:val="single" w:color="000000" w:sz="4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22" w:type="dxa"/>
            <w:gridSpan w:val="3"/>
            <w:tcBorders>
              <w:bottom w:val="nil"/>
              <w:right w:val="single" w:color="000000" w:sz="4" w:space="0"/>
            </w:tcBorders>
            <w:vAlign w:val="top"/>
          </w:tcPr>
          <w:p>
            <w:pPr>
              <w:spacing w:before="230" w:line="217" w:lineRule="auto"/>
              <w:ind w:left="3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0B00A0"/>
                <w:spacing w:val="-1"/>
                <w:sz w:val="12"/>
                <w:szCs w:val="12"/>
              </w:rPr>
              <w:t>联乳优浦车</w:t>
            </w:r>
          </w:p>
          <w:p>
            <w:pPr>
              <w:spacing w:line="236" w:lineRule="auto"/>
              <w:ind w:left="4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号必适</w:t>
            </w:r>
            <w:r>
              <w:rPr>
                <w:rFonts w:ascii="宋体" w:hAnsi="宋体" w:eastAsia="宋体" w:cs="宋体"/>
                <w:sz w:val="12"/>
                <w:szCs w:val="12"/>
              </w:rPr>
              <w:t xml:space="preserve">                </w:t>
            </w: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委托处温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1" w:hRule="atLeast"/>
        </w:trPr>
        <w:tc>
          <w:tcPr>
            <w:tcW w:w="9150" w:type="dxa"/>
            <w:gridSpan w:val="7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80" w:h="16830"/>
          <w:pgMar w:top="400" w:right="1484" w:bottom="0" w:left="1334" w:header="0" w:footer="0" w:gutter="0"/>
          <w:cols w:space="720" w:num="1"/>
        </w:sectPr>
      </w:pPr>
    </w:p>
    <w:p/>
    <w:p/>
    <w:p/>
    <w:p/>
    <w:p>
      <w:pPr>
        <w:spacing w:line="139" w:lineRule="exact"/>
      </w:pPr>
    </w:p>
    <w:tbl>
      <w:tblPr>
        <w:tblStyle w:val="4"/>
        <w:tblW w:w="9150" w:type="dxa"/>
        <w:tblInd w:w="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3"/>
        <w:gridCol w:w="1768"/>
        <w:gridCol w:w="1678"/>
        <w:gridCol w:w="2208"/>
        <w:gridCol w:w="16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150" w:type="dxa"/>
            <w:gridSpan w:val="5"/>
            <w:vAlign w:val="top"/>
          </w:tcPr>
          <w:p>
            <w:pPr>
              <w:spacing w:before="239" w:line="219" w:lineRule="auto"/>
              <w:ind w:left="8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3"/>
                <w:szCs w:val="23"/>
              </w:rPr>
              <w:t>表3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1"/>
                <w:sz w:val="23"/>
                <w:szCs w:val="23"/>
              </w:rPr>
              <w:t>废物组分、特性(详见附件)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813" w:type="dxa"/>
            <w:vAlign w:val="top"/>
          </w:tcPr>
          <w:p>
            <w:pPr>
              <w:spacing w:before="141" w:line="220" w:lineRule="auto"/>
              <w:ind w:left="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废物名称</w:t>
            </w:r>
          </w:p>
        </w:tc>
        <w:tc>
          <w:tcPr>
            <w:tcW w:w="1768" w:type="dxa"/>
            <w:vAlign w:val="top"/>
          </w:tcPr>
          <w:p>
            <w:pPr>
              <w:spacing w:before="141" w:line="220" w:lineRule="auto"/>
              <w:ind w:left="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主要组分</w:t>
            </w:r>
          </w:p>
        </w:tc>
        <w:tc>
          <w:tcPr>
            <w:tcW w:w="1678" w:type="dxa"/>
            <w:vAlign w:val="top"/>
          </w:tcPr>
          <w:p>
            <w:pPr>
              <w:spacing w:before="141" w:line="221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相应比例(%)</w:t>
            </w:r>
          </w:p>
        </w:tc>
        <w:tc>
          <w:tcPr>
            <w:tcW w:w="2208" w:type="dxa"/>
            <w:vAlign w:val="top"/>
          </w:tcPr>
          <w:p>
            <w:pPr>
              <w:spacing w:before="140" w:line="219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危害特性</w:t>
            </w:r>
          </w:p>
        </w:tc>
        <w:tc>
          <w:tcPr>
            <w:tcW w:w="1683" w:type="dxa"/>
            <w:vAlign w:val="top"/>
          </w:tcPr>
          <w:p>
            <w:pPr>
              <w:spacing w:before="143" w:line="221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形态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813" w:type="dxa"/>
            <w:vMerge w:val="restart"/>
            <w:tcBorders>
              <w:bottom w:val="nil"/>
            </w:tcBorders>
            <w:vAlign w:val="top"/>
          </w:tcPr>
          <w:p>
            <w:pPr>
              <w:spacing w:before="11" w:line="219" w:lineRule="auto"/>
              <w:ind w:left="8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废矿物油</w:t>
            </w:r>
          </w:p>
        </w:tc>
        <w:tc>
          <w:tcPr>
            <w:tcW w:w="1768" w:type="dxa"/>
            <w:vAlign w:val="top"/>
          </w:tcPr>
          <w:p>
            <w:pPr>
              <w:spacing w:before="30" w:line="208" w:lineRule="auto"/>
              <w:ind w:left="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烃类、有机物</w:t>
            </w:r>
          </w:p>
        </w:tc>
        <w:tc>
          <w:tcPr>
            <w:tcW w:w="1678" w:type="dxa"/>
            <w:vAlign w:val="top"/>
          </w:tcPr>
          <w:p>
            <w:pPr>
              <w:spacing w:before="90" w:line="160" w:lineRule="auto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97.5%</w:t>
            </w:r>
          </w:p>
        </w:tc>
        <w:tc>
          <w:tcPr>
            <w:tcW w:w="2208" w:type="dxa"/>
            <w:vMerge w:val="restart"/>
            <w:tcBorders>
              <w:bottom w:val="nil"/>
            </w:tcBorders>
            <w:vAlign w:val="top"/>
          </w:tcPr>
          <w:p>
            <w:pPr>
              <w:spacing w:before="61" w:line="241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腐蚀性</w:t>
            </w:r>
          </w:p>
          <w:p>
            <w:pPr>
              <w:spacing w:line="219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毒性</w:t>
            </w:r>
          </w:p>
          <w:p>
            <w:pPr>
              <w:spacing w:before="8" w:line="233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易燃性</w:t>
            </w:r>
          </w:p>
          <w:p>
            <w:pPr>
              <w:spacing w:before="1" w:line="20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反应性</w:t>
            </w:r>
          </w:p>
          <w:p>
            <w:pPr>
              <w:spacing w:before="1" w:line="219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感染性</w:t>
            </w:r>
          </w:p>
        </w:tc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>
            <w:pPr>
              <w:spacing w:before="61" w:line="217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固态</w:t>
            </w:r>
          </w:p>
          <w:p>
            <w:pPr>
              <w:spacing w:line="309" w:lineRule="exact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position w:val="5"/>
                <w:sz w:val="23"/>
                <w:szCs w:val="23"/>
              </w:rPr>
              <w:t>半固态</w:t>
            </w:r>
          </w:p>
          <w:p>
            <w:pPr>
              <w:spacing w:line="21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粉末态</w:t>
            </w:r>
          </w:p>
          <w:p>
            <w:pPr>
              <w:spacing w:before="17" w:line="217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颗粒态</w:t>
            </w:r>
          </w:p>
          <w:p>
            <w:pPr>
              <w:spacing w:line="211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液态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spacing w:before="31" w:line="199" w:lineRule="auto"/>
              <w:ind w:left="8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z w:val="23"/>
                <w:szCs w:val="23"/>
              </w:rPr>
              <w:t>水</w:t>
            </w:r>
          </w:p>
        </w:tc>
        <w:tc>
          <w:tcPr>
            <w:tcW w:w="1678" w:type="dxa"/>
            <w:vAlign w:val="top"/>
          </w:tcPr>
          <w:p>
            <w:pPr>
              <w:spacing w:before="90" w:line="189" w:lineRule="exact"/>
              <w:ind w:left="1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position w:val="-2"/>
                <w:sz w:val="23"/>
                <w:szCs w:val="23"/>
              </w:rPr>
              <w:t>2.5%</w:t>
            </w: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18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3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restart"/>
            <w:tcBorders>
              <w:bottom w:val="nil"/>
            </w:tcBorders>
            <w:vAlign w:val="top"/>
          </w:tcPr>
          <w:p>
            <w:pPr>
              <w:spacing w:before="134" w:line="21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腐蚀性</w:t>
            </w:r>
          </w:p>
          <w:p>
            <w:pPr>
              <w:spacing w:line="218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毒性</w:t>
            </w:r>
          </w:p>
          <w:p>
            <w:pPr>
              <w:spacing w:before="1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易燃性</w:t>
            </w:r>
          </w:p>
          <w:p>
            <w:pPr>
              <w:spacing w:line="220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反应性</w:t>
            </w:r>
          </w:p>
          <w:p>
            <w:pPr>
              <w:spacing w:before="14" w:line="220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感染性</w:t>
            </w:r>
          </w:p>
        </w:tc>
        <w:tc>
          <w:tcPr>
            <w:tcW w:w="1683" w:type="dxa"/>
            <w:vMerge w:val="restart"/>
            <w:tcBorders>
              <w:bottom w:val="nil"/>
            </w:tcBorders>
            <w:vAlign w:val="top"/>
          </w:tcPr>
          <w:p>
            <w:pPr>
              <w:spacing w:before="136" w:line="220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固态</w:t>
            </w:r>
          </w:p>
          <w:p>
            <w:pPr>
              <w:spacing w:before="5" w:line="232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半固态</w:t>
            </w:r>
          </w:p>
          <w:p>
            <w:pPr>
              <w:spacing w:line="21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粉末态</w:t>
            </w:r>
          </w:p>
          <w:p>
            <w:pPr>
              <w:spacing w:before="27" w:line="209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颗粒态</w:t>
            </w:r>
          </w:p>
          <w:p>
            <w:pPr>
              <w:spacing w:line="220" w:lineRule="auto"/>
              <w:ind w:left="11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液态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18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92" w:line="219" w:lineRule="auto"/>
        <w:ind w:left="548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第二部分：废物包装、运输情况</w:t>
      </w:r>
    </w:p>
    <w:p>
      <w:pPr>
        <w:spacing w:line="25" w:lineRule="exact"/>
      </w:pPr>
    </w:p>
    <w:tbl>
      <w:tblPr>
        <w:tblStyle w:val="4"/>
        <w:tblW w:w="924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4"/>
        <w:gridCol w:w="1628"/>
        <w:gridCol w:w="2068"/>
        <w:gridCol w:w="1418"/>
        <w:gridCol w:w="1388"/>
        <w:gridCol w:w="17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9249" w:type="dxa"/>
            <w:gridSpan w:val="6"/>
            <w:vAlign w:val="top"/>
          </w:tcPr>
          <w:p>
            <w:pPr>
              <w:spacing w:before="271" w:line="220" w:lineRule="auto"/>
              <w:ind w:left="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表1</w:t>
            </w: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废物包装情况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034" w:type="dxa"/>
            <w:vAlign w:val="top"/>
          </w:tcPr>
          <w:p>
            <w:pPr>
              <w:spacing w:before="272" w:line="221" w:lineRule="auto"/>
              <w:ind w:left="2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序号</w:t>
            </w:r>
          </w:p>
        </w:tc>
        <w:tc>
          <w:tcPr>
            <w:tcW w:w="1628" w:type="dxa"/>
            <w:vAlign w:val="top"/>
          </w:tcPr>
          <w:p>
            <w:pPr>
              <w:spacing w:before="251" w:line="220" w:lineRule="auto"/>
              <w:ind w:left="3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废物名称</w:t>
            </w:r>
          </w:p>
        </w:tc>
        <w:tc>
          <w:tcPr>
            <w:tcW w:w="2068" w:type="dxa"/>
            <w:vAlign w:val="top"/>
          </w:tcPr>
          <w:p>
            <w:pPr>
              <w:spacing w:before="271" w:line="220" w:lineRule="auto"/>
              <w:ind w:left="1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包装物(容器)名称</w:t>
            </w:r>
          </w:p>
        </w:tc>
        <w:tc>
          <w:tcPr>
            <w:tcW w:w="1418" w:type="dxa"/>
            <w:vAlign w:val="top"/>
          </w:tcPr>
          <w:p>
            <w:pPr>
              <w:spacing w:before="239" w:line="219" w:lineRule="auto"/>
              <w:ind w:left="4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2"/>
                <w:sz w:val="22"/>
                <w:szCs w:val="22"/>
              </w:rPr>
              <w:t>材质</w:t>
            </w:r>
          </w:p>
        </w:tc>
        <w:tc>
          <w:tcPr>
            <w:tcW w:w="1388" w:type="dxa"/>
            <w:vAlign w:val="top"/>
          </w:tcPr>
          <w:p>
            <w:pPr>
              <w:spacing w:before="241" w:line="220" w:lineRule="auto"/>
              <w:ind w:left="4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容积</w:t>
            </w:r>
          </w:p>
        </w:tc>
        <w:tc>
          <w:tcPr>
            <w:tcW w:w="1713" w:type="dxa"/>
            <w:vAlign w:val="top"/>
          </w:tcPr>
          <w:p>
            <w:pPr>
              <w:spacing w:before="271" w:line="220" w:lineRule="auto"/>
              <w:ind w:left="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>是否有危废标签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03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2" w:line="159" w:lineRule="exact"/>
              <w:ind w:left="4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position w:val="-3"/>
                <w:sz w:val="22"/>
                <w:szCs w:val="22"/>
              </w:rPr>
              <w:t>1</w:t>
            </w:r>
          </w:p>
        </w:tc>
        <w:tc>
          <w:tcPr>
            <w:tcW w:w="1628" w:type="dxa"/>
            <w:vAlign w:val="top"/>
          </w:tcPr>
          <w:p>
            <w:pPr>
              <w:spacing w:before="293" w:line="189" w:lineRule="auto"/>
              <w:ind w:left="3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5"/>
                <w:sz w:val="20"/>
                <w:szCs w:val="20"/>
              </w:rPr>
              <w:t>废矿物油</w:t>
            </w:r>
          </w:p>
        </w:tc>
        <w:tc>
          <w:tcPr>
            <w:tcW w:w="2068" w:type="dxa"/>
            <w:vAlign w:val="top"/>
          </w:tcPr>
          <w:p>
            <w:pPr>
              <w:spacing w:before="263" w:line="197" w:lineRule="auto"/>
              <w:ind w:left="69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槽罐车</w:t>
            </w:r>
          </w:p>
        </w:tc>
        <w:tc>
          <w:tcPr>
            <w:tcW w:w="1418" w:type="dxa"/>
            <w:vAlign w:val="top"/>
          </w:tcPr>
          <w:p>
            <w:pPr>
              <w:spacing w:before="244" w:line="213" w:lineRule="auto"/>
              <w:ind w:left="5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铁</w:t>
            </w:r>
          </w:p>
        </w:tc>
        <w:tc>
          <w:tcPr>
            <w:tcW w:w="1388" w:type="dxa"/>
            <w:vAlign w:val="top"/>
          </w:tcPr>
          <w:p>
            <w:pPr>
              <w:spacing w:before="253" w:line="205" w:lineRule="auto"/>
              <w:ind w:left="5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吨</w:t>
            </w:r>
          </w:p>
        </w:tc>
        <w:tc>
          <w:tcPr>
            <w:tcW w:w="1713" w:type="dxa"/>
            <w:vAlign w:val="top"/>
          </w:tcPr>
          <w:p>
            <w:pPr>
              <w:spacing w:before="244" w:line="213" w:lineRule="auto"/>
              <w:ind w:left="7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10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0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0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0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/>
    <w:p/>
    <w:p>
      <w:pPr>
        <w:spacing w:line="97" w:lineRule="exact"/>
      </w:pPr>
    </w:p>
    <w:tbl>
      <w:tblPr>
        <w:tblStyle w:val="4"/>
        <w:tblW w:w="9249" w:type="dxa"/>
        <w:tblInd w:w="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249" w:type="dxa"/>
            <w:vAlign w:val="top"/>
          </w:tcPr>
          <w:p>
            <w:pPr>
              <w:spacing w:before="210" w:line="219" w:lineRule="auto"/>
              <w:ind w:left="9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表2废物运输情况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3" w:hRule="atLeast"/>
        </w:trPr>
        <w:tc>
          <w:tcPr>
            <w:tcW w:w="9249" w:type="dxa"/>
            <w:vAlign w:val="top"/>
          </w:tcPr>
          <w:p>
            <w:pPr>
              <w:spacing w:before="280" w:line="219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运输是否符合交管部门运输相关规定(文字描述)</w:t>
            </w: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69" w:line="560" w:lineRule="exact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27"/>
                <w:sz w:val="21"/>
                <w:szCs w:val="21"/>
              </w:rPr>
              <w:t>使用经交通部门批准的危险品运输车辆(江苏恒进物流发展有限公司、淄博国林物流有限公司、</w:t>
            </w:r>
          </w:p>
          <w:p>
            <w:pPr>
              <w:spacing w:line="219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江苏天昊运输有限公司)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9249" w:type="dxa"/>
            <w:vAlign w:val="top"/>
          </w:tcPr>
          <w:p>
            <w:pPr>
              <w:spacing w:before="257" w:line="228" w:lineRule="auto"/>
              <w:ind w:left="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>运输方式：</w:t>
            </w:r>
            <w:r>
              <w:rPr>
                <w:rFonts w:ascii="宋体" w:hAnsi="宋体" w:eastAsia="宋体" w:cs="宋体"/>
                <w:spacing w:val="21"/>
                <w:sz w:val="21"/>
                <w:szCs w:val="21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>道路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>√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     </w:t>
            </w:r>
            <w:r>
              <w:rPr>
                <w:rFonts w:ascii="宋体" w:hAnsi="宋体" w:eastAsia="宋体" w:cs="宋体"/>
                <w:spacing w:val="-11"/>
                <w:position w:val="-1"/>
                <w:sz w:val="21"/>
                <w:szCs w:val="21"/>
              </w:rPr>
              <w:t>铁路□</w:t>
            </w:r>
            <w:r>
              <w:rPr>
                <w:rFonts w:ascii="宋体" w:hAnsi="宋体" w:eastAsia="宋体" w:cs="宋体"/>
                <w:spacing w:val="2"/>
                <w:position w:val="-1"/>
                <w:sz w:val="21"/>
                <w:szCs w:val="21"/>
              </w:rPr>
              <w:t xml:space="preserve">      </w:t>
            </w:r>
            <w:r>
              <w:rPr>
                <w:rFonts w:ascii="宋体" w:hAnsi="宋体" w:eastAsia="宋体" w:cs="宋体"/>
                <w:spacing w:val="-11"/>
                <w:position w:val="-1"/>
                <w:sz w:val="21"/>
                <w:szCs w:val="21"/>
              </w:rPr>
              <w:t>水路□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80" w:h="16830"/>
          <w:pgMar w:top="400" w:right="1405" w:bottom="0" w:left="1305" w:header="0" w:footer="0" w:gutter="0"/>
          <w:cols w:space="720" w:num="1"/>
        </w:sectPr>
      </w:pPr>
    </w:p>
    <w:p/>
    <w:p/>
    <w:p/>
    <w:p/>
    <w:p>
      <w:pPr>
        <w:spacing w:line="219" w:lineRule="exact"/>
      </w:pPr>
    </w:p>
    <w:tbl>
      <w:tblPr>
        <w:tblStyle w:val="4"/>
        <w:tblW w:w="924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8" w:hRule="atLeast"/>
        </w:trPr>
        <w:tc>
          <w:tcPr>
            <w:tcW w:w="9240" w:type="dxa"/>
            <w:tcBorders>
              <w:bottom w:val="nil"/>
            </w:tcBorders>
            <w:vAlign w:val="top"/>
          </w:tcPr>
          <w:p>
            <w:pPr>
              <w:spacing w:before="270" w:line="216" w:lineRule="auto"/>
              <w:ind w:left="104"/>
              <w:rPr>
                <w:rFonts w:ascii="宋体" w:hAnsi="宋体" w:eastAsia="宋体" w:cs="宋体"/>
                <w:sz w:val="22"/>
                <w:szCs w:val="22"/>
              </w:rPr>
            </w:pP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73025</wp:posOffset>
                  </wp:positionV>
                  <wp:extent cx="3124200" cy="7334250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10" cy="733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6"/>
                <w:sz w:val="22"/>
                <w:szCs w:val="22"/>
              </w:rPr>
              <w:t>运输路线文字描述：(写明途经省、市、县(区),附路线图)</w:t>
            </w: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36" w:line="219" w:lineRule="auto"/>
              <w:ind w:left="514"/>
              <w:rPr>
                <w:rFonts w:ascii="宋体" w:hAnsi="宋体" w:eastAsia="宋体" w:cs="宋体"/>
                <w:sz w:val="11"/>
                <w:szCs w:val="11"/>
              </w:rPr>
            </w:pPr>
            <w:r>
              <w:rPr>
                <w:rFonts w:ascii="宋体" w:hAnsi="宋体" w:eastAsia="宋体" w:cs="宋体"/>
                <w:color w:val="0600B0"/>
                <w:spacing w:val="-3"/>
                <w:sz w:val="11"/>
                <w:szCs w:val="11"/>
              </w:rPr>
              <w:t>据</w:t>
            </w:r>
            <w:r>
              <w:rPr>
                <w:rFonts w:ascii="宋体" w:hAnsi="宋体" w:eastAsia="宋体" w:cs="宋体"/>
                <w:color w:val="0600B0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color w:val="0600B0"/>
                <w:spacing w:val="-3"/>
                <w:sz w:val="11"/>
                <w:szCs w:val="11"/>
              </w:rPr>
              <w:t>平</w:t>
            </w:r>
            <w:r>
              <w:rPr>
                <w:rFonts w:ascii="宋体" w:hAnsi="宋体" w:eastAsia="宋体" w:cs="宋体"/>
                <w:color w:val="0600B0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宋体" w:hAnsi="宋体" w:eastAsia="宋体" w:cs="宋体"/>
                <w:color w:val="0600B0"/>
                <w:spacing w:val="-3"/>
                <w:sz w:val="11"/>
                <w:szCs w:val="11"/>
              </w:rPr>
              <w:t>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2" w:hRule="atLeast"/>
        </w:trPr>
        <w:tc>
          <w:tcPr>
            <w:tcW w:w="9240" w:type="dxa"/>
            <w:tcBorders>
              <w:top w:val="nil"/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1" w:line="221" w:lineRule="auto"/>
              <w:ind w:left="11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"/>
                <w:sz w:val="22"/>
                <w:szCs w:val="22"/>
              </w:rPr>
              <w:t>安吉甚</w:t>
            </w:r>
          </w:p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71" w:line="194" w:lineRule="auto"/>
              <w:ind w:left="19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8007E"/>
                <w:spacing w:val="21"/>
                <w:sz w:val="22"/>
                <w:szCs w:val="22"/>
              </w:rPr>
              <w:t>杭州大地海</w:t>
            </w:r>
          </w:p>
          <w:p>
            <w:pPr>
              <w:spacing w:line="220" w:lineRule="auto"/>
              <w:ind w:left="19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22"/>
                <w:sz w:val="22"/>
                <w:szCs w:val="22"/>
              </w:rPr>
              <w:t>洋环保股</w:t>
            </w:r>
          </w:p>
          <w:p>
            <w:pPr>
              <w:spacing w:before="102" w:line="188" w:lineRule="auto"/>
              <w:ind w:left="4224"/>
              <w:rPr>
                <w:rFonts w:ascii="宋体" w:hAnsi="宋体" w:eastAsia="宋体" w:cs="宋体"/>
                <w:sz w:val="10"/>
                <w:szCs w:val="10"/>
              </w:rPr>
            </w:pPr>
            <w:r>
              <w:rPr>
                <w:rFonts w:ascii="宋体" w:hAnsi="宋体" w:eastAsia="宋体" w:cs="宋体"/>
                <w:spacing w:val="2"/>
                <w:sz w:val="10"/>
                <w:szCs w:val="10"/>
              </w:rPr>
              <w:t>退</w:t>
            </w:r>
            <w:r>
              <w:rPr>
                <w:rFonts w:ascii="宋体" w:hAnsi="宋体" w:eastAsia="宋体" w:cs="宋体"/>
                <w:spacing w:val="6"/>
                <w:sz w:val="10"/>
                <w:szCs w:val="10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0"/>
                <w:szCs w:val="10"/>
              </w:rPr>
              <w:t>出</w:t>
            </w:r>
            <w:r>
              <w:rPr>
                <w:rFonts w:ascii="宋体" w:hAnsi="宋体" w:eastAsia="宋体" w:cs="宋体"/>
                <w:sz w:val="10"/>
                <w:szCs w:val="10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0"/>
                <w:szCs w:val="10"/>
              </w:rPr>
              <w:t>全  览</w:t>
            </w:r>
          </w:p>
          <w:p>
            <w:pPr>
              <w:spacing w:line="221" w:lineRule="auto"/>
              <w:ind w:left="28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>高通地圆</w:t>
            </w:r>
          </w:p>
          <w:p>
            <w:pPr>
              <w:spacing w:before="288" w:line="219" w:lineRule="auto"/>
              <w:ind w:left="104"/>
              <w:rPr>
                <w:rFonts w:ascii="宋体" w:hAnsi="宋体" w:eastAsia="宋体" w:cs="宋体"/>
                <w:sz w:val="16"/>
                <w:szCs w:val="16"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-119380</wp:posOffset>
                  </wp:positionV>
                  <wp:extent cx="825500" cy="889000"/>
                  <wp:effectExtent l="0" t="0" r="0" b="0"/>
                  <wp:wrapNone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76" cy="8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7"/>
                <w:sz w:val="16"/>
                <w:szCs w:val="16"/>
              </w:rPr>
              <w:t>杭州大地海洋——</w:t>
            </w:r>
            <w:r>
              <w:rPr>
                <w:rFonts w:ascii="宋体" w:hAnsi="宋体" w:eastAsia="宋体" w:cs="宋体"/>
                <w:spacing w:val="-51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6"/>
                <w:szCs w:val="16"/>
              </w:rPr>
              <w:t>临港路——余航互通——长深高速2沪直高速</w:t>
            </w:r>
          </w:p>
          <w:p>
            <w:pPr>
              <w:spacing w:before="171" w:line="219" w:lineRule="auto"/>
              <w:ind w:left="135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5"/>
                <w:sz w:val="16"/>
                <w:szCs w:val="16"/>
              </w:rPr>
              <w:t>——宜兴(西)互通——</w:t>
            </w:r>
            <w:r>
              <w:rPr>
                <w:rFonts w:ascii="宋体" w:hAnsi="宋体" w:eastAsia="宋体" w:cs="宋体"/>
                <w:spacing w:val="-45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6"/>
                <w:szCs w:val="16"/>
              </w:rPr>
              <w:t>官丰公路——五巷路——</w:t>
            </w:r>
            <w:r>
              <w:rPr>
                <w:rFonts w:ascii="宋体" w:hAnsi="宋体" w:eastAsia="宋体" w:cs="宋体"/>
                <w:spacing w:val="-51"/>
                <w:sz w:val="16"/>
                <w:szCs w:val="16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6"/>
                <w:szCs w:val="16"/>
              </w:rPr>
              <w:t>中突民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9240" w:type="dxa"/>
            <w:tcBorders>
              <w:top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72" w:line="219" w:lineRule="auto"/>
              <w:ind w:left="49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长深高速-沪宜湖高速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2220" w:h="17000"/>
          <w:pgMar w:top="400" w:right="1474" w:bottom="0" w:left="1495" w:header="0" w:footer="0" w:gutter="0"/>
          <w:cols w:space="720" w:num="1"/>
        </w:sectPr>
      </w:pPr>
    </w:p>
    <w:p/>
    <w:p/>
    <w:p/>
    <w:p/>
    <w:p>
      <w:pPr>
        <w:spacing w:line="129" w:lineRule="exact"/>
      </w:pPr>
    </w:p>
    <w:tbl>
      <w:tblPr>
        <w:tblStyle w:val="4"/>
        <w:tblW w:w="93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9359" w:type="dxa"/>
            <w:vAlign w:val="top"/>
          </w:tcPr>
          <w:p>
            <w:pPr>
              <w:spacing w:before="211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表3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转移的污染防治、安全防护和应急措施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7" w:hRule="atLeast"/>
        </w:trPr>
        <w:tc>
          <w:tcPr>
            <w:tcW w:w="9359" w:type="dxa"/>
            <w:vAlign w:val="top"/>
          </w:tcPr>
          <w:p>
            <w:pPr>
              <w:spacing w:before="59"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1、运输过程中的污染防治措施以及按照要求配备的相应污染防治设备</w:t>
            </w: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8" w:line="269" w:lineRule="auto"/>
              <w:ind w:left="115" w:right="64" w:firstLine="109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一旦发生泄露事件，运输人员应视情况立即向公司领导、环保、交警、110、120等报警，在运输车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辆后方设立警告标志，同时应立即寻找泄漏点，并设法堵住泄漏源，防止污染范围扩大。尽量将泄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漏废物进行收集，剩余部分用随车携带的木屑进行处理，如泄漏范围较大，应立即向公司应急指挥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小组汇报，要求公司增援。组织现场人员车辆疏散，与此同时迅速组织力量抢救遇险人员，将伤员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1"/>
                <w:szCs w:val="21"/>
              </w:rPr>
              <w:t>送往医院观察治疗。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7" w:hRule="atLeast"/>
        </w:trPr>
        <w:tc>
          <w:tcPr>
            <w:tcW w:w="9359" w:type="dxa"/>
            <w:vAlign w:val="top"/>
          </w:tcPr>
          <w:p>
            <w:pPr>
              <w:spacing w:before="292"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2、运输过程中的安全防护措施以及按照要求配备的相应安全防护设备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5" w:line="531" w:lineRule="auto"/>
              <w:ind w:left="115" w:firstLine="3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废矿物油的装卸、运输过程中主要易发生跑、冒、滴漏及火灾等环境风险事故，针对以上因素，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我公司采取以下相应防范措施，以保证装卸、运输过程中的万无一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失：废矿物油采用200L小口铁桶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加盖封装，并用厢式货车进行运输，每辆厢式货车除规定携带灭火器外，车厢内衬收集槽，并随车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带木屑与沙土。由专业人员进行运输，每车配押运员一名，在运输的过程中，基本按照避开闹市、</w:t>
            </w:r>
          </w:p>
          <w:p>
            <w:pPr>
              <w:spacing w:line="228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6"/>
                <w:sz w:val="20"/>
                <w:szCs w:val="20"/>
              </w:rPr>
              <w:t>居住区的原则，按固定线路行驶。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1" w:hRule="atLeast"/>
        </w:trPr>
        <w:tc>
          <w:tcPr>
            <w:tcW w:w="9359" w:type="dxa"/>
            <w:vAlign w:val="top"/>
          </w:tcPr>
          <w:p>
            <w:pPr>
              <w:spacing w:before="285"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3、运输过程中的应急预案以及按照要求配备的相应应急</w:t>
            </w:r>
            <w:r>
              <w:rPr>
                <w:rFonts w:ascii="宋体" w:hAnsi="宋体" w:eastAsia="宋体" w:cs="宋体"/>
                <w:sz w:val="21"/>
                <w:szCs w:val="21"/>
              </w:rPr>
              <w:t>设备</w:t>
            </w: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9" w:line="498" w:lineRule="auto"/>
              <w:ind w:left="115" w:right="70" w:firstLine="429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发生火灾，应立即启动应急预案指挥网络系统，组织员工做好自防自救工作，如火灾处于初始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阶段，应立即用灭火器将火苗扑灭，并阻断可燃物，如发生大面积燃烧，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甚至发生爆炸，应立即疏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散人员至警戒线外，隔离易燃物，防止火势蔓延，待消防部门到达事故现场后，公司应急救援系统</w:t>
            </w:r>
          </w:p>
          <w:p>
            <w:pPr>
              <w:spacing w:before="1" w:line="21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要配合消防等部门做好再次爆炸引发多处火灾的扑救准备，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同时做好人员的救护等工作。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80" w:h="16830"/>
          <w:pgMar w:top="400" w:right="1285" w:bottom="0" w:left="1325" w:header="0" w:footer="0" w:gutter="0"/>
          <w:cols w:space="720" w:num="1"/>
        </w:sect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91" w:line="222" w:lineRule="auto"/>
        <w:ind w:left="559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b/>
          <w:bCs/>
          <w:spacing w:val="-3"/>
          <w:sz w:val="28"/>
          <w:szCs w:val="28"/>
        </w:rPr>
        <w:t>第三部分</w:t>
      </w:r>
      <w:r>
        <w:rPr>
          <w:rFonts w:ascii="黑体" w:hAnsi="黑体" w:eastAsia="黑体" w:cs="黑体"/>
          <w:spacing w:val="61"/>
          <w:sz w:val="28"/>
          <w:szCs w:val="28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8"/>
          <w:szCs w:val="28"/>
        </w:rPr>
        <w:t>废物处理处置情况</w:t>
      </w:r>
    </w:p>
    <w:p>
      <w:pPr>
        <w:spacing w:line="32" w:lineRule="exact"/>
      </w:pPr>
    </w:p>
    <w:tbl>
      <w:tblPr>
        <w:tblStyle w:val="4"/>
        <w:tblW w:w="9359" w:type="dxa"/>
        <w:tblInd w:w="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39"/>
        <w:gridCol w:w="42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3" w:hRule="atLeast"/>
        </w:trPr>
        <w:tc>
          <w:tcPr>
            <w:tcW w:w="9359" w:type="dxa"/>
            <w:gridSpan w:val="2"/>
            <w:vAlign w:val="top"/>
          </w:tcPr>
          <w:p>
            <w:pPr>
              <w:spacing w:before="179" w:line="21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表1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 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接受单位基本情况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9359" w:type="dxa"/>
            <w:gridSpan w:val="2"/>
            <w:vAlign w:val="top"/>
          </w:tcPr>
          <w:p>
            <w:pPr>
              <w:spacing w:before="179"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单位名称：江苏中吴长润环能科技有限公司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5139" w:type="dxa"/>
            <w:vAlign w:val="top"/>
          </w:tcPr>
          <w:p>
            <w:pPr>
              <w:spacing w:before="300" w:line="218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危废经营许可证编号：JSCZ0412OOD035-6</w:t>
            </w:r>
          </w:p>
        </w:tc>
        <w:tc>
          <w:tcPr>
            <w:tcW w:w="4220" w:type="dxa"/>
            <w:vAlign w:val="top"/>
          </w:tcPr>
          <w:p>
            <w:pPr>
              <w:spacing w:before="193" w:line="220" w:lineRule="auto"/>
              <w:ind w:left="1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有效期：2021.10-2025.8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1" w:hRule="atLeast"/>
        </w:trPr>
        <w:tc>
          <w:tcPr>
            <w:tcW w:w="9359" w:type="dxa"/>
            <w:gridSpan w:val="2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</w:p>
          <w:p>
            <w:pPr>
              <w:spacing w:before="68"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经营核准内容(废物名称、类别、数量):处置、利用废矿物油(HW0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8)50000吨/年</w:t>
            </w:r>
          </w:p>
        </w:tc>
      </w:tr>
    </w:tbl>
    <w:p/>
    <w:p/>
    <w:p>
      <w:pPr>
        <w:spacing w:line="96" w:lineRule="exact"/>
      </w:pPr>
    </w:p>
    <w:tbl>
      <w:tblPr>
        <w:tblStyle w:val="4"/>
        <w:tblW w:w="93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9350" w:type="dxa"/>
            <w:vAlign w:val="top"/>
          </w:tcPr>
          <w:p>
            <w:pPr>
              <w:spacing w:before="200" w:line="21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表2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 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与接收废物相关的处理处置情况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6" w:hRule="atLeast"/>
        </w:trPr>
        <w:tc>
          <w:tcPr>
            <w:tcW w:w="9350" w:type="dxa"/>
            <w:vAlign w:val="top"/>
          </w:tcPr>
          <w:p>
            <w:pPr>
              <w:spacing w:before="41" w:line="234" w:lineRule="auto"/>
              <w:ind w:left="115" w:right="76" w:firstLine="42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>公司将产废单位废润滑油(含水率&lt;3%、含渣率&lt;0.5%)经危险品运输车运输入厂后，先经过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地磅称重，化验室对油品进行抽样化验，符合公司废油回收标准的，开具入库单入库，入库废油放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入零位罐，经过滤去除机械杂质后由泵打入废油储罐。废油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通过加温切水后进入精分装置闪蒸，囚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顶油气直接进入常压塔顶部，侧线部分进入加氢装置。闪蒸塔底油加热后进入常压蒸馏塔。常压塔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底油加热后进入减压塔，在减压条件下进行蒸馏。塔顶部分、侧线部分基础油进入加氢装置，塔底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>重组分作为产品。</w:t>
            </w:r>
          </w:p>
          <w:p>
            <w:pPr>
              <w:spacing w:before="280" w:line="499" w:lineRule="auto"/>
              <w:ind w:left="115" w:firstLine="299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侧线油装置的基础油进入储罐后一起由泵经过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加热后进入一段加氢单元，通过加氢处理催化剂、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降凝催化剂反应后进入汽提塔分馏，轻组分石脑油外送产品储罐，重组分进入二段加氢单元，油品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在二段加氢单元加热后进入补充精制反应器反应后进入常压分馏塔，塔顶和侧线的石脑油和轻质燃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料油作为产品外送储罐，塔底油继续经过加热后进入减压分馏塔，在真空状态下，油品根据馏分组</w:t>
            </w:r>
          </w:p>
          <w:p>
            <w:pPr>
              <w:spacing w:line="21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成不同从侧线分别馏出，主要产品分别为3#白油、变压器油、15#白油、32#白油、橡胶填充油。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80" w:h="16830"/>
          <w:pgMar w:top="400" w:right="1285" w:bottom="0" w:left="1314" w:header="0" w:footer="0" w:gutter="0"/>
          <w:cols w:space="720" w:num="1"/>
        </w:sectPr>
      </w:pPr>
    </w:p>
    <w:p/>
    <w:p/>
    <w:p/>
    <w:p/>
    <w:p>
      <w:pPr>
        <w:spacing w:line="119" w:lineRule="exact"/>
      </w:pPr>
    </w:p>
    <w:tbl>
      <w:tblPr>
        <w:tblStyle w:val="4"/>
        <w:tblW w:w="9359" w:type="dxa"/>
        <w:tblInd w:w="5" w:type="dxa"/>
        <w:tblBorders>
          <w:top w:val="none" w:color="000000" w:sz="8" w:space="0"/>
          <w:left w:val="none" w:color="000000" w:sz="8" w:space="0"/>
          <w:bottom w:val="none" w:color="000000" w:sz="8" w:space="0"/>
          <w:right w:val="none" w:color="000000" w:sz="8" w:space="0"/>
          <w:insideH w:val="none" w:color="000000" w:sz="8" w:space="0"/>
          <w:insideV w:val="non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5"/>
        <w:gridCol w:w="1483"/>
        <w:gridCol w:w="2003"/>
        <w:gridCol w:w="2373"/>
        <w:gridCol w:w="1815"/>
      </w:tblGrid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</w:tblPrEx>
        <w:trPr>
          <w:trHeight w:val="706" w:hRule="atLeast"/>
        </w:trPr>
        <w:tc>
          <w:tcPr>
            <w:tcW w:w="9359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62" w:line="220" w:lineRule="auto"/>
              <w:ind w:left="36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废油处置工艺流程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168" w:type="dxa"/>
            <w:gridSpan w:val="2"/>
            <w:tcBorders>
              <w:left w:val="single" w:color="000000" w:sz="4" w:space="0"/>
            </w:tcBorders>
            <w:vAlign w:val="top"/>
          </w:tcPr>
          <w:p>
            <w:pPr>
              <w:spacing w:before="75" w:line="220" w:lineRule="auto"/>
              <w:ind w:left="2185"/>
              <w:rPr>
                <w:rFonts w:ascii="宋体" w:hAnsi="宋体" w:eastAsia="宋体" w:cs="宋体"/>
                <w:sz w:val="14"/>
                <w:szCs w:val="14"/>
              </w:rPr>
            </w:pPr>
            <w: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0</wp:posOffset>
                  </wp:positionV>
                  <wp:extent cx="5156200" cy="3041650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27" cy="304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00297C"/>
                <w:spacing w:val="-2"/>
                <w:sz w:val="14"/>
                <w:szCs w:val="14"/>
              </w:rPr>
              <w:t>废油</w:t>
            </w:r>
          </w:p>
        </w:tc>
        <w:tc>
          <w:tcPr>
            <w:tcW w:w="6191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spacing w:before="85" w:line="221" w:lineRule="auto"/>
              <w:ind w:left="31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680"/>
                <w:spacing w:val="-2"/>
                <w:sz w:val="14"/>
                <w:szCs w:val="14"/>
              </w:rPr>
              <w:t>一段加氢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</w:tblPrEx>
        <w:trPr>
          <w:trHeight w:val="668" w:hRule="atLeast"/>
        </w:trPr>
        <w:tc>
          <w:tcPr>
            <w:tcW w:w="3168" w:type="dxa"/>
            <w:gridSpan w:val="2"/>
            <w:tcBorders>
              <w:left w:val="single" w:color="000000" w:sz="4" w:space="0"/>
            </w:tcBorders>
            <w:vAlign w:val="top"/>
          </w:tcPr>
          <w:p>
            <w:pPr>
              <w:spacing w:before="216" w:line="221" w:lineRule="auto"/>
              <w:ind w:left="20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384"/>
                <w:spacing w:val="-1"/>
                <w:sz w:val="14"/>
                <w:szCs w:val="14"/>
              </w:rPr>
              <w:t>化验，称重</w:t>
            </w:r>
          </w:p>
        </w:tc>
        <w:tc>
          <w:tcPr>
            <w:tcW w:w="6191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spacing w:before="284" w:line="219" w:lineRule="auto"/>
              <w:ind w:left="30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17A"/>
                <w:spacing w:val="-2"/>
                <w:sz w:val="14"/>
                <w:szCs w:val="14"/>
              </w:rPr>
              <w:t>加氧处理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3168" w:type="dxa"/>
            <w:gridSpan w:val="2"/>
            <w:tcBorders>
              <w:left w:val="single" w:color="000000" w:sz="4" w:space="0"/>
            </w:tcBorders>
            <w:vAlign w:val="top"/>
          </w:tcPr>
          <w:p>
            <w:pPr>
              <w:spacing w:before="247" w:line="219" w:lineRule="auto"/>
              <w:ind w:left="20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B8E"/>
                <w:spacing w:val="-1"/>
                <w:sz w:val="14"/>
                <w:szCs w:val="14"/>
              </w:rPr>
              <w:t>过滤，去杂</w:t>
            </w:r>
          </w:p>
        </w:tc>
        <w:tc>
          <w:tcPr>
            <w:tcW w:w="4376" w:type="dxa"/>
            <w:gridSpan w:val="2"/>
            <w:vAlign w:val="top"/>
          </w:tcPr>
          <w:p>
            <w:pPr>
              <w:spacing w:before="278" w:line="220" w:lineRule="auto"/>
              <w:ind w:left="30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479"/>
                <w:spacing w:val="-2"/>
                <w:sz w:val="14"/>
                <w:szCs w:val="14"/>
              </w:rPr>
              <w:t>汽提分馏</w:t>
            </w:r>
          </w:p>
        </w:tc>
        <w:tc>
          <w:tcPr>
            <w:tcW w:w="1815" w:type="dxa"/>
            <w:tcBorders>
              <w:right w:val="single" w:color="000000" w:sz="4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46" w:line="221" w:lineRule="auto"/>
              <w:ind w:left="8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98A"/>
                <w:spacing w:val="4"/>
                <w:sz w:val="14"/>
                <w:szCs w:val="14"/>
              </w:rPr>
              <w:t>石脑油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3168" w:type="dxa"/>
            <w:gridSpan w:val="2"/>
            <w:tcBorders>
              <w:left w:val="single" w:color="000000" w:sz="4" w:space="0"/>
            </w:tcBorders>
            <w:vAlign w:val="top"/>
          </w:tcPr>
          <w:p>
            <w:pPr>
              <w:spacing w:before="261" w:line="219" w:lineRule="auto"/>
              <w:ind w:left="20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A7F"/>
                <w:spacing w:val="-2"/>
                <w:sz w:val="14"/>
                <w:szCs w:val="14"/>
              </w:rPr>
              <w:t>加温脱水</w:t>
            </w:r>
          </w:p>
        </w:tc>
        <w:tc>
          <w:tcPr>
            <w:tcW w:w="6191" w:type="dxa"/>
            <w:gridSpan w:val="3"/>
            <w:tcBorders>
              <w:right w:val="single" w:color="000000" w:sz="4" w:space="0"/>
            </w:tcBorders>
            <w:vAlign w:val="top"/>
          </w:tcPr>
          <w:p>
            <w:pPr>
              <w:spacing w:before="252" w:line="221" w:lineRule="auto"/>
              <w:ind w:left="31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57D"/>
                <w:spacing w:val="-2"/>
                <w:sz w:val="14"/>
                <w:szCs w:val="14"/>
              </w:rPr>
              <w:t>二段加氢</w:t>
            </w:r>
          </w:p>
        </w:tc>
      </w:tr>
      <w:tr>
        <w:tblPrEx>
          <w:tblBorders>
            <w:top w:val="none" w:color="000000" w:sz="8" w:space="0"/>
            <w:left w:val="none" w:color="000000" w:sz="8" w:space="0"/>
            <w:bottom w:val="none" w:color="000000" w:sz="8" w:space="0"/>
            <w:right w:val="none" w:color="000000" w:sz="8" w:space="0"/>
            <w:insideH w:val="none" w:color="000000" w:sz="8" w:space="0"/>
            <w:insideV w:val="non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8" w:hRule="atLeast"/>
        </w:trPr>
        <w:tc>
          <w:tcPr>
            <w:tcW w:w="1685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8" w:line="219" w:lineRule="auto"/>
              <w:ind w:left="7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673"/>
                <w:spacing w:val="-1"/>
                <w:sz w:val="14"/>
                <w:szCs w:val="14"/>
              </w:rPr>
              <w:t>轻质油进常压</w:t>
            </w:r>
          </w:p>
          <w:p>
            <w:pPr>
              <w:spacing w:before="25" w:line="221" w:lineRule="auto"/>
              <w:ind w:left="11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B80"/>
                <w:sz w:val="14"/>
                <w:szCs w:val="14"/>
              </w:rPr>
              <w:t>塔</w:t>
            </w:r>
          </w:p>
        </w:tc>
        <w:tc>
          <w:tcPr>
            <w:tcW w:w="1483" w:type="dxa"/>
            <w:tcBorders>
              <w:bottom w:val="single" w:color="000000" w:sz="4" w:space="0"/>
            </w:tcBorders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45" w:line="221" w:lineRule="auto"/>
              <w:ind w:left="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A8C"/>
                <w:spacing w:val="4"/>
                <w:sz w:val="14"/>
                <w:szCs w:val="14"/>
              </w:rPr>
              <w:t>网蒸</w:t>
            </w:r>
          </w:p>
          <w:p>
            <w:pPr>
              <w:spacing w:line="472" w:lineRule="auto"/>
              <w:rPr>
                <w:rFonts w:ascii="Arial"/>
                <w:sz w:val="21"/>
              </w:rPr>
            </w:pPr>
          </w:p>
          <w:p>
            <w:pPr>
              <w:spacing w:before="45" w:line="220" w:lineRule="auto"/>
              <w:ind w:left="1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281"/>
                <w:spacing w:val="-1"/>
                <w:sz w:val="14"/>
                <w:szCs w:val="14"/>
              </w:rPr>
              <w:t>加热、常压蒸溜</w:t>
            </w:r>
          </w:p>
          <w:p>
            <w:pPr>
              <w:spacing w:line="455" w:lineRule="auto"/>
              <w:rPr>
                <w:rFonts w:ascii="Arial"/>
                <w:sz w:val="21"/>
              </w:rPr>
            </w:pPr>
          </w:p>
          <w:p>
            <w:pPr>
              <w:spacing w:before="45" w:line="221" w:lineRule="auto"/>
              <w:ind w:left="2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376"/>
                <w:spacing w:val="-1"/>
                <w:sz w:val="14"/>
                <w:szCs w:val="14"/>
              </w:rPr>
              <w:t>加热、减压蒸馏</w:t>
            </w: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45" w:line="219" w:lineRule="auto"/>
              <w:ind w:left="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775"/>
                <w:spacing w:val="-1"/>
                <w:sz w:val="14"/>
                <w:szCs w:val="14"/>
              </w:rPr>
              <w:t>重质燃料油进成品库</w:t>
            </w:r>
          </w:p>
        </w:tc>
        <w:tc>
          <w:tcPr>
            <w:tcW w:w="2003" w:type="dxa"/>
            <w:tcBorders>
              <w:bottom w:val="single" w:color="000000" w:sz="4" w:space="0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46" w:line="220" w:lineRule="auto"/>
              <w:ind w:left="1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z w:val="14"/>
                <w:szCs w:val="14"/>
              </w:rPr>
              <w:t>润</w:t>
            </w:r>
            <w:r>
              <w:rPr>
                <w:rFonts w:ascii="宋体" w:hAnsi="宋体" w:eastAsia="宋体" w:cs="宋体"/>
                <w:color w:val="00227E"/>
                <w:sz w:val="14"/>
                <w:szCs w:val="14"/>
              </w:rPr>
              <w:t>滑油基础油</w:t>
            </w: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45" w:line="219" w:lineRule="auto"/>
              <w:ind w:left="58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F86"/>
                <w:spacing w:val="4"/>
                <w:sz w:val="14"/>
                <w:szCs w:val="14"/>
              </w:rPr>
              <w:t>轻质油</w:t>
            </w: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46" w:line="22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97E"/>
                <w:spacing w:val="7"/>
                <w:sz w:val="14"/>
                <w:szCs w:val="14"/>
              </w:rPr>
              <w:t>蜡油</w:t>
            </w:r>
          </w:p>
        </w:tc>
        <w:tc>
          <w:tcPr>
            <w:tcW w:w="2373" w:type="dxa"/>
            <w:tcBorders>
              <w:bottom w:val="single" w:color="000000" w:sz="4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46" w:line="219" w:lineRule="auto"/>
              <w:ind w:left="114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b/>
                <w:bCs/>
                <w:color w:val="002077"/>
                <w:spacing w:val="-3"/>
                <w:sz w:val="14"/>
                <w:szCs w:val="14"/>
              </w:rPr>
              <w:t>补充精制</w:t>
            </w:r>
          </w:p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46" w:line="220" w:lineRule="auto"/>
              <w:ind w:left="98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b/>
                <w:bCs/>
                <w:color w:val="001C78"/>
                <w:spacing w:val="-3"/>
                <w:sz w:val="14"/>
                <w:szCs w:val="14"/>
              </w:rPr>
              <w:t>加热、常压分调</w:t>
            </w:r>
          </w:p>
          <w:p>
            <w:pPr>
              <w:spacing w:line="377" w:lineRule="auto"/>
              <w:rPr>
                <w:rFonts w:ascii="Arial"/>
                <w:sz w:val="21"/>
              </w:rPr>
            </w:pPr>
          </w:p>
          <w:p>
            <w:pPr>
              <w:spacing w:before="45" w:line="219" w:lineRule="auto"/>
              <w:ind w:left="9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879"/>
                <w:spacing w:val="-1"/>
                <w:sz w:val="14"/>
                <w:szCs w:val="14"/>
              </w:rPr>
              <w:t>加执、咸压基催</w:t>
            </w:r>
          </w:p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46" w:line="219" w:lineRule="auto"/>
              <w:ind w:left="10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spacing w:val="-1"/>
                <w:sz w:val="14"/>
                <w:szCs w:val="14"/>
              </w:rPr>
              <w:t>橡胶填充油</w:t>
            </w:r>
          </w:p>
        </w:tc>
        <w:tc>
          <w:tcPr>
            <w:tcW w:w="1815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45" w:line="221" w:lineRule="auto"/>
              <w:ind w:left="42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F83"/>
                <w:spacing w:val="4"/>
                <w:sz w:val="14"/>
                <w:szCs w:val="14"/>
              </w:rPr>
              <w:t>石脑油</w:t>
            </w:r>
          </w:p>
          <w:p>
            <w:pPr>
              <w:spacing w:before="31" w:line="219" w:lineRule="auto"/>
              <w:ind w:left="42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D7B"/>
                <w:spacing w:val="2"/>
                <w:sz w:val="14"/>
                <w:szCs w:val="14"/>
              </w:rPr>
              <w:t>轻质燃料油</w:t>
            </w:r>
          </w:p>
          <w:p>
            <w:pPr>
              <w:spacing w:before="196" w:line="222" w:lineRule="auto"/>
              <w:ind w:left="55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382"/>
                <w:spacing w:val="3"/>
                <w:sz w:val="14"/>
                <w:szCs w:val="14"/>
              </w:rPr>
              <w:t>3#白油</w:t>
            </w:r>
          </w:p>
          <w:p>
            <w:pPr>
              <w:spacing w:before="20" w:line="221" w:lineRule="auto"/>
              <w:ind w:left="53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2884"/>
                <w:spacing w:val="3"/>
                <w:sz w:val="14"/>
                <w:szCs w:val="14"/>
              </w:rPr>
              <w:t>变压器油</w:t>
            </w:r>
          </w:p>
          <w:p>
            <w:pPr>
              <w:spacing w:before="63" w:line="222" w:lineRule="auto"/>
              <w:ind w:left="5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0F94"/>
                <w:spacing w:val="2"/>
                <w:sz w:val="14"/>
                <w:szCs w:val="14"/>
              </w:rPr>
              <w:t>15#白油</w:t>
            </w:r>
          </w:p>
          <w:p>
            <w:pPr>
              <w:spacing w:before="62" w:line="222" w:lineRule="auto"/>
              <w:ind w:left="5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001E95"/>
                <w:spacing w:val="2"/>
                <w:sz w:val="14"/>
                <w:szCs w:val="14"/>
              </w:rPr>
              <w:t>32=白油</w:t>
            </w:r>
          </w:p>
        </w:tc>
      </w:tr>
    </w:tbl>
    <w:p>
      <w:pPr>
        <w:rPr>
          <w:rFonts w:ascii="Arial"/>
          <w:sz w:val="21"/>
        </w:rPr>
      </w:pPr>
    </w:p>
    <w:sectPr>
      <w:pgSz w:w="11980" w:h="16830"/>
      <w:pgMar w:top="400" w:right="1255" w:bottom="0" w:left="135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WRiNDI5ODRlZDE2MjU2ZDUwNzBhZDJiZGI1NWI5MDMifQ=="/>
  </w:docVars>
  <w:rsids>
    <w:rsidRoot w:val="00000000"/>
    <w:rsid w:val="12CF09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2023-02-23T16:44:00Z</dcterms:created>
  <dc:creator>Kingsoft-PDF</dc:creator>
  <cp:lastModifiedBy>.</cp:lastModifiedBy>
  <dcterms:modified xsi:type="dcterms:W3CDTF">2023-02-23T08:45:47Z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2023-02-23T16:44:05Z</vt:filetime>
  </property>
  <property fmtid="{D5CDD505-2E9C-101B-9397-08002B2CF9AE}" pid="4" name="UsrData">
    <vt:lpwstr>63f727420c8b2900156961b7</vt:lpwstr>
  </property>
  <property fmtid="{D5CDD505-2E9C-101B-9397-08002B2CF9AE}" pid="5" name="KSOProductBuildVer">
    <vt:lpwstr>2052-11.1.0.13703</vt:lpwstr>
  </property>
  <property fmtid="{D5CDD505-2E9C-101B-9397-08002B2CF9AE}" pid="6" name="ICV">
    <vt:lpwstr>74CFA424D73A408F9801B0E73974A351</vt:lpwstr>
  </property>
</Properties>
</file>