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方正仿宋_GBK"/>
          <w:sz w:val="32"/>
          <w:szCs w:val="32"/>
          <w:lang w:eastAsia="zh-CN"/>
        </w:rPr>
      </w:pPr>
      <w:r>
        <w:rPr>
          <w:rFonts w:ascii="Times New Roman" w:hAnsi="方正仿宋_GBK" w:eastAsia="方正仿宋_GBK"/>
          <w:sz w:val="32"/>
          <w:szCs w:val="32"/>
        </w:rPr>
        <w:t>附件</w:t>
      </w:r>
      <w:r>
        <w:rPr>
          <w:rFonts w:hint="eastAsia" w:ascii="Times New Roman" w:hAnsi="Times New Roman" w:eastAsia="方正仿宋_GBK"/>
          <w:sz w:val="32"/>
          <w:szCs w:val="32"/>
          <w:lang w:val="en-US" w:eastAsia="zh-CN"/>
        </w:rPr>
        <w:t>2</w:t>
      </w:r>
    </w:p>
    <w:p>
      <w:pPr>
        <w:jc w:val="center"/>
        <w:rPr>
          <w:rFonts w:ascii="Times New Roman" w:hAnsi="Times New Roman" w:eastAsia="黑体"/>
          <w:sz w:val="52"/>
        </w:rPr>
      </w:pPr>
    </w:p>
    <w:p>
      <w:pPr>
        <w:jc w:val="center"/>
        <w:rPr>
          <w:rFonts w:ascii="Times New Roman" w:hAnsi="Times New Roman" w:eastAsia="黑体"/>
          <w:sz w:val="52"/>
        </w:rPr>
      </w:pPr>
    </w:p>
    <w:p>
      <w:pPr>
        <w:jc w:val="center"/>
        <w:rPr>
          <w:rFonts w:ascii="Times New Roman" w:hAnsi="Times New Roman" w:eastAsia="方正小标宋_GBK"/>
          <w:b/>
          <w:sz w:val="52"/>
          <w:szCs w:val="52"/>
        </w:rPr>
      </w:pPr>
    </w:p>
    <w:p>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pPr>
        <w:jc w:val="center"/>
        <w:rPr>
          <w:rFonts w:ascii="Times New Roman" w:hAnsi="Times New Roman"/>
          <w:sz w:val="52"/>
        </w:rPr>
      </w:pPr>
    </w:p>
    <w:p>
      <w:pPr>
        <w:jc w:val="center"/>
        <w:rPr>
          <w:rFonts w:ascii="Times New Roman" w:hAnsi="Times New Roman"/>
          <w:sz w:val="52"/>
        </w:rPr>
      </w:pPr>
    </w:p>
    <w:p>
      <w:pPr>
        <w:jc w:val="cente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tabs>
          <w:tab w:val="left" w:pos="5940"/>
        </w:tabs>
        <w:snapToGrid w:val="0"/>
        <w:jc w:val="left"/>
        <w:rPr>
          <w:rFonts w:ascii="Times New Roman" w:hAnsi="Times New Roman"/>
          <w:b/>
          <w:sz w:val="32"/>
        </w:rPr>
      </w:pPr>
      <w:r>
        <w:rPr>
          <w:rFonts w:ascii="Times New Roman" w:hAnsi="宋体"/>
          <w:b/>
          <w:sz w:val="32"/>
        </w:rPr>
        <w:t>申请单位：</w:t>
      </w:r>
      <w:r>
        <w:rPr>
          <w:rFonts w:ascii="Times New Roman" w:hAnsi="Times New Roman"/>
          <w:b/>
          <w:sz w:val="32"/>
          <w:u w:val="single"/>
        </w:rPr>
        <w:t xml:space="preserve"> </w:t>
      </w:r>
      <w:bookmarkStart w:id="0" w:name="_GoBack"/>
      <w:r>
        <w:rPr>
          <w:rFonts w:hint="eastAsia" w:ascii="Times New Roman" w:hAnsi="Times New Roman"/>
          <w:b/>
          <w:sz w:val="32"/>
          <w:u w:val="single"/>
          <w:lang w:val="en-US" w:eastAsia="zh-CN"/>
        </w:rPr>
        <w:t>青岛海绿源</w:t>
      </w:r>
      <w:bookmarkEnd w:id="0"/>
      <w:r>
        <w:rPr>
          <w:rFonts w:hint="eastAsia" w:ascii="Times New Roman" w:hAnsi="Times New Roman"/>
          <w:b/>
          <w:sz w:val="32"/>
          <w:u w:val="single"/>
          <w:lang w:val="en-US" w:eastAsia="zh-CN"/>
        </w:rPr>
        <w:t>循环科技有限公司</w:t>
      </w:r>
      <w:r>
        <w:rPr>
          <w:rFonts w:ascii="Times New Roman" w:hAnsi="Times New Roman"/>
          <w:b/>
          <w:sz w:val="32"/>
          <w:u w:val="single"/>
        </w:rPr>
        <w:t xml:space="preserve"> </w:t>
      </w:r>
      <w:r>
        <w:rPr>
          <w:rFonts w:ascii="Times New Roman" w:hAnsi="宋体"/>
          <w:b/>
          <w:sz w:val="32"/>
        </w:rPr>
        <w:t>（公章）</w:t>
      </w:r>
    </w:p>
    <w:p>
      <w:pPr>
        <w:tabs>
          <w:tab w:val="left" w:pos="5940"/>
        </w:tabs>
        <w:snapToGrid w:val="0"/>
        <w:rPr>
          <w:rFonts w:ascii="Times New Roman" w:hAnsi="Times New Roman"/>
          <w:b/>
          <w:sz w:val="32"/>
        </w:rPr>
      </w:pPr>
    </w:p>
    <w:p>
      <w:pPr>
        <w:tabs>
          <w:tab w:val="left" w:pos="5940"/>
        </w:tabs>
        <w:snapToGrid w:val="0"/>
        <w:rPr>
          <w:rFonts w:ascii="Times New Roman" w:hAnsi="Times New Roman"/>
          <w:b/>
          <w:sz w:val="32"/>
        </w:rPr>
      </w:pPr>
    </w:p>
    <w:p>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lang w:val="en-US" w:eastAsia="zh-CN"/>
        </w:rPr>
        <w:t xml:space="preserve">2023年2月3日 </w:t>
      </w:r>
      <w:r>
        <w:rPr>
          <w:rFonts w:ascii="Times New Roman" w:hAnsi="Times New Roman"/>
          <w:b/>
          <w:sz w:val="32"/>
          <w:u w:val="single"/>
        </w:rPr>
        <w:t xml:space="preserve">          </w:t>
      </w:r>
      <w:r>
        <w:rPr>
          <w:rFonts w:ascii="Times New Roman" w:hAnsi="Times New Roman"/>
          <w:b/>
          <w:sz w:val="32"/>
        </w:rPr>
        <w:t xml:space="preserve">     </w:t>
      </w: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eastAsia="楷体_GB2312"/>
          <w:spacing w:val="20"/>
          <w:sz w:val="30"/>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720" w:num="1"/>
          <w:docGrid w:type="lines" w:linePitch="286" w:charSpace="0"/>
        </w:sectPr>
      </w:pPr>
      <w:r>
        <w:rPr>
          <w:rFonts w:ascii="Times New Roman" w:hAnsi="宋体"/>
          <w:b/>
          <w:sz w:val="24"/>
        </w:rPr>
        <w:t>江苏省环境保护厅制</w:t>
      </w:r>
    </w:p>
    <w:p>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pPr>
        <w:ind w:right="-758" w:rightChars="-361"/>
        <w:jc w:val="center"/>
        <w:rPr>
          <w:rFonts w:ascii="Times New Roman" w:hAnsi="Times New Roman" w:eastAsia="方正小标宋_GBK"/>
          <w:b/>
          <w:sz w:val="44"/>
          <w:szCs w:val="44"/>
        </w:rPr>
      </w:pPr>
    </w:p>
    <w:p>
      <w:pPr>
        <w:spacing w:line="360" w:lineRule="auto"/>
        <w:ind w:left="-210" w:leftChars="-100" w:right="-210" w:rightChars="-100" w:firstLine="640" w:firstLineChars="200"/>
        <w:rPr>
          <w:rFonts w:ascii="Times New Roman" w:hAnsi="Times New Roman" w:eastAsia="方正仿宋_GBK"/>
          <w:sz w:val="32"/>
          <w:szCs w:val="32"/>
        </w:rPr>
      </w:pPr>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p>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pPr>
        <w:ind w:left="-210" w:leftChars="-100" w:right="-210" w:rightChars="-100" w:firstLine="1264"/>
        <w:rPr>
          <w:rFonts w:ascii="Times New Roman" w:hAnsi="Times New Roman" w:eastAsia="方正仿宋_GBK"/>
          <w:sz w:val="36"/>
          <w:szCs w:val="36"/>
        </w:rPr>
      </w:pPr>
    </w:p>
    <w:p>
      <w:pPr>
        <w:ind w:left="-210" w:leftChars="-100" w:right="-210" w:rightChars="-100" w:firstLine="1264"/>
        <w:rPr>
          <w:rFonts w:ascii="Times New Roman" w:hAnsi="Times New Roman" w:eastAsia="方正仿宋_GBK"/>
          <w:sz w:val="36"/>
          <w:szCs w:val="36"/>
        </w:rPr>
      </w:pPr>
    </w:p>
    <w:p>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pPr>
        <w:ind w:left="-210" w:leftChars="-100" w:right="-210" w:rightChars="-100" w:firstLine="1264"/>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法人代表签字：</w:t>
      </w:r>
    </w:p>
    <w:p>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hint="eastAsia" w:ascii="Times New Roman" w:hAnsi="Times New Roman"/>
          <w:sz w:val="36"/>
          <w:szCs w:val="36"/>
          <w:lang w:val="en-US" w:eastAsia="zh-CN"/>
        </w:rPr>
        <w:t xml:space="preserve">      </w:t>
      </w:r>
      <w:r>
        <w:rPr>
          <w:rFonts w:ascii="Times New Roman" w:hAnsi="方正仿宋_GBK" w:eastAsia="方正仿宋_GBK"/>
          <w:sz w:val="32"/>
          <w:szCs w:val="32"/>
        </w:rPr>
        <w:t>年</w:t>
      </w:r>
      <w:r>
        <w:rPr>
          <w:rFonts w:ascii="Times New Roman" w:hAnsi="Times New Roman" w:eastAsia="方正仿宋_GBK"/>
          <w:sz w:val="32"/>
          <w:szCs w:val="32"/>
        </w:rPr>
        <w:t xml:space="preserve">    </w:t>
      </w:r>
      <w:r>
        <w:rPr>
          <w:rFonts w:ascii="Times New Roman" w:hAnsi="方正仿宋_GBK" w:eastAsia="方正仿宋_GBK"/>
          <w:sz w:val="32"/>
          <w:szCs w:val="32"/>
        </w:rPr>
        <w:t>月</w:t>
      </w:r>
      <w:r>
        <w:rPr>
          <w:rFonts w:hint="eastAsia" w:ascii="Times New Roman" w:hAnsi="方正仿宋_GBK" w:eastAsia="方正仿宋_GBK"/>
          <w:sz w:val="32"/>
          <w:szCs w:val="32"/>
          <w:lang w:val="en-US" w:eastAsia="zh-CN"/>
        </w:rPr>
        <w:t xml:space="preserve">   </w:t>
      </w:r>
      <w:r>
        <w:rPr>
          <w:rFonts w:ascii="Times New Roman" w:hAnsi="Times New Roman" w:eastAsia="方正仿宋_GBK"/>
          <w:sz w:val="32"/>
          <w:szCs w:val="32"/>
        </w:rPr>
        <w:t xml:space="preserve">  </w:t>
      </w:r>
      <w:r>
        <w:rPr>
          <w:rFonts w:ascii="Times New Roman" w:hAnsi="方正仿宋_GBK" w:eastAsia="方正仿宋_GBK"/>
          <w:sz w:val="32"/>
          <w:szCs w:val="32"/>
        </w:rPr>
        <w:t>日</w:t>
      </w:r>
    </w:p>
    <w:p>
      <w:pPr>
        <w:ind w:left="-210" w:leftChars="-100" w:right="-210" w:rightChars="-100" w:firstLine="1264"/>
        <w:jc w:val="center"/>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28"/>
        </w:rPr>
      </w:pPr>
    </w:p>
    <w:p>
      <w:pPr>
        <w:ind w:right="-758" w:rightChars="-361"/>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rPr>
          <w:rFonts w:ascii="Times New Roman" w:hAnsi="Times New Roman" w:eastAsia="黑体"/>
          <w:sz w:val="28"/>
          <w:szCs w:val="28"/>
        </w:rPr>
      </w:pPr>
      <w:r>
        <w:rPr>
          <w:rFonts w:ascii="Times New Roman" w:eastAsia="黑体"/>
          <w:sz w:val="28"/>
          <w:szCs w:val="28"/>
        </w:rPr>
        <w:t>第一部分：拟转移废物基本情况</w:t>
      </w:r>
    </w:p>
    <w:tbl>
      <w:tblPr>
        <w:tblStyle w:val="4"/>
        <w:tblW w:w="85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3547"/>
        <w:gridCol w:w="1103"/>
        <w:gridCol w:w="123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8528" w:type="dxa"/>
            <w:gridSpan w:val="5"/>
            <w:noWrap w:val="0"/>
            <w:vAlign w:val="top"/>
          </w:tcPr>
          <w:p>
            <w:pPr>
              <w:rPr>
                <w:rFonts w:ascii="Times New Roman" w:hAns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1 </w:t>
            </w:r>
            <w:r>
              <w:rPr>
                <w:rFonts w:ascii="Times New Roman" w:eastAsia="黑体"/>
                <w:sz w:val="24"/>
                <w:szCs w:val="24"/>
              </w:rPr>
              <w:t>废物产生情况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2" w:hRule="atLeast"/>
        </w:trPr>
        <w:tc>
          <w:tcPr>
            <w:tcW w:w="8528" w:type="dxa"/>
            <w:gridSpan w:val="5"/>
            <w:noWrap w:val="0"/>
            <w:vAlign w:val="top"/>
          </w:tcPr>
          <w:p>
            <w:pPr>
              <w:spacing w:line="300" w:lineRule="exact"/>
              <w:rPr>
                <w:rFonts w:ascii="Times New Roman"/>
                <w:szCs w:val="21"/>
              </w:rPr>
            </w:pPr>
            <w:r>
              <w:rPr>
                <w:rFonts w:ascii="Times New Roman"/>
                <w:szCs w:val="21"/>
              </w:rPr>
              <w:t>废物产生企业概况（企业投产时间、主要经营范围及规模）</w:t>
            </w:r>
          </w:p>
          <w:p>
            <w:pPr>
              <w:spacing w:line="300" w:lineRule="exact"/>
              <w:rPr>
                <w:rFonts w:hint="eastAsia" w:ascii="Times New Roman"/>
                <w:szCs w:val="21"/>
                <w:lang w:val="en-US" w:eastAsia="zh-CN"/>
              </w:rPr>
            </w:pPr>
          </w:p>
          <w:p>
            <w:pPr>
              <w:spacing w:line="300" w:lineRule="exact"/>
              <w:ind w:firstLine="420" w:firstLineChars="200"/>
              <w:rPr>
                <w:rFonts w:hint="eastAsia" w:ascii="Times New Roman"/>
                <w:szCs w:val="21"/>
                <w:lang w:val="en-US" w:eastAsia="zh-CN"/>
              </w:rPr>
            </w:pPr>
            <w:r>
              <w:rPr>
                <w:rFonts w:hint="eastAsia" w:ascii="Times New Roman"/>
                <w:szCs w:val="21"/>
                <w:lang w:val="en-US" w:eastAsia="zh-CN"/>
              </w:rPr>
              <w:t>青岛海绿源循环科技有限公司位于青岛市莱西市姜山镇，主要从事废弃电器电子产品处理和再生资源回收利用，2022年9月建成后投产试运行，废弃电器电子产品资质许可拆解量共300万台，其中电视机90万台、冰箱65万台、洗衣机65万台、空调40万台、电脑30万台、监视器10万台，拆解产生的废电路板等危废委托资质单位回收利用。</w:t>
            </w:r>
          </w:p>
          <w:p>
            <w:pPr>
              <w:spacing w:line="300" w:lineRule="exact"/>
              <w:ind w:firstLine="420" w:firstLineChars="200"/>
              <w:rPr>
                <w:rFonts w:hint="eastAsia" w:ascii="Times New Roman"/>
                <w:szCs w:val="21"/>
                <w:lang w:val="en-US" w:eastAsia="zh-CN"/>
              </w:rPr>
            </w:pPr>
          </w:p>
          <w:p>
            <w:pPr>
              <w:spacing w:line="300" w:lineRule="exact"/>
              <w:ind w:firstLine="420" w:firstLineChars="200"/>
              <w:rPr>
                <w:rFonts w:hint="eastAsia" w:ascii="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8528" w:type="dxa"/>
            <w:gridSpan w:val="5"/>
            <w:noWrap w:val="0"/>
            <w:vAlign w:val="center"/>
          </w:tcPr>
          <w:p>
            <w:pPr>
              <w:spacing w:line="300" w:lineRule="exact"/>
              <w:rPr>
                <w:rFonts w:ascii="Times New Roman" w:hAnsi="Times New Roman"/>
                <w:szCs w:val="21"/>
              </w:rPr>
            </w:pPr>
            <w:r>
              <w:rPr>
                <w:rFonts w:ascii="Times New Roman"/>
                <w:szCs w:val="21"/>
              </w:rPr>
              <w:t>产品及产废情况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887" w:type="dxa"/>
            <w:gridSpan w:val="3"/>
            <w:noWrap w:val="0"/>
            <w:vAlign w:val="center"/>
          </w:tcPr>
          <w:p>
            <w:pPr>
              <w:spacing w:line="300" w:lineRule="exact"/>
              <w:jc w:val="center"/>
              <w:rPr>
                <w:rFonts w:ascii="Times New Roman" w:hAnsi="Times New Roman"/>
                <w:szCs w:val="21"/>
              </w:rPr>
            </w:pPr>
            <w:r>
              <w:rPr>
                <w:rFonts w:ascii="Times New Roman"/>
                <w:szCs w:val="21"/>
              </w:rPr>
              <w:t>产品情况</w:t>
            </w:r>
          </w:p>
        </w:tc>
        <w:tc>
          <w:tcPr>
            <w:tcW w:w="2641" w:type="dxa"/>
            <w:gridSpan w:val="2"/>
            <w:noWrap w:val="0"/>
            <w:vAlign w:val="center"/>
          </w:tcPr>
          <w:p>
            <w:pPr>
              <w:spacing w:line="300" w:lineRule="exact"/>
              <w:jc w:val="center"/>
              <w:rPr>
                <w:rFonts w:ascii="Times New Roman" w:hAnsi="Times New Roman"/>
                <w:szCs w:val="21"/>
              </w:rPr>
            </w:pPr>
            <w:r>
              <w:rPr>
                <w:rFonts w:ascii="Times New Roman"/>
                <w:szCs w:val="21"/>
              </w:rP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37" w:type="dxa"/>
            <w:noWrap w:val="0"/>
            <w:vAlign w:val="center"/>
          </w:tcPr>
          <w:p>
            <w:pPr>
              <w:spacing w:line="300" w:lineRule="exact"/>
              <w:jc w:val="center"/>
              <w:rPr>
                <w:rFonts w:ascii="Times New Roman" w:hAnsi="Times New Roman"/>
                <w:szCs w:val="21"/>
              </w:rPr>
            </w:pPr>
            <w:r>
              <w:rPr>
                <w:rFonts w:ascii="Times New Roman"/>
                <w:szCs w:val="21"/>
              </w:rPr>
              <w:t>产品名称</w:t>
            </w:r>
          </w:p>
        </w:tc>
        <w:tc>
          <w:tcPr>
            <w:tcW w:w="3547" w:type="dxa"/>
            <w:noWrap w:val="0"/>
            <w:vAlign w:val="center"/>
          </w:tcPr>
          <w:p>
            <w:pPr>
              <w:spacing w:line="300" w:lineRule="exact"/>
              <w:jc w:val="center"/>
              <w:rPr>
                <w:rFonts w:ascii="Times New Roman" w:hAnsi="Times New Roman"/>
                <w:szCs w:val="21"/>
              </w:rPr>
            </w:pPr>
            <w:r>
              <w:rPr>
                <w:rFonts w:ascii="Times New Roman"/>
                <w:szCs w:val="21"/>
              </w:rPr>
              <w:t>主要成分化学名</w:t>
            </w:r>
          </w:p>
        </w:tc>
        <w:tc>
          <w:tcPr>
            <w:tcW w:w="1103" w:type="dxa"/>
            <w:noWrap w:val="0"/>
            <w:vAlign w:val="center"/>
          </w:tcPr>
          <w:p>
            <w:pPr>
              <w:spacing w:line="300" w:lineRule="exact"/>
              <w:jc w:val="center"/>
              <w:rPr>
                <w:rFonts w:ascii="Times New Roman" w:hAnsi="Times New Roman"/>
                <w:szCs w:val="21"/>
              </w:rPr>
            </w:pPr>
            <w:r>
              <w:rPr>
                <w:rFonts w:ascii="Times New Roman"/>
                <w:szCs w:val="21"/>
              </w:rPr>
              <w:t>年产量</w:t>
            </w:r>
          </w:p>
        </w:tc>
        <w:tc>
          <w:tcPr>
            <w:tcW w:w="1237" w:type="dxa"/>
            <w:noWrap w:val="0"/>
            <w:vAlign w:val="center"/>
          </w:tcPr>
          <w:p>
            <w:pPr>
              <w:spacing w:line="300" w:lineRule="exact"/>
              <w:jc w:val="center"/>
              <w:rPr>
                <w:rFonts w:ascii="Times New Roman" w:hAnsi="Times New Roman"/>
                <w:szCs w:val="21"/>
              </w:rPr>
            </w:pPr>
            <w:r>
              <w:rPr>
                <w:rFonts w:ascii="Times New Roman"/>
                <w:szCs w:val="21"/>
              </w:rPr>
              <w:t>废物名称</w:t>
            </w:r>
          </w:p>
        </w:tc>
        <w:tc>
          <w:tcPr>
            <w:tcW w:w="1404" w:type="dxa"/>
            <w:noWrap w:val="0"/>
            <w:vAlign w:val="center"/>
          </w:tcPr>
          <w:p>
            <w:pPr>
              <w:spacing w:line="300" w:lineRule="exact"/>
              <w:jc w:val="center"/>
              <w:rPr>
                <w:rFonts w:ascii="Times New Roman" w:hAnsi="Times New Roman"/>
                <w:szCs w:val="21"/>
              </w:rPr>
            </w:pPr>
            <w:r>
              <w:rPr>
                <w:rFonts w:ascii="Times New Roman"/>
                <w:szCs w:val="21"/>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23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废冰箱</w:t>
            </w:r>
          </w:p>
        </w:tc>
        <w:tc>
          <w:tcPr>
            <w:tcW w:w="354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铜、铁、铝等金属、</w:t>
            </w:r>
            <w:r>
              <w:rPr>
                <w:rFonts w:hint="default" w:ascii="Times New Roman" w:hAnsi="Times New Roman" w:eastAsia="宋体"/>
                <w:szCs w:val="24"/>
                <w:lang w:val="en-US" w:eastAsia="zh-CN"/>
              </w:rPr>
              <w:t>高分子聚合物</w:t>
            </w:r>
            <w:r>
              <w:rPr>
                <w:rFonts w:hint="eastAsia" w:ascii="Times New Roman" w:hAnsi="Times New Roman"/>
                <w:szCs w:val="24"/>
                <w:lang w:val="en-US" w:eastAsia="zh-CN"/>
              </w:rPr>
              <w:t>等</w:t>
            </w:r>
          </w:p>
        </w:tc>
        <w:tc>
          <w:tcPr>
            <w:tcW w:w="1103"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50万台</w:t>
            </w:r>
          </w:p>
        </w:tc>
        <w:tc>
          <w:tcPr>
            <w:tcW w:w="1237" w:type="dxa"/>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废电路板</w:t>
            </w:r>
          </w:p>
        </w:tc>
        <w:tc>
          <w:tcPr>
            <w:tcW w:w="1404" w:type="dxa"/>
            <w:noWrap w:val="0"/>
            <w:vAlign w:val="top"/>
          </w:tcPr>
          <w:p>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250吨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3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废洗衣机</w:t>
            </w:r>
          </w:p>
        </w:tc>
        <w:tc>
          <w:tcPr>
            <w:tcW w:w="354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铜、铁、铝等金属、</w:t>
            </w:r>
            <w:r>
              <w:rPr>
                <w:rFonts w:hint="default" w:ascii="Times New Roman" w:hAnsi="Times New Roman" w:eastAsia="宋体"/>
                <w:szCs w:val="24"/>
                <w:lang w:val="en-US" w:eastAsia="zh-CN"/>
              </w:rPr>
              <w:t>高分子聚合物</w:t>
            </w:r>
            <w:r>
              <w:rPr>
                <w:rFonts w:hint="eastAsia" w:ascii="Times New Roman" w:hAnsi="Times New Roman"/>
                <w:szCs w:val="24"/>
                <w:lang w:val="en-US" w:eastAsia="zh-CN"/>
              </w:rPr>
              <w:t>等</w:t>
            </w:r>
          </w:p>
        </w:tc>
        <w:tc>
          <w:tcPr>
            <w:tcW w:w="1103"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40万台</w:t>
            </w:r>
          </w:p>
        </w:tc>
        <w:tc>
          <w:tcPr>
            <w:tcW w:w="1237" w:type="dxa"/>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废电路板</w:t>
            </w:r>
          </w:p>
        </w:tc>
        <w:tc>
          <w:tcPr>
            <w:tcW w:w="1404" w:type="dxa"/>
            <w:noWrap w:val="0"/>
            <w:vAlign w:val="top"/>
          </w:tcPr>
          <w:p>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240吨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23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废空调</w:t>
            </w:r>
          </w:p>
        </w:tc>
        <w:tc>
          <w:tcPr>
            <w:tcW w:w="354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铜、铁、铝等金属、</w:t>
            </w:r>
            <w:r>
              <w:rPr>
                <w:rFonts w:hint="default" w:ascii="Times New Roman" w:hAnsi="Times New Roman" w:eastAsia="宋体"/>
                <w:szCs w:val="24"/>
                <w:lang w:val="en-US" w:eastAsia="zh-CN"/>
              </w:rPr>
              <w:t>高分子聚合物</w:t>
            </w:r>
            <w:r>
              <w:rPr>
                <w:rFonts w:hint="eastAsia" w:ascii="Times New Roman" w:hAnsi="Times New Roman"/>
                <w:szCs w:val="24"/>
                <w:lang w:val="en-US" w:eastAsia="zh-CN"/>
              </w:rPr>
              <w:t>等</w:t>
            </w:r>
          </w:p>
        </w:tc>
        <w:tc>
          <w:tcPr>
            <w:tcW w:w="1103"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30万台</w:t>
            </w:r>
          </w:p>
        </w:tc>
        <w:tc>
          <w:tcPr>
            <w:tcW w:w="1237" w:type="dxa"/>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废电路板</w:t>
            </w:r>
          </w:p>
        </w:tc>
        <w:tc>
          <w:tcPr>
            <w:tcW w:w="1404" w:type="dxa"/>
            <w:noWrap w:val="0"/>
            <w:vAlign w:val="top"/>
          </w:tcPr>
          <w:p>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90吨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3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废电视机</w:t>
            </w:r>
          </w:p>
        </w:tc>
        <w:tc>
          <w:tcPr>
            <w:tcW w:w="354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铜、铁、铝等金属、</w:t>
            </w:r>
            <w:r>
              <w:rPr>
                <w:rFonts w:hint="default" w:ascii="Times New Roman" w:hAnsi="Times New Roman" w:eastAsia="宋体"/>
                <w:szCs w:val="24"/>
                <w:lang w:val="en-US" w:eastAsia="zh-CN"/>
              </w:rPr>
              <w:t>高分子聚合物</w:t>
            </w:r>
            <w:r>
              <w:rPr>
                <w:rFonts w:hint="eastAsia" w:ascii="Times New Roman" w:hAnsi="Times New Roman"/>
                <w:szCs w:val="24"/>
                <w:lang w:val="en-US" w:eastAsia="zh-CN"/>
              </w:rPr>
              <w:t>等</w:t>
            </w:r>
          </w:p>
        </w:tc>
        <w:tc>
          <w:tcPr>
            <w:tcW w:w="1103"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45万台</w:t>
            </w:r>
          </w:p>
        </w:tc>
        <w:tc>
          <w:tcPr>
            <w:tcW w:w="1237" w:type="dxa"/>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废电路板</w:t>
            </w:r>
          </w:p>
        </w:tc>
        <w:tc>
          <w:tcPr>
            <w:tcW w:w="1404" w:type="dxa"/>
            <w:noWrap w:val="0"/>
            <w:vAlign w:val="top"/>
          </w:tcPr>
          <w:p>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1350吨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3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废电脑</w:t>
            </w:r>
          </w:p>
        </w:tc>
        <w:tc>
          <w:tcPr>
            <w:tcW w:w="354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铜、铁、铝等金属、</w:t>
            </w:r>
            <w:r>
              <w:rPr>
                <w:rFonts w:hint="default" w:ascii="Times New Roman" w:hAnsi="Times New Roman" w:eastAsia="宋体"/>
                <w:szCs w:val="24"/>
                <w:lang w:val="en-US" w:eastAsia="zh-CN"/>
              </w:rPr>
              <w:t>高分子聚合物</w:t>
            </w:r>
            <w:r>
              <w:rPr>
                <w:rFonts w:hint="eastAsia" w:ascii="Times New Roman" w:hAnsi="Times New Roman"/>
                <w:szCs w:val="24"/>
                <w:lang w:val="en-US" w:eastAsia="zh-CN"/>
              </w:rPr>
              <w:t>等</w:t>
            </w:r>
          </w:p>
        </w:tc>
        <w:tc>
          <w:tcPr>
            <w:tcW w:w="1103"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6万台</w:t>
            </w:r>
          </w:p>
        </w:tc>
        <w:tc>
          <w:tcPr>
            <w:tcW w:w="1237" w:type="dxa"/>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废电路板</w:t>
            </w:r>
          </w:p>
        </w:tc>
        <w:tc>
          <w:tcPr>
            <w:tcW w:w="1404" w:type="dxa"/>
            <w:noWrap w:val="0"/>
            <w:vAlign w:val="top"/>
          </w:tcPr>
          <w:p>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180吨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37" w:type="dxa"/>
            <w:vMerge w:val="continue"/>
            <w:noWrap w:val="0"/>
            <w:vAlign w:val="center"/>
          </w:tcPr>
          <w:p>
            <w:pPr>
              <w:spacing w:line="300" w:lineRule="exact"/>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3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废监视器</w:t>
            </w:r>
          </w:p>
        </w:tc>
        <w:tc>
          <w:tcPr>
            <w:tcW w:w="3547"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铜、铁、铝等金属、</w:t>
            </w:r>
            <w:r>
              <w:rPr>
                <w:rFonts w:hint="default" w:ascii="Times New Roman" w:hAnsi="Times New Roman" w:eastAsia="宋体"/>
                <w:szCs w:val="24"/>
                <w:lang w:val="en-US" w:eastAsia="zh-CN"/>
              </w:rPr>
              <w:t>高分子聚合物</w:t>
            </w:r>
            <w:r>
              <w:rPr>
                <w:rFonts w:hint="eastAsia" w:ascii="Times New Roman" w:hAnsi="Times New Roman"/>
                <w:szCs w:val="24"/>
                <w:lang w:val="en-US" w:eastAsia="zh-CN"/>
              </w:rPr>
              <w:t>等</w:t>
            </w:r>
          </w:p>
        </w:tc>
        <w:tc>
          <w:tcPr>
            <w:tcW w:w="1103" w:type="dxa"/>
            <w:vMerge w:val="restart"/>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5万台</w:t>
            </w:r>
          </w:p>
        </w:tc>
        <w:tc>
          <w:tcPr>
            <w:tcW w:w="1237" w:type="dxa"/>
            <w:noWrap w:val="0"/>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废电路板</w:t>
            </w:r>
          </w:p>
        </w:tc>
        <w:tc>
          <w:tcPr>
            <w:tcW w:w="1404" w:type="dxa"/>
            <w:noWrap w:val="0"/>
            <w:vAlign w:val="top"/>
          </w:tcPr>
          <w:p>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150吨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1237" w:type="dxa"/>
            <w:vMerge w:val="continue"/>
            <w:noWrap w:val="0"/>
            <w:vAlign w:val="center"/>
          </w:tcPr>
          <w:p>
            <w:pPr>
              <w:spacing w:line="300" w:lineRule="exact"/>
              <w:jc w:val="center"/>
              <w:rPr>
                <w:rFonts w:ascii="Times New Roman" w:hAnsi="Times New Roman"/>
                <w:szCs w:val="24"/>
              </w:rPr>
            </w:pPr>
          </w:p>
        </w:tc>
        <w:tc>
          <w:tcPr>
            <w:tcW w:w="3547" w:type="dxa"/>
            <w:vMerge w:val="continue"/>
            <w:noWrap w:val="0"/>
            <w:vAlign w:val="center"/>
          </w:tcPr>
          <w:p>
            <w:pPr>
              <w:spacing w:line="300" w:lineRule="exact"/>
              <w:jc w:val="center"/>
              <w:rPr>
                <w:rFonts w:ascii="Times New Roman" w:hAnsi="Times New Roman"/>
                <w:szCs w:val="24"/>
              </w:rPr>
            </w:pPr>
          </w:p>
        </w:tc>
        <w:tc>
          <w:tcPr>
            <w:tcW w:w="1103" w:type="dxa"/>
            <w:vMerge w:val="continue"/>
            <w:noWrap w:val="0"/>
            <w:vAlign w:val="center"/>
          </w:tcPr>
          <w:p>
            <w:pPr>
              <w:spacing w:line="300" w:lineRule="exact"/>
              <w:jc w:val="center"/>
              <w:rPr>
                <w:rFonts w:ascii="Times New Roman" w:hAnsi="Times New Roman"/>
                <w:szCs w:val="24"/>
              </w:rPr>
            </w:pPr>
          </w:p>
        </w:tc>
        <w:tc>
          <w:tcPr>
            <w:tcW w:w="1237" w:type="dxa"/>
            <w:noWrap w:val="0"/>
            <w:vAlign w:val="center"/>
          </w:tcPr>
          <w:p>
            <w:pPr>
              <w:spacing w:line="300" w:lineRule="exact"/>
              <w:jc w:val="center"/>
              <w:rPr>
                <w:rFonts w:ascii="Times New Roman" w:hAnsi="Times New Roman"/>
                <w:szCs w:val="24"/>
              </w:rPr>
            </w:pPr>
          </w:p>
        </w:tc>
        <w:tc>
          <w:tcPr>
            <w:tcW w:w="1404"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528" w:type="dxa"/>
            <w:gridSpan w:val="5"/>
            <w:noWrap w:val="0"/>
            <w:vAlign w:val="center"/>
          </w:tcPr>
          <w:p>
            <w:pPr>
              <w:spacing w:line="300" w:lineRule="exact"/>
              <w:rPr>
                <w:rFonts w:asci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2 </w:t>
            </w:r>
            <w:r>
              <w:rPr>
                <w:rFonts w:ascii="Times New Roman" w:eastAsia="黑体"/>
                <w:sz w:val="24"/>
                <w:szCs w:val="24"/>
              </w:rPr>
              <w:t>与申请转移废物相关的生产工艺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7" w:hRule="atLeast"/>
        </w:trPr>
        <w:tc>
          <w:tcPr>
            <w:tcW w:w="8528" w:type="dxa"/>
            <w:gridSpan w:val="5"/>
            <w:noWrap w:val="0"/>
            <w:vAlign w:val="top"/>
          </w:tcPr>
          <w:p>
            <w:pPr>
              <w:spacing w:beforeLines="0" w:afterLines="0" w:line="300" w:lineRule="exact"/>
              <w:rPr>
                <w:rFonts w:hint="eastAsia" w:ascii="Times New Roman" w:hAnsi="Times New Roman" w:eastAsia="Times New Roman"/>
                <w:sz w:val="21"/>
                <w:szCs w:val="24"/>
              </w:rPr>
            </w:pPr>
            <w:r>
              <w:rPr>
                <w:rFonts w:hint="default" w:ascii="宋体"/>
                <w:sz w:val="21"/>
                <w:szCs w:val="24"/>
              </w:rPr>
              <w:t>文字描述及工艺流程图</w:t>
            </w:r>
          </w:p>
          <w:p>
            <w:pPr>
              <w:pStyle w:val="7"/>
              <w:numPr>
                <w:ilvl w:val="1"/>
                <w:numId w:val="0"/>
              </w:numPr>
              <w:spacing w:beforeLines="0" w:afterLines="0"/>
              <w:ind w:firstLine="0"/>
              <w:jc w:val="left"/>
              <w:rPr>
                <w:rFonts w:hint="default"/>
                <w:sz w:val="24"/>
                <w:szCs w:val="24"/>
              </w:rPr>
            </w:pPr>
            <w:r>
              <w:rPr>
                <w:rFonts w:hint="default" w:ascii="宋体"/>
                <w:sz w:val="24"/>
                <w:szCs w:val="24"/>
              </w:rPr>
              <w:t>1、废冰箱拆解</w:t>
            </w:r>
          </w:p>
          <w:p>
            <w:pPr>
              <w:spacing w:beforeLines="0" w:afterLines="0" w:line="300" w:lineRule="exact"/>
              <w:rPr>
                <w:rFonts w:hint="default" w:ascii="宋体" w:hAnsi="Times New Roman"/>
                <w:sz w:val="21"/>
                <w:szCs w:val="24"/>
              </w:rPr>
            </w:pPr>
            <w:r>
              <w:rPr>
                <w:rFonts w:hint="default" w:ascii="宋体" w:hAnsi="Times New Roman"/>
                <w:b/>
                <w:sz w:val="21"/>
                <w:szCs w:val="24"/>
              </w:rPr>
              <w:t>人工拆解：</w:t>
            </w:r>
            <w:r>
              <w:rPr>
                <w:rFonts w:hint="default" w:ascii="宋体" w:hAnsi="Times New Roman"/>
                <w:sz w:val="21"/>
                <w:szCs w:val="24"/>
              </w:rPr>
              <w:t>在拆解工位人工将冰箱门、冰箱转轴铁、混合铁、电线、</w:t>
            </w:r>
            <w:r>
              <w:rPr>
                <w:rFonts w:hint="default" w:ascii="宋体" w:hAnsi="Times New Roman"/>
                <w:b/>
                <w:sz w:val="21"/>
                <w:szCs w:val="24"/>
              </w:rPr>
              <w:t>电路板</w:t>
            </w:r>
            <w:r>
              <w:rPr>
                <w:rFonts w:hint="default" w:ascii="宋体" w:hAnsi="Times New Roman"/>
                <w:sz w:val="21"/>
                <w:szCs w:val="24"/>
              </w:rPr>
              <w:t>等部件拆除。冰箱门经辊道输送线送入破碎工序。</w:t>
            </w:r>
          </w:p>
          <w:p>
            <w:pPr>
              <w:spacing w:beforeLines="0" w:afterLines="0" w:line="300" w:lineRule="exact"/>
              <w:rPr>
                <w:rFonts w:hint="eastAsia" w:ascii="Times New Roman" w:hAnsi="Times New Roman" w:eastAsia="Times New Roman"/>
                <w:sz w:val="21"/>
                <w:szCs w:val="24"/>
              </w:rPr>
            </w:pPr>
            <w:r>
              <w:rPr>
                <w:rFonts w:hint="default" w:ascii="宋体" w:hAnsi="Times New Roman"/>
                <w:b/>
                <w:sz w:val="21"/>
                <w:szCs w:val="24"/>
              </w:rPr>
              <w:t>主要拆解产物及去向</w:t>
            </w:r>
            <w:r>
              <w:rPr>
                <w:rFonts w:hint="default" w:ascii="宋体" w:hAnsi="Times New Roman"/>
                <w:sz w:val="21"/>
                <w:szCs w:val="24"/>
              </w:rPr>
              <w:t>：金属类（冰箱转轴铁、混合铁）、塑料类（塑料抽屉）、玻璃类（玻璃隔板）、橡胶密封条等一般固废打包后分类暂存于成品仓库，</w:t>
            </w:r>
            <w:r>
              <w:rPr>
                <w:rFonts w:hint="eastAsia" w:ascii="宋体" w:hAnsi="Times New Roman"/>
                <w:sz w:val="21"/>
                <w:szCs w:val="24"/>
                <w:lang w:eastAsia="zh-CN"/>
              </w:rPr>
              <w:t>废电路板</w:t>
            </w:r>
            <w:r>
              <w:rPr>
                <w:rFonts w:hint="default" w:ascii="宋体" w:hAnsi="Times New Roman"/>
                <w:sz w:val="21"/>
                <w:szCs w:val="24"/>
              </w:rPr>
              <w:t>等危废暂存于危废库。</w:t>
            </w:r>
          </w:p>
          <w:p>
            <w:pPr>
              <w:spacing w:beforeLines="0" w:afterLines="0" w:line="300" w:lineRule="exact"/>
              <w:rPr>
                <w:rFonts w:hint="eastAsia" w:ascii="Times New Roman" w:hAnsi="Times New Roman" w:eastAsia="Times New Roman"/>
                <w:sz w:val="21"/>
                <w:szCs w:val="24"/>
              </w:rPr>
            </w:pPr>
            <w:r>
              <w:rPr>
                <w:rFonts w:hint="default" w:ascii="Times New Roman" w:hAnsi="Times New Roman" w:cs="Times New Roman"/>
                <w:color w:val="auto"/>
                <w:sz w:val="24"/>
                <w:szCs w:val="24"/>
              </w:rPr>
              <w:drawing>
                <wp:anchor distT="0" distB="0" distL="114300" distR="114300" simplePos="0" relativeHeight="251660288" behindDoc="0" locked="0" layoutInCell="1" allowOverlap="1">
                  <wp:simplePos x="0" y="0"/>
                  <wp:positionH relativeFrom="column">
                    <wp:posOffset>1177290</wp:posOffset>
                  </wp:positionH>
                  <wp:positionV relativeFrom="paragraph">
                    <wp:posOffset>105410</wp:posOffset>
                  </wp:positionV>
                  <wp:extent cx="3324225" cy="2600325"/>
                  <wp:effectExtent l="9525" t="9525" r="19050" b="19050"/>
                  <wp:wrapTopAndBottom/>
                  <wp:docPr id="1" name="图片 9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8" descr="1"/>
                          <pic:cNvPicPr>
                            <a:picLocks noChangeAspect="1"/>
                          </pic:cNvPicPr>
                        </pic:nvPicPr>
                        <pic:blipFill>
                          <a:blip r:embed="rId8"/>
                          <a:stretch>
                            <a:fillRect/>
                          </a:stretch>
                        </pic:blipFill>
                        <pic:spPr>
                          <a:xfrm>
                            <a:off x="0" y="0"/>
                            <a:ext cx="3324225" cy="2600325"/>
                          </a:xfrm>
                          <a:prstGeom prst="rect">
                            <a:avLst/>
                          </a:prstGeom>
                          <a:noFill/>
                          <a:ln w="9525" cap="flat" cmpd="sng">
                            <a:solidFill>
                              <a:srgbClr val="F2F2F2"/>
                            </a:solidFill>
                            <a:prstDash val="solid"/>
                            <a:miter/>
                            <a:headEnd type="none" w="med" len="med"/>
                            <a:tailEnd type="none" w="med" len="med"/>
                          </a:ln>
                        </pic:spPr>
                      </pic:pic>
                    </a:graphicData>
                  </a:graphic>
                </wp:anchor>
              </w:drawing>
            </w:r>
          </w:p>
          <w:p>
            <w:pPr>
              <w:pStyle w:val="7"/>
              <w:numPr>
                <w:ilvl w:val="1"/>
                <w:numId w:val="0"/>
              </w:numPr>
              <w:spacing w:beforeLines="0" w:afterLines="0"/>
              <w:ind w:firstLine="0"/>
              <w:jc w:val="left"/>
              <w:rPr>
                <w:rFonts w:hint="default" w:cs="Times New Roman"/>
                <w:sz w:val="24"/>
                <w:szCs w:val="22"/>
              </w:rPr>
            </w:pPr>
            <w:r>
              <w:rPr>
                <w:rFonts w:hint="default" w:ascii="宋体" w:cs="Times New Roman"/>
                <w:sz w:val="24"/>
                <w:szCs w:val="22"/>
              </w:rPr>
              <w:t>2、废洗衣机</w:t>
            </w:r>
          </w:p>
          <w:p>
            <w:pPr>
              <w:spacing w:beforeLines="0" w:afterLines="0" w:line="300" w:lineRule="exact"/>
              <w:rPr>
                <w:rFonts w:hint="default" w:ascii="宋体" w:hAnsi="Times New Roman"/>
                <w:sz w:val="21"/>
                <w:szCs w:val="24"/>
              </w:rPr>
            </w:pPr>
            <w:r>
              <w:rPr>
                <w:rFonts w:hint="default" w:ascii="宋体" w:hAnsi="Times New Roman"/>
                <w:b/>
                <w:sz w:val="21"/>
                <w:szCs w:val="24"/>
              </w:rPr>
              <w:t>人工拆解：</w:t>
            </w:r>
            <w:r>
              <w:rPr>
                <w:rFonts w:hint="default" w:ascii="宋体" w:hAnsi="Times New Roman"/>
                <w:sz w:val="21"/>
                <w:szCs w:val="24"/>
              </w:rPr>
              <w:t>在拆解工位人工初步拆解机壳、电机、电容器、开关、</w:t>
            </w:r>
            <w:r>
              <w:rPr>
                <w:rFonts w:hint="default" w:ascii="宋体" w:hAnsi="Times New Roman"/>
                <w:b/>
                <w:sz w:val="21"/>
                <w:szCs w:val="24"/>
              </w:rPr>
              <w:t>电路板</w:t>
            </w:r>
            <w:r>
              <w:rPr>
                <w:rFonts w:hint="default" w:ascii="宋体" w:hAnsi="Times New Roman"/>
                <w:sz w:val="21"/>
                <w:szCs w:val="24"/>
              </w:rPr>
              <w:t>、回转桶、混合铝、混合铁、铁塑混合物、排水管、电线等。</w:t>
            </w:r>
          </w:p>
          <w:p>
            <w:pPr>
              <w:spacing w:beforeLines="0" w:afterLines="0" w:line="300" w:lineRule="exact"/>
              <w:rPr>
                <w:rFonts w:hint="default" w:ascii="宋体" w:hAnsi="Times New Roman"/>
                <w:sz w:val="21"/>
                <w:szCs w:val="24"/>
              </w:rPr>
            </w:pPr>
            <w:r>
              <w:rPr>
                <w:rFonts w:hint="default" w:ascii="宋体" w:hAnsi="Times New Roman"/>
                <w:b/>
                <w:sz w:val="21"/>
                <w:szCs w:val="24"/>
              </w:rPr>
              <w:t>主要拆解产物及去向</w:t>
            </w:r>
            <w:r>
              <w:rPr>
                <w:rFonts w:hint="default" w:ascii="宋体" w:hAnsi="Times New Roman"/>
                <w:sz w:val="21"/>
                <w:szCs w:val="24"/>
              </w:rPr>
              <w:t>：金属类、塑料类等一般固废打包后分类暂存于成品仓库，</w:t>
            </w:r>
            <w:r>
              <w:rPr>
                <w:rFonts w:hint="eastAsia" w:ascii="宋体" w:hAnsi="Times New Roman"/>
                <w:sz w:val="21"/>
                <w:szCs w:val="24"/>
                <w:lang w:val="en-US" w:eastAsia="zh-CN"/>
              </w:rPr>
              <w:t>废电路板</w:t>
            </w:r>
            <w:r>
              <w:rPr>
                <w:rFonts w:hint="default" w:ascii="宋体" w:hAnsi="Times New Roman"/>
                <w:sz w:val="21"/>
                <w:szCs w:val="24"/>
              </w:rPr>
              <w:t>路板等危废暂存于危废库。</w:t>
            </w:r>
          </w:p>
          <w:p>
            <w:pPr>
              <w:spacing w:beforeLines="0" w:afterLines="0" w:line="300" w:lineRule="exact"/>
              <w:rPr>
                <w:rFonts w:hint="eastAsia" w:ascii="Times New Roman" w:hAnsi="Times New Roman" w:eastAsia="Times New Roman"/>
                <w:sz w:val="21"/>
                <w:szCs w:val="24"/>
              </w:rPr>
            </w:pPr>
            <w:r>
              <w:rPr>
                <w:rFonts w:hint="default" w:ascii="Times New Roman" w:hAnsi="Times New Roman" w:cs="Times New Roman"/>
                <w:color w:val="auto"/>
                <w:sz w:val="24"/>
                <w:szCs w:val="24"/>
              </w:rPr>
              <w:drawing>
                <wp:anchor distT="0" distB="0" distL="114300" distR="114300" simplePos="0" relativeHeight="251661312" behindDoc="0" locked="0" layoutInCell="1" allowOverlap="1">
                  <wp:simplePos x="0" y="0"/>
                  <wp:positionH relativeFrom="column">
                    <wp:posOffset>1218565</wp:posOffset>
                  </wp:positionH>
                  <wp:positionV relativeFrom="paragraph">
                    <wp:posOffset>314960</wp:posOffset>
                  </wp:positionV>
                  <wp:extent cx="3707765" cy="1686560"/>
                  <wp:effectExtent l="0" t="0" r="6985" b="8890"/>
                  <wp:wrapTopAndBottom/>
                  <wp:docPr id="6" name="图片 9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9" descr="2"/>
                          <pic:cNvPicPr>
                            <a:picLocks noChangeAspect="1"/>
                          </pic:cNvPicPr>
                        </pic:nvPicPr>
                        <pic:blipFill>
                          <a:blip r:embed="rId9"/>
                          <a:stretch>
                            <a:fillRect/>
                          </a:stretch>
                        </pic:blipFill>
                        <pic:spPr>
                          <a:xfrm>
                            <a:off x="0" y="0"/>
                            <a:ext cx="3707765" cy="1686560"/>
                          </a:xfrm>
                          <a:prstGeom prst="rect">
                            <a:avLst/>
                          </a:prstGeom>
                          <a:noFill/>
                          <a:ln>
                            <a:noFill/>
                          </a:ln>
                        </pic:spPr>
                      </pic:pic>
                    </a:graphicData>
                  </a:graphic>
                </wp:anchor>
              </w:drawing>
            </w:r>
          </w:p>
          <w:p>
            <w:pPr>
              <w:spacing w:beforeLines="0" w:afterLines="0" w:line="300" w:lineRule="exact"/>
              <w:rPr>
                <w:rFonts w:hint="eastAsia" w:ascii="Times New Roman" w:hAnsi="Times New Roman" w:eastAsia="Times New Roman"/>
                <w:sz w:val="21"/>
                <w:szCs w:val="24"/>
              </w:rPr>
            </w:pPr>
          </w:p>
          <w:p>
            <w:pPr>
              <w:pStyle w:val="7"/>
              <w:numPr>
                <w:ilvl w:val="1"/>
                <w:numId w:val="0"/>
              </w:numPr>
              <w:spacing w:beforeLines="0" w:afterLines="0"/>
              <w:ind w:firstLine="0"/>
              <w:jc w:val="left"/>
              <w:rPr>
                <w:rFonts w:hint="eastAsia" w:ascii="Times New Roman" w:hAnsi="Times New Roman" w:eastAsia="Times New Roman"/>
                <w:sz w:val="24"/>
                <w:szCs w:val="24"/>
              </w:rPr>
            </w:pPr>
            <w:r>
              <w:rPr>
                <w:rFonts w:hint="default" w:ascii="宋体" w:cs="Times New Roman"/>
                <w:sz w:val="24"/>
                <w:szCs w:val="22"/>
              </w:rPr>
              <w:t>3、</w:t>
            </w:r>
            <w:r>
              <w:rPr>
                <w:rFonts w:hint="default" w:ascii="宋体" w:hAnsi="Times New Roman"/>
                <w:sz w:val="24"/>
                <w:szCs w:val="24"/>
              </w:rPr>
              <w:t>废空调拆解线</w:t>
            </w:r>
          </w:p>
          <w:p>
            <w:pPr>
              <w:spacing w:beforeLines="0" w:afterLines="0" w:line="300" w:lineRule="exact"/>
              <w:rPr>
                <w:rFonts w:hint="eastAsia" w:ascii="Times New Roman" w:hAnsi="Times New Roman" w:eastAsia="Times New Roman"/>
                <w:sz w:val="21"/>
                <w:szCs w:val="24"/>
              </w:rPr>
            </w:pPr>
            <w:r>
              <w:rPr>
                <w:rFonts w:hint="default" w:ascii="宋体" w:hAnsi="Times New Roman"/>
                <w:b/>
                <w:sz w:val="21"/>
                <w:szCs w:val="24"/>
              </w:rPr>
              <w:t>人工拆解：</w:t>
            </w:r>
            <w:r>
              <w:rPr>
                <w:rFonts w:hint="default" w:ascii="宋体" w:hAnsi="Times New Roman"/>
                <w:sz w:val="21"/>
                <w:szCs w:val="24"/>
              </w:rPr>
              <w:t>废空调在拆解工作台首先人工去除机壳，然后在制冷剂抽取工位通过制冷剂回收机抽取室外机内的制冷剂（氟利昂），制冷剂吸入专用负压密闭钢瓶中。人工将铜管、铜制阀门、熟铝、薄铁、蒸发器、冷凝器、电容器、变压器、电机、电源盒、电线、</w:t>
            </w:r>
            <w:r>
              <w:rPr>
                <w:rFonts w:hint="default" w:ascii="宋体" w:hAnsi="Times New Roman"/>
                <w:b/>
                <w:sz w:val="21"/>
                <w:szCs w:val="24"/>
              </w:rPr>
              <w:t>电路板</w:t>
            </w:r>
            <w:r>
              <w:rPr>
                <w:rFonts w:hint="default" w:ascii="宋体" w:hAnsi="Times New Roman"/>
                <w:sz w:val="21"/>
                <w:szCs w:val="24"/>
              </w:rPr>
              <w:t>等分别拆下。</w:t>
            </w:r>
          </w:p>
          <w:p>
            <w:pPr>
              <w:spacing w:beforeLines="0" w:afterLines="0" w:line="300" w:lineRule="exact"/>
              <w:rPr>
                <w:rFonts w:hint="default" w:ascii="宋体" w:hAnsi="Times New Roman"/>
                <w:sz w:val="21"/>
                <w:szCs w:val="24"/>
              </w:rPr>
            </w:pPr>
            <w:r>
              <w:rPr>
                <w:rFonts w:hint="default" w:ascii="Times New Roman" w:hAnsi="Times New Roman" w:eastAsia="宋体" w:cs="Times New Roman"/>
                <w:bCs/>
                <w:color w:val="auto"/>
                <w:sz w:val="24"/>
                <w:szCs w:val="24"/>
                <w:lang w:eastAsia="zh-CN"/>
              </w:rPr>
              <w:drawing>
                <wp:anchor distT="0" distB="0" distL="114300" distR="114300" simplePos="0" relativeHeight="251662336" behindDoc="0" locked="0" layoutInCell="1" allowOverlap="1">
                  <wp:simplePos x="0" y="0"/>
                  <wp:positionH relativeFrom="column">
                    <wp:posOffset>748030</wp:posOffset>
                  </wp:positionH>
                  <wp:positionV relativeFrom="page">
                    <wp:posOffset>692785</wp:posOffset>
                  </wp:positionV>
                  <wp:extent cx="3951605" cy="2261870"/>
                  <wp:effectExtent l="0" t="0" r="10795" b="5080"/>
                  <wp:wrapTopAndBottom/>
                  <wp:docPr id="3" name="图片 10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0" descr="3"/>
                          <pic:cNvPicPr>
                            <a:picLocks noChangeAspect="1"/>
                          </pic:cNvPicPr>
                        </pic:nvPicPr>
                        <pic:blipFill>
                          <a:blip r:embed="rId10"/>
                          <a:stretch>
                            <a:fillRect/>
                          </a:stretch>
                        </pic:blipFill>
                        <pic:spPr>
                          <a:xfrm>
                            <a:off x="0" y="0"/>
                            <a:ext cx="3951605" cy="2261870"/>
                          </a:xfrm>
                          <a:prstGeom prst="rect">
                            <a:avLst/>
                          </a:prstGeom>
                          <a:noFill/>
                          <a:ln>
                            <a:noFill/>
                          </a:ln>
                        </pic:spPr>
                      </pic:pic>
                    </a:graphicData>
                  </a:graphic>
                </wp:anchor>
              </w:drawing>
            </w:r>
            <w:r>
              <w:rPr>
                <w:rFonts w:hint="default" w:ascii="宋体" w:hAnsi="Times New Roman"/>
                <w:b/>
                <w:sz w:val="21"/>
                <w:szCs w:val="24"/>
              </w:rPr>
              <w:t>主要拆解产物及去向</w:t>
            </w:r>
            <w:r>
              <w:rPr>
                <w:rFonts w:hint="default" w:ascii="宋体" w:hAnsi="Times New Roman"/>
                <w:sz w:val="21"/>
                <w:szCs w:val="24"/>
              </w:rPr>
              <w:t>：金属类、塑料类等一般固废打包后分类暂存于成品仓库，</w:t>
            </w:r>
            <w:r>
              <w:rPr>
                <w:rFonts w:hint="eastAsia" w:ascii="宋体" w:hAnsi="Times New Roman"/>
                <w:sz w:val="21"/>
                <w:szCs w:val="24"/>
                <w:lang w:eastAsia="zh-CN"/>
              </w:rPr>
              <w:t>废电路板</w:t>
            </w:r>
            <w:r>
              <w:rPr>
                <w:rFonts w:hint="default" w:ascii="宋体" w:hAnsi="Times New Roman"/>
                <w:sz w:val="21"/>
                <w:szCs w:val="24"/>
              </w:rPr>
              <w:t>等危废暂存于危废库。</w:t>
            </w:r>
          </w:p>
          <w:p>
            <w:pPr>
              <w:spacing w:line="300" w:lineRule="exact"/>
              <w:rPr>
                <w:rFonts w:ascii="Times New Roman" w:hAnsi="Times New Roman"/>
                <w:szCs w:val="24"/>
              </w:rPr>
            </w:pPr>
          </w:p>
          <w:p>
            <w:pPr>
              <w:numPr>
                <w:ilvl w:val="0"/>
                <w:numId w:val="0"/>
              </w:numPr>
              <w:spacing w:line="300" w:lineRule="exact"/>
              <w:rPr>
                <w:rFonts w:hint="eastAsia" w:ascii="Calibri" w:hAnsi="Calibri" w:eastAsia="宋体" w:cs="Times New Roman"/>
                <w:b/>
                <w:kern w:val="2"/>
                <w:sz w:val="24"/>
                <w:szCs w:val="22"/>
                <w:lang w:val="en-US" w:eastAsia="zh-CN" w:bidi="ar-SA"/>
              </w:rPr>
            </w:pPr>
            <w:r>
              <w:rPr>
                <w:rFonts w:hint="eastAsia" w:ascii="Calibri" w:hAnsi="Calibri" w:eastAsia="宋体" w:cs="Times New Roman"/>
                <w:b/>
                <w:kern w:val="2"/>
                <w:sz w:val="24"/>
                <w:szCs w:val="22"/>
                <w:lang w:val="en-US" w:eastAsia="zh-CN" w:bidi="ar-SA"/>
              </w:rPr>
              <w:t>4、废CRT电视、电脑、监视器拆解线</w:t>
            </w:r>
          </w:p>
          <w:p>
            <w:pPr>
              <w:spacing w:line="300" w:lineRule="exact"/>
              <w:rPr>
                <w:rFonts w:hint="eastAsia" w:ascii="Times New Roman" w:hAnsi="Times New Roman"/>
                <w:szCs w:val="24"/>
              </w:rPr>
            </w:pPr>
            <w:r>
              <w:rPr>
                <w:rFonts w:hint="eastAsia" w:ascii="Times New Roman" w:hAnsi="Times New Roman"/>
                <w:b/>
                <w:bCs/>
                <w:szCs w:val="24"/>
              </w:rPr>
              <w:t>人工拆解：</w:t>
            </w:r>
            <w:r>
              <w:rPr>
                <w:rFonts w:hint="eastAsia" w:ascii="Times New Roman" w:hAnsi="Times New Roman"/>
                <w:szCs w:val="24"/>
              </w:rPr>
              <w:t>在拆解工位进行废旧CRT电视、电脑、监视器的拆解，打开并拆解下机壳、消磁线（铜、铝）、防爆带、阴极罩、镀锌铁、薄铁、CRT、管颈管、偏转线圈、扬声器、色环、电源盒、硬盘、光驱、电脑软驱、管颈管（电子枪）玻璃、电路板、电线等</w:t>
            </w:r>
          </w:p>
          <w:p>
            <w:pPr>
              <w:spacing w:line="300" w:lineRule="exact"/>
              <w:rPr>
                <w:rFonts w:ascii="Times New Roman" w:hAnsi="Times New Roman"/>
                <w:szCs w:val="24"/>
              </w:rPr>
            </w:pPr>
            <w:r>
              <w:rPr>
                <w:rFonts w:hint="eastAsia" w:ascii="Times New Roman" w:hAnsi="Times New Roman"/>
                <w:b/>
                <w:bCs/>
                <w:szCs w:val="24"/>
              </w:rPr>
              <w:t>主要拆解产物及去向：</w:t>
            </w:r>
            <w:r>
              <w:rPr>
                <w:rFonts w:hint="eastAsia" w:ascii="Times New Roman" w:hAnsi="Times New Roman"/>
                <w:szCs w:val="24"/>
              </w:rPr>
              <w:t>金属类、塑料类等一般固废打包后分类暂存于成品仓库，</w:t>
            </w:r>
            <w:r>
              <w:rPr>
                <w:rFonts w:hint="eastAsia" w:ascii="Times New Roman" w:hAnsi="Times New Roman"/>
                <w:szCs w:val="24"/>
                <w:lang w:eastAsia="zh-CN"/>
              </w:rPr>
              <w:t>废电路板</w:t>
            </w:r>
            <w:r>
              <w:rPr>
                <w:rFonts w:hint="eastAsia" w:ascii="Times New Roman" w:hAnsi="Times New Roman"/>
                <w:szCs w:val="24"/>
              </w:rPr>
              <w:t>等危废暂存于危废库。</w:t>
            </w:r>
          </w:p>
          <w:p>
            <w:pPr>
              <w:spacing w:line="300" w:lineRule="exact"/>
              <w:rPr>
                <w:rFonts w:ascii="Times New Roman" w:hAnsi="Times New Roman"/>
                <w:kern w:val="2"/>
                <w:sz w:val="21"/>
                <w:szCs w:val="24"/>
                <w:lang w:val="en-US" w:eastAsia="zh-CN" w:bidi="ar-SA"/>
              </w:rPr>
            </w:pPr>
          </w:p>
          <w:p>
            <w:pPr>
              <w:spacing w:line="300" w:lineRule="exact"/>
              <w:rPr>
                <w:rFonts w:ascii="Times New Roman" w:hAnsi="Times New Roman"/>
                <w:kern w:val="2"/>
                <w:sz w:val="21"/>
                <w:szCs w:val="24"/>
                <w:lang w:val="en-US" w:eastAsia="zh-CN" w:bidi="ar-SA"/>
              </w:rPr>
            </w:pPr>
            <w:r>
              <w:drawing>
                <wp:anchor distT="0" distB="0" distL="114300" distR="114300" simplePos="0" relativeHeight="251663360" behindDoc="0" locked="0" layoutInCell="1" allowOverlap="1">
                  <wp:simplePos x="0" y="0"/>
                  <wp:positionH relativeFrom="column">
                    <wp:posOffset>562610</wp:posOffset>
                  </wp:positionH>
                  <wp:positionV relativeFrom="paragraph">
                    <wp:posOffset>74930</wp:posOffset>
                  </wp:positionV>
                  <wp:extent cx="4148455" cy="2598420"/>
                  <wp:effectExtent l="0" t="0" r="4445" b="1143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4148455" cy="2598420"/>
                          </a:xfrm>
                          <a:prstGeom prst="rect">
                            <a:avLst/>
                          </a:prstGeom>
                          <a:noFill/>
                          <a:ln>
                            <a:noFill/>
                          </a:ln>
                        </pic:spPr>
                      </pic:pic>
                    </a:graphicData>
                  </a:graphic>
                </wp:anchor>
              </w:drawing>
            </w:r>
          </w:p>
          <w:p>
            <w:pPr>
              <w:numPr>
                <w:ilvl w:val="0"/>
                <w:numId w:val="0"/>
              </w:numPr>
              <w:spacing w:line="300" w:lineRule="exact"/>
              <w:rPr>
                <w:rFonts w:hint="eastAsia" w:ascii="Calibri" w:hAnsi="Calibri" w:eastAsia="宋体" w:cs="Times New Roman"/>
                <w:b/>
                <w:kern w:val="2"/>
                <w:sz w:val="24"/>
                <w:szCs w:val="22"/>
                <w:lang w:val="en-US" w:eastAsia="zh-CN" w:bidi="ar-SA"/>
              </w:rPr>
            </w:pPr>
            <w:r>
              <w:rPr>
                <w:rFonts w:hint="eastAsia" w:ascii="Calibri" w:hAnsi="Calibri" w:eastAsia="宋体" w:cs="Times New Roman"/>
                <w:b/>
                <w:kern w:val="2"/>
                <w:sz w:val="24"/>
                <w:szCs w:val="22"/>
                <w:lang w:val="en-US" w:eastAsia="zh-CN" w:bidi="ar-SA"/>
              </w:rPr>
              <w:t>5、废液晶拆解线</w:t>
            </w:r>
          </w:p>
          <w:p>
            <w:pPr>
              <w:numPr>
                <w:ilvl w:val="0"/>
                <w:numId w:val="0"/>
              </w:numPr>
              <w:spacing w:line="300" w:lineRule="exact"/>
              <w:rPr>
                <w:rFonts w:hint="eastAsia" w:ascii="Times New Roman" w:hAnsi="Times New Roman" w:eastAsia="宋体" w:cs="Times New Roman"/>
                <w:szCs w:val="24"/>
                <w:lang w:val="en-US" w:eastAsia="zh-CN"/>
              </w:rPr>
            </w:pPr>
            <w:r>
              <w:rPr>
                <w:rFonts w:hint="eastAsia" w:ascii="Times New Roman" w:hAnsi="Times New Roman"/>
                <w:b/>
                <w:bCs/>
                <w:szCs w:val="24"/>
              </w:rPr>
              <w:t>人工拆解：</w:t>
            </w:r>
            <w:r>
              <w:rPr>
                <w:rFonts w:hint="eastAsia" w:ascii="Times New Roman" w:hAnsi="Times New Roman" w:eastAsia="宋体" w:cs="Times New Roman"/>
                <w:szCs w:val="24"/>
                <w:lang w:val="en-US" w:eastAsia="zh-CN"/>
              </w:rPr>
              <w:t>废平版电视、液晶电脑、液晶监视器由液晶屏、电路板、外壳等部分组成。液晶屏主要有背光灯管、液晶面板等材料组成。在前段人工拆解工位通过人工方式将塑料外壳、遮光板、金属类（熟铝、薄铁、镀锌铁）、液晶屏、扬声器、电源盒、硬盘、光驱、电脑软驱、电路板、电线等先行拆解处理。</w:t>
            </w:r>
          </w:p>
          <w:p>
            <w:pPr>
              <w:spacing w:line="300" w:lineRule="exact"/>
              <w:rPr>
                <w:rFonts w:hint="eastAsia" w:ascii="Times New Roman" w:hAnsi="Times New Roman"/>
                <w:szCs w:val="24"/>
              </w:rPr>
            </w:pPr>
            <w:r>
              <w:rPr>
                <w:rFonts w:hint="eastAsia" w:ascii="Times New Roman" w:hAnsi="Times New Roman"/>
                <w:b/>
                <w:bCs/>
                <w:szCs w:val="24"/>
              </w:rPr>
              <w:t>主要拆解产物及去向</w:t>
            </w:r>
            <w:r>
              <w:rPr>
                <w:rFonts w:hint="eastAsia" w:ascii="Times New Roman" w:hAnsi="Times New Roman"/>
                <w:szCs w:val="24"/>
              </w:rPr>
              <w:t>：金属类、塑料类等一般固废打包后分类暂存于成品仓库，</w:t>
            </w:r>
            <w:r>
              <w:rPr>
                <w:rFonts w:hint="eastAsia" w:ascii="Times New Roman" w:hAnsi="Times New Roman"/>
                <w:szCs w:val="24"/>
                <w:lang w:eastAsia="zh-CN"/>
              </w:rPr>
              <w:t>废电路板</w:t>
            </w:r>
            <w:r>
              <w:rPr>
                <w:rFonts w:hint="eastAsia" w:ascii="Times New Roman" w:hAnsi="Times New Roman"/>
                <w:szCs w:val="24"/>
              </w:rPr>
              <w:t>等危废暂存于危废库。</w:t>
            </w:r>
          </w:p>
          <w:p>
            <w:pPr>
              <w:spacing w:line="300" w:lineRule="exact"/>
              <w:rPr>
                <w:rFonts w:ascii="Times New Roman" w:hAnsi="Times New Roman"/>
                <w:kern w:val="2"/>
                <w:sz w:val="21"/>
                <w:szCs w:val="24"/>
                <w:lang w:val="en-US" w:eastAsia="zh-CN" w:bidi="ar-SA"/>
              </w:rPr>
            </w:pPr>
          </w:p>
          <w:p>
            <w:pPr>
              <w:spacing w:line="300" w:lineRule="exact"/>
              <w:rPr>
                <w:rFonts w:ascii="Times New Roman" w:hAnsi="Times New Roman"/>
                <w:kern w:val="2"/>
                <w:sz w:val="21"/>
                <w:szCs w:val="24"/>
                <w:lang w:val="en-US" w:eastAsia="zh-CN" w:bidi="ar-SA"/>
              </w:rPr>
            </w:pPr>
            <w:r>
              <w:rPr>
                <w:rFonts w:hint="default" w:ascii="Times New Roman" w:hAnsi="Times New Roman" w:eastAsia="宋体" w:cs="Times New Roman"/>
                <w:bCs/>
                <w:color w:val="auto"/>
                <w:sz w:val="24"/>
                <w:szCs w:val="24"/>
                <w:lang w:eastAsia="zh-CN"/>
              </w:rPr>
              <w:pict>
                <v:shape id="Object 31" o:spid="_x0000_s1030" o:spt="75" type="#_x0000_t75" style="position:absolute;left:0pt;margin-left:41.4pt;margin-top:10.2pt;height:218.15pt;width:349pt;mso-wrap-distance-bottom:0pt;mso-wrap-distance-top:0pt;z-index:251664384;mso-width-relative:page;mso-height-relative:page;" o:ole="t" filled="f" o:preferrelative="t" stroked="f" coordsize="21600,21600">
                  <v:path/>
                  <v:fill on="f" focussize="0,0"/>
                  <v:stroke on="f"/>
                  <v:imagedata r:id="rId13" o:title=""/>
                  <o:lock v:ext="edit" aspectratio="t"/>
                  <w10:wrap type="topAndBottom"/>
                </v:shape>
                <o:OLEObject Type="Embed" ProgID="" ShapeID="Object 31" DrawAspect="Content" ObjectID="_1468075725" r:id="rId12">
                  <o:LockedField>false</o:LockedField>
                </o:OLEObject>
              </w:pict>
            </w:r>
          </w:p>
        </w:tc>
      </w:tr>
    </w:tbl>
    <w:p>
      <w:pPr>
        <w:rPr>
          <w:rFonts w:ascii="Times New Roman" w:eastAsia="黑体"/>
          <w:sz w:val="28"/>
          <w:szCs w:val="28"/>
        </w:rPr>
      </w:pPr>
    </w:p>
    <w:p>
      <w:pPr>
        <w:rPr>
          <w:rFonts w:ascii="Times New Roman" w:eastAsia="黑体"/>
          <w:sz w:val="28"/>
          <w:szCs w:val="28"/>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648"/>
        <w:gridCol w:w="1564"/>
        <w:gridCol w:w="2054"/>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000" w:type="pct"/>
            <w:gridSpan w:val="5"/>
            <w:noWrap w:val="0"/>
            <w:vAlign w:val="center"/>
          </w:tcPr>
          <w:p>
            <w:pPr>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3   </w:t>
            </w:r>
            <w:r>
              <w:rPr>
                <w:rFonts w:ascii="Times New Roman" w:eastAsia="黑体"/>
                <w:sz w:val="24"/>
                <w:szCs w:val="24"/>
              </w:rPr>
              <w:t>废物组分、特性（详见附件）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83" w:type="pct"/>
            <w:noWrap w:val="0"/>
            <w:vAlign w:val="center"/>
          </w:tcPr>
          <w:p>
            <w:pPr>
              <w:spacing w:line="240" w:lineRule="auto"/>
              <w:rPr>
                <w:rFonts w:ascii="Times New Roman" w:hAnsi="Times New Roman"/>
                <w:szCs w:val="21"/>
              </w:rPr>
            </w:pPr>
            <w:r>
              <w:rPr>
                <w:rFonts w:ascii="Times New Roman" w:hAnsi="宋体"/>
                <w:szCs w:val="21"/>
              </w:rPr>
              <w:t>废物名称</w:t>
            </w:r>
          </w:p>
        </w:tc>
        <w:tc>
          <w:tcPr>
            <w:tcW w:w="966" w:type="pct"/>
            <w:noWrap w:val="0"/>
            <w:vAlign w:val="center"/>
          </w:tcPr>
          <w:p>
            <w:pPr>
              <w:spacing w:line="240" w:lineRule="auto"/>
              <w:rPr>
                <w:rFonts w:ascii="Times New Roman" w:hAnsi="Times New Roman"/>
                <w:szCs w:val="21"/>
              </w:rPr>
            </w:pPr>
            <w:r>
              <w:rPr>
                <w:rFonts w:ascii="Times New Roman" w:hAnsi="宋体"/>
                <w:szCs w:val="21"/>
              </w:rPr>
              <w:t>主要组分</w:t>
            </w:r>
          </w:p>
        </w:tc>
        <w:tc>
          <w:tcPr>
            <w:tcW w:w="917" w:type="pct"/>
            <w:noWrap w:val="0"/>
            <w:vAlign w:val="center"/>
          </w:tcPr>
          <w:p>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1204" w:type="pct"/>
            <w:noWrap w:val="0"/>
            <w:vAlign w:val="center"/>
          </w:tcPr>
          <w:p>
            <w:pPr>
              <w:spacing w:line="240" w:lineRule="auto"/>
              <w:rPr>
                <w:rFonts w:ascii="Times New Roman" w:hAnsi="Times New Roman"/>
                <w:szCs w:val="21"/>
              </w:rPr>
            </w:pPr>
            <w:r>
              <w:rPr>
                <w:rFonts w:ascii="Times New Roman" w:hAnsi="宋体"/>
                <w:szCs w:val="21"/>
              </w:rPr>
              <w:t>危害特性</w:t>
            </w:r>
          </w:p>
        </w:tc>
        <w:tc>
          <w:tcPr>
            <w:tcW w:w="928" w:type="pct"/>
            <w:noWrap w:val="0"/>
            <w:vAlign w:val="center"/>
          </w:tcPr>
          <w:p>
            <w:pPr>
              <w:spacing w:line="240" w:lineRule="auto"/>
              <w:rPr>
                <w:rFonts w:ascii="Times New Roman" w:hAnsi="Times New Roman"/>
                <w:szCs w:val="21"/>
              </w:rPr>
            </w:pPr>
            <w:r>
              <w:rPr>
                <w:rFonts w:ascii="Times New Roman" w:hAnsi="宋体"/>
                <w:szCs w:val="21"/>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3" w:type="pct"/>
            <w:vMerge w:val="restart"/>
            <w:noWrap w:val="0"/>
            <w:vAlign w:val="center"/>
          </w:tcPr>
          <w:p>
            <w:pPr>
              <w:spacing w:line="240" w:lineRule="auto"/>
              <w:jc w:val="center"/>
              <w:rPr>
                <w:rFonts w:ascii="Times New Roman" w:hAnsi="Times New Roman"/>
                <w:szCs w:val="21"/>
              </w:rPr>
            </w:pPr>
            <w:r>
              <w:rPr>
                <w:rFonts w:hint="eastAsia" w:ascii="Times New Roman" w:hAnsi="Times New Roman"/>
                <w:szCs w:val="21"/>
                <w:lang w:val="en-US" w:eastAsia="zh-CN"/>
              </w:rPr>
              <w:t>废电路板</w:t>
            </w:r>
          </w:p>
        </w:tc>
        <w:tc>
          <w:tcPr>
            <w:tcW w:w="966" w:type="pct"/>
            <w:noWrap w:val="0"/>
            <w:vAlign w:val="center"/>
          </w:tcPr>
          <w:p>
            <w:pPr>
              <w:spacing w:line="240" w:lineRule="auto"/>
              <w:jc w:val="center"/>
              <w:rPr>
                <w:rFonts w:ascii="Times New Roman" w:hAnsi="Times New Roman"/>
                <w:szCs w:val="21"/>
              </w:rPr>
            </w:pPr>
            <w:r>
              <w:rPr>
                <w:rFonts w:hint="eastAsia" w:ascii="Times New Roman" w:hAnsi="Times New Roman"/>
                <w:szCs w:val="21"/>
                <w:lang w:val="en-US" w:eastAsia="zh-CN"/>
              </w:rPr>
              <w:t>环氧树脂</w:t>
            </w:r>
          </w:p>
        </w:tc>
        <w:tc>
          <w:tcPr>
            <w:tcW w:w="917" w:type="pct"/>
            <w:noWrap w:val="0"/>
            <w:vAlign w:val="top"/>
          </w:tcPr>
          <w:p>
            <w:pPr>
              <w:spacing w:line="240" w:lineRule="auto"/>
              <w:jc w:val="center"/>
              <w:rPr>
                <w:rFonts w:ascii="Times New Roman" w:hAnsi="Times New Roman"/>
                <w:szCs w:val="21"/>
              </w:rPr>
            </w:pPr>
            <w:r>
              <w:rPr>
                <w:rFonts w:hint="eastAsia" w:ascii="Times New Roman" w:hAnsi="Times New Roman"/>
                <w:szCs w:val="21"/>
                <w:lang w:val="en-US" w:eastAsia="zh-CN"/>
              </w:rPr>
              <w:t>85</w:t>
            </w:r>
          </w:p>
        </w:tc>
        <w:tc>
          <w:tcPr>
            <w:tcW w:w="1204" w:type="pct"/>
            <w:vMerge w:val="restart"/>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szCs w:val="21"/>
              </w:rPr>
              <w:sym w:font="Wingdings 2" w:char="0052"/>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928" w:type="pct"/>
            <w:vMerge w:val="restart"/>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r>
              <w:rPr>
                <w:rFonts w:ascii="Times New Roman" w:hAnsi="Times New Roman"/>
                <w:szCs w:val="21"/>
              </w:rPr>
              <w:sym w:font="Wingdings 2" w:char="0052"/>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3" w:type="pct"/>
            <w:vMerge w:val="continue"/>
            <w:noWrap w:val="0"/>
            <w:vAlign w:val="center"/>
          </w:tcPr>
          <w:p>
            <w:pPr>
              <w:spacing w:line="240" w:lineRule="auto"/>
              <w:jc w:val="center"/>
              <w:rPr>
                <w:rFonts w:ascii="Times New Roman" w:hAnsi="Times New Roman"/>
                <w:szCs w:val="21"/>
              </w:rPr>
            </w:pPr>
          </w:p>
        </w:tc>
        <w:tc>
          <w:tcPr>
            <w:tcW w:w="966" w:type="pct"/>
            <w:noWrap w:val="0"/>
            <w:vAlign w:val="center"/>
          </w:tcPr>
          <w:p>
            <w:pPr>
              <w:spacing w:line="240" w:lineRule="auto"/>
              <w:jc w:val="center"/>
              <w:rPr>
                <w:rFonts w:ascii="Times New Roman" w:hAnsi="Times New Roman"/>
                <w:szCs w:val="21"/>
              </w:rPr>
            </w:pPr>
            <w:r>
              <w:rPr>
                <w:rFonts w:hint="eastAsia" w:ascii="Times New Roman" w:hAnsi="Times New Roman"/>
                <w:szCs w:val="21"/>
                <w:lang w:val="en-US" w:eastAsia="zh-CN"/>
              </w:rPr>
              <w:t>铜等金属</w:t>
            </w:r>
          </w:p>
        </w:tc>
        <w:tc>
          <w:tcPr>
            <w:tcW w:w="917" w:type="pct"/>
            <w:noWrap w:val="0"/>
            <w:vAlign w:val="top"/>
          </w:tcPr>
          <w:p>
            <w:pPr>
              <w:spacing w:line="240" w:lineRule="auto"/>
              <w:jc w:val="center"/>
              <w:rPr>
                <w:rFonts w:ascii="Times New Roman" w:hAnsi="Times New Roman"/>
                <w:szCs w:val="21"/>
              </w:rPr>
            </w:pPr>
            <w:r>
              <w:rPr>
                <w:rFonts w:hint="eastAsia" w:ascii="Times New Roman" w:hAnsi="Times New Roman"/>
                <w:szCs w:val="21"/>
                <w:lang w:val="en-US" w:eastAsia="zh-CN"/>
              </w:rPr>
              <w:t>5</w:t>
            </w:r>
          </w:p>
        </w:tc>
        <w:tc>
          <w:tcPr>
            <w:tcW w:w="1204" w:type="pct"/>
            <w:vMerge w:val="continue"/>
            <w:noWrap w:val="0"/>
            <w:vAlign w:val="center"/>
          </w:tcPr>
          <w:p>
            <w:pPr>
              <w:spacing w:line="240" w:lineRule="auto"/>
              <w:rPr>
                <w:rFonts w:ascii="Times New Roman" w:hAnsi="Times New Roman"/>
                <w:szCs w:val="21"/>
              </w:rPr>
            </w:pPr>
          </w:p>
        </w:tc>
        <w:tc>
          <w:tcPr>
            <w:tcW w:w="928" w:type="pct"/>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3" w:type="pct"/>
            <w:vMerge w:val="continue"/>
            <w:noWrap w:val="0"/>
            <w:vAlign w:val="center"/>
          </w:tcPr>
          <w:p>
            <w:pPr>
              <w:spacing w:line="240" w:lineRule="auto"/>
              <w:jc w:val="center"/>
              <w:rPr>
                <w:rFonts w:ascii="Times New Roman" w:hAnsi="Times New Roman"/>
                <w:szCs w:val="21"/>
              </w:rPr>
            </w:pPr>
          </w:p>
        </w:tc>
        <w:tc>
          <w:tcPr>
            <w:tcW w:w="966" w:type="pct"/>
            <w:noWrap w:val="0"/>
            <w:vAlign w:val="center"/>
          </w:tcPr>
          <w:p>
            <w:pPr>
              <w:spacing w:line="240" w:lineRule="auto"/>
              <w:jc w:val="center"/>
              <w:rPr>
                <w:rFonts w:ascii="Times New Roman" w:hAnsi="Times New Roman"/>
                <w:szCs w:val="21"/>
              </w:rPr>
            </w:pPr>
            <w:r>
              <w:rPr>
                <w:rFonts w:hint="eastAsia" w:ascii="Times New Roman" w:hAnsi="Times New Roman"/>
                <w:szCs w:val="21"/>
                <w:lang w:val="en-US" w:eastAsia="zh-CN"/>
              </w:rPr>
              <w:t>其他</w:t>
            </w:r>
          </w:p>
        </w:tc>
        <w:tc>
          <w:tcPr>
            <w:tcW w:w="917" w:type="pct"/>
            <w:noWrap w:val="0"/>
            <w:vAlign w:val="top"/>
          </w:tcPr>
          <w:p>
            <w:pPr>
              <w:spacing w:line="240" w:lineRule="auto"/>
              <w:jc w:val="center"/>
              <w:rPr>
                <w:rFonts w:ascii="Times New Roman" w:hAnsi="Times New Roman"/>
                <w:szCs w:val="21"/>
              </w:rPr>
            </w:pPr>
            <w:r>
              <w:rPr>
                <w:rFonts w:hint="eastAsia" w:ascii="Times New Roman" w:hAnsi="Times New Roman"/>
                <w:szCs w:val="21"/>
                <w:lang w:val="en-US" w:eastAsia="zh-CN"/>
              </w:rPr>
              <w:t>10</w:t>
            </w:r>
          </w:p>
        </w:tc>
        <w:tc>
          <w:tcPr>
            <w:tcW w:w="1204" w:type="pct"/>
            <w:vMerge w:val="continue"/>
            <w:noWrap w:val="0"/>
            <w:vAlign w:val="center"/>
          </w:tcPr>
          <w:p>
            <w:pPr>
              <w:spacing w:line="240" w:lineRule="auto"/>
              <w:rPr>
                <w:rFonts w:ascii="Times New Roman" w:hAnsi="Times New Roman"/>
                <w:szCs w:val="21"/>
              </w:rPr>
            </w:pPr>
          </w:p>
        </w:tc>
        <w:tc>
          <w:tcPr>
            <w:tcW w:w="928" w:type="pct"/>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3" w:type="pct"/>
            <w:vMerge w:val="continue"/>
            <w:noWrap w:val="0"/>
            <w:vAlign w:val="center"/>
          </w:tcPr>
          <w:p>
            <w:pPr>
              <w:spacing w:line="240" w:lineRule="auto"/>
              <w:jc w:val="center"/>
              <w:rPr>
                <w:rFonts w:ascii="Times New Roman" w:hAnsi="Times New Roman"/>
                <w:szCs w:val="21"/>
              </w:rPr>
            </w:pPr>
          </w:p>
        </w:tc>
        <w:tc>
          <w:tcPr>
            <w:tcW w:w="966" w:type="pct"/>
            <w:noWrap w:val="0"/>
            <w:vAlign w:val="center"/>
          </w:tcPr>
          <w:p>
            <w:pPr>
              <w:spacing w:line="240" w:lineRule="auto"/>
              <w:jc w:val="center"/>
              <w:rPr>
                <w:rFonts w:ascii="Times New Roman" w:hAnsi="Times New Roman"/>
                <w:szCs w:val="21"/>
              </w:rPr>
            </w:pPr>
          </w:p>
        </w:tc>
        <w:tc>
          <w:tcPr>
            <w:tcW w:w="917" w:type="pct"/>
            <w:noWrap w:val="0"/>
            <w:vAlign w:val="top"/>
          </w:tcPr>
          <w:p>
            <w:pPr>
              <w:spacing w:line="240" w:lineRule="auto"/>
              <w:rPr>
                <w:rFonts w:ascii="Times New Roman" w:hAnsi="Times New Roman"/>
                <w:szCs w:val="21"/>
              </w:rPr>
            </w:pPr>
          </w:p>
        </w:tc>
        <w:tc>
          <w:tcPr>
            <w:tcW w:w="1204" w:type="pct"/>
            <w:vMerge w:val="continue"/>
            <w:noWrap w:val="0"/>
            <w:vAlign w:val="center"/>
          </w:tcPr>
          <w:p>
            <w:pPr>
              <w:spacing w:line="240" w:lineRule="auto"/>
              <w:rPr>
                <w:rFonts w:ascii="Times New Roman" w:hAnsi="Times New Roman"/>
                <w:szCs w:val="21"/>
              </w:rPr>
            </w:pPr>
          </w:p>
        </w:tc>
        <w:tc>
          <w:tcPr>
            <w:tcW w:w="928" w:type="pct"/>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3" w:type="pct"/>
            <w:vMerge w:val="continue"/>
            <w:noWrap w:val="0"/>
            <w:vAlign w:val="center"/>
          </w:tcPr>
          <w:p>
            <w:pPr>
              <w:spacing w:line="240" w:lineRule="auto"/>
              <w:jc w:val="center"/>
              <w:rPr>
                <w:rFonts w:ascii="Times New Roman" w:hAnsi="Times New Roman"/>
                <w:szCs w:val="21"/>
              </w:rPr>
            </w:pPr>
          </w:p>
        </w:tc>
        <w:tc>
          <w:tcPr>
            <w:tcW w:w="966" w:type="pct"/>
            <w:noWrap w:val="0"/>
            <w:vAlign w:val="top"/>
          </w:tcPr>
          <w:p>
            <w:pPr>
              <w:spacing w:line="240" w:lineRule="auto"/>
              <w:rPr>
                <w:rFonts w:ascii="Times New Roman" w:hAnsi="Times New Roman"/>
                <w:szCs w:val="21"/>
              </w:rPr>
            </w:pPr>
          </w:p>
        </w:tc>
        <w:tc>
          <w:tcPr>
            <w:tcW w:w="917" w:type="pct"/>
            <w:noWrap w:val="0"/>
            <w:vAlign w:val="top"/>
          </w:tcPr>
          <w:p>
            <w:pPr>
              <w:spacing w:line="240" w:lineRule="auto"/>
              <w:rPr>
                <w:rFonts w:ascii="Times New Roman" w:hAnsi="Times New Roman"/>
                <w:szCs w:val="21"/>
              </w:rPr>
            </w:pPr>
          </w:p>
        </w:tc>
        <w:tc>
          <w:tcPr>
            <w:tcW w:w="1204" w:type="pct"/>
            <w:vMerge w:val="continue"/>
            <w:noWrap w:val="0"/>
            <w:vAlign w:val="center"/>
          </w:tcPr>
          <w:p>
            <w:pPr>
              <w:spacing w:line="240" w:lineRule="auto"/>
              <w:rPr>
                <w:rFonts w:ascii="Times New Roman" w:hAnsi="Times New Roman"/>
                <w:szCs w:val="21"/>
              </w:rPr>
            </w:pPr>
          </w:p>
        </w:tc>
        <w:tc>
          <w:tcPr>
            <w:tcW w:w="928" w:type="pct"/>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83" w:type="pct"/>
            <w:vMerge w:val="restart"/>
            <w:noWrap w:val="0"/>
            <w:vAlign w:val="center"/>
          </w:tcPr>
          <w:p>
            <w:pPr>
              <w:spacing w:line="240" w:lineRule="auto"/>
              <w:jc w:val="center"/>
              <w:rPr>
                <w:rFonts w:ascii="Times New Roman" w:hAnsi="Times New Roman"/>
                <w:szCs w:val="21"/>
              </w:rPr>
            </w:pPr>
          </w:p>
          <w:p>
            <w:pPr>
              <w:spacing w:line="240" w:lineRule="auto"/>
              <w:jc w:val="center"/>
              <w:rPr>
                <w:rFonts w:ascii="Times New Roman" w:hAnsi="Times New Roman"/>
                <w:szCs w:val="21"/>
              </w:rPr>
            </w:pPr>
          </w:p>
          <w:p>
            <w:pPr>
              <w:spacing w:line="240" w:lineRule="auto"/>
              <w:jc w:val="center"/>
              <w:rPr>
                <w:rFonts w:ascii="Times New Roman" w:hAnsi="Times New Roman"/>
                <w:szCs w:val="21"/>
              </w:rPr>
            </w:pPr>
          </w:p>
          <w:p>
            <w:pPr>
              <w:spacing w:line="240" w:lineRule="auto"/>
              <w:jc w:val="center"/>
              <w:rPr>
                <w:rFonts w:ascii="Times New Roman" w:hAnsi="Times New Roman"/>
                <w:szCs w:val="21"/>
              </w:rPr>
            </w:pPr>
          </w:p>
          <w:p>
            <w:pPr>
              <w:spacing w:line="240" w:lineRule="auto"/>
              <w:jc w:val="center"/>
              <w:rPr>
                <w:rFonts w:ascii="Times New Roman" w:hAnsi="Times New Roman"/>
                <w:szCs w:val="21"/>
              </w:rPr>
            </w:pPr>
          </w:p>
        </w:tc>
        <w:tc>
          <w:tcPr>
            <w:tcW w:w="966" w:type="pct"/>
            <w:noWrap w:val="0"/>
            <w:vAlign w:val="top"/>
          </w:tcPr>
          <w:p>
            <w:pPr>
              <w:spacing w:line="240" w:lineRule="auto"/>
              <w:rPr>
                <w:rFonts w:ascii="Times New Roman" w:hAnsi="Times New Roman"/>
                <w:szCs w:val="21"/>
              </w:rPr>
            </w:pPr>
          </w:p>
        </w:tc>
        <w:tc>
          <w:tcPr>
            <w:tcW w:w="917" w:type="pct"/>
            <w:noWrap w:val="0"/>
            <w:vAlign w:val="top"/>
          </w:tcPr>
          <w:p>
            <w:pPr>
              <w:spacing w:line="240" w:lineRule="auto"/>
              <w:rPr>
                <w:rFonts w:ascii="Times New Roman" w:hAnsi="Times New Roman"/>
                <w:szCs w:val="21"/>
              </w:rPr>
            </w:pPr>
          </w:p>
        </w:tc>
        <w:tc>
          <w:tcPr>
            <w:tcW w:w="1204" w:type="pct"/>
            <w:vMerge w:val="restart"/>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928" w:type="pct"/>
            <w:vMerge w:val="restart"/>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83" w:type="pct"/>
            <w:vMerge w:val="continue"/>
            <w:noWrap w:val="0"/>
            <w:vAlign w:val="top"/>
          </w:tcPr>
          <w:p>
            <w:pPr>
              <w:spacing w:line="240" w:lineRule="auto"/>
              <w:rPr>
                <w:rFonts w:ascii="Times New Roman" w:hAnsi="Times New Roman"/>
                <w:szCs w:val="21"/>
              </w:rPr>
            </w:pPr>
          </w:p>
        </w:tc>
        <w:tc>
          <w:tcPr>
            <w:tcW w:w="966" w:type="pct"/>
            <w:noWrap w:val="0"/>
            <w:vAlign w:val="top"/>
          </w:tcPr>
          <w:p>
            <w:pPr>
              <w:spacing w:line="240" w:lineRule="auto"/>
              <w:rPr>
                <w:rFonts w:ascii="Times New Roman" w:hAnsi="Times New Roman"/>
                <w:szCs w:val="21"/>
              </w:rPr>
            </w:pPr>
          </w:p>
        </w:tc>
        <w:tc>
          <w:tcPr>
            <w:tcW w:w="917" w:type="pct"/>
            <w:noWrap w:val="0"/>
            <w:vAlign w:val="top"/>
          </w:tcPr>
          <w:p>
            <w:pPr>
              <w:spacing w:line="240" w:lineRule="auto"/>
              <w:rPr>
                <w:rFonts w:ascii="Times New Roman" w:hAnsi="Times New Roman"/>
                <w:szCs w:val="21"/>
              </w:rPr>
            </w:pPr>
          </w:p>
        </w:tc>
        <w:tc>
          <w:tcPr>
            <w:tcW w:w="1204" w:type="pct"/>
            <w:vMerge w:val="continue"/>
            <w:noWrap w:val="0"/>
            <w:vAlign w:val="center"/>
          </w:tcPr>
          <w:p>
            <w:pPr>
              <w:spacing w:line="240" w:lineRule="auto"/>
              <w:rPr>
                <w:rFonts w:ascii="Times New Roman" w:hAnsi="Times New Roman"/>
                <w:szCs w:val="21"/>
              </w:rPr>
            </w:pPr>
          </w:p>
        </w:tc>
        <w:tc>
          <w:tcPr>
            <w:tcW w:w="928" w:type="pct"/>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83" w:type="pct"/>
            <w:vMerge w:val="continue"/>
            <w:noWrap w:val="0"/>
            <w:vAlign w:val="top"/>
          </w:tcPr>
          <w:p>
            <w:pPr>
              <w:spacing w:line="240" w:lineRule="auto"/>
              <w:rPr>
                <w:rFonts w:ascii="Times New Roman" w:hAnsi="Times New Roman"/>
                <w:szCs w:val="21"/>
              </w:rPr>
            </w:pPr>
          </w:p>
        </w:tc>
        <w:tc>
          <w:tcPr>
            <w:tcW w:w="966" w:type="pct"/>
            <w:noWrap w:val="0"/>
            <w:vAlign w:val="top"/>
          </w:tcPr>
          <w:p>
            <w:pPr>
              <w:spacing w:line="240" w:lineRule="auto"/>
              <w:rPr>
                <w:rFonts w:ascii="Times New Roman" w:hAnsi="Times New Roman"/>
                <w:szCs w:val="21"/>
              </w:rPr>
            </w:pPr>
          </w:p>
        </w:tc>
        <w:tc>
          <w:tcPr>
            <w:tcW w:w="917" w:type="pct"/>
            <w:noWrap w:val="0"/>
            <w:vAlign w:val="top"/>
          </w:tcPr>
          <w:p>
            <w:pPr>
              <w:spacing w:line="240" w:lineRule="auto"/>
              <w:rPr>
                <w:rFonts w:ascii="Times New Roman" w:hAnsi="Times New Roman"/>
                <w:szCs w:val="21"/>
              </w:rPr>
            </w:pPr>
          </w:p>
        </w:tc>
        <w:tc>
          <w:tcPr>
            <w:tcW w:w="1204" w:type="pct"/>
            <w:vMerge w:val="continue"/>
            <w:noWrap w:val="0"/>
            <w:vAlign w:val="center"/>
          </w:tcPr>
          <w:p>
            <w:pPr>
              <w:spacing w:line="240" w:lineRule="auto"/>
              <w:rPr>
                <w:rFonts w:ascii="Times New Roman" w:hAnsi="Times New Roman"/>
                <w:szCs w:val="21"/>
              </w:rPr>
            </w:pPr>
          </w:p>
        </w:tc>
        <w:tc>
          <w:tcPr>
            <w:tcW w:w="928" w:type="pct"/>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83" w:type="pct"/>
            <w:vMerge w:val="continue"/>
            <w:noWrap w:val="0"/>
            <w:vAlign w:val="top"/>
          </w:tcPr>
          <w:p>
            <w:pPr>
              <w:spacing w:line="240" w:lineRule="auto"/>
              <w:rPr>
                <w:rFonts w:ascii="Times New Roman" w:hAnsi="Times New Roman"/>
                <w:szCs w:val="21"/>
              </w:rPr>
            </w:pPr>
          </w:p>
        </w:tc>
        <w:tc>
          <w:tcPr>
            <w:tcW w:w="966" w:type="pct"/>
            <w:noWrap w:val="0"/>
            <w:vAlign w:val="top"/>
          </w:tcPr>
          <w:p>
            <w:pPr>
              <w:spacing w:line="240" w:lineRule="auto"/>
              <w:rPr>
                <w:rFonts w:ascii="Times New Roman" w:hAnsi="Times New Roman"/>
                <w:szCs w:val="21"/>
              </w:rPr>
            </w:pPr>
          </w:p>
        </w:tc>
        <w:tc>
          <w:tcPr>
            <w:tcW w:w="917" w:type="pct"/>
            <w:noWrap w:val="0"/>
            <w:vAlign w:val="top"/>
          </w:tcPr>
          <w:p>
            <w:pPr>
              <w:spacing w:line="240" w:lineRule="auto"/>
              <w:rPr>
                <w:rFonts w:ascii="Times New Roman" w:hAnsi="Times New Roman"/>
                <w:szCs w:val="21"/>
              </w:rPr>
            </w:pPr>
          </w:p>
        </w:tc>
        <w:tc>
          <w:tcPr>
            <w:tcW w:w="1204" w:type="pct"/>
            <w:vMerge w:val="continue"/>
            <w:noWrap w:val="0"/>
            <w:vAlign w:val="center"/>
          </w:tcPr>
          <w:p>
            <w:pPr>
              <w:spacing w:line="240" w:lineRule="auto"/>
              <w:rPr>
                <w:rFonts w:ascii="Times New Roman" w:hAnsi="Times New Roman"/>
                <w:szCs w:val="21"/>
              </w:rPr>
            </w:pPr>
          </w:p>
        </w:tc>
        <w:tc>
          <w:tcPr>
            <w:tcW w:w="928" w:type="pct"/>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83" w:type="pct"/>
            <w:vMerge w:val="continue"/>
            <w:noWrap w:val="0"/>
            <w:vAlign w:val="top"/>
          </w:tcPr>
          <w:p>
            <w:pPr>
              <w:spacing w:line="240" w:lineRule="auto"/>
              <w:rPr>
                <w:rFonts w:ascii="Times New Roman" w:hAnsi="Times New Roman"/>
                <w:szCs w:val="21"/>
              </w:rPr>
            </w:pPr>
          </w:p>
        </w:tc>
        <w:tc>
          <w:tcPr>
            <w:tcW w:w="966" w:type="pct"/>
            <w:noWrap w:val="0"/>
            <w:vAlign w:val="top"/>
          </w:tcPr>
          <w:p>
            <w:pPr>
              <w:spacing w:line="240" w:lineRule="auto"/>
              <w:rPr>
                <w:rFonts w:ascii="Times New Roman" w:hAnsi="Times New Roman"/>
                <w:szCs w:val="21"/>
              </w:rPr>
            </w:pPr>
          </w:p>
        </w:tc>
        <w:tc>
          <w:tcPr>
            <w:tcW w:w="917" w:type="pct"/>
            <w:noWrap w:val="0"/>
            <w:vAlign w:val="top"/>
          </w:tcPr>
          <w:p>
            <w:pPr>
              <w:spacing w:line="240" w:lineRule="auto"/>
              <w:rPr>
                <w:rFonts w:ascii="Times New Roman" w:hAnsi="Times New Roman"/>
                <w:szCs w:val="21"/>
              </w:rPr>
            </w:pPr>
          </w:p>
        </w:tc>
        <w:tc>
          <w:tcPr>
            <w:tcW w:w="1204" w:type="pct"/>
            <w:vMerge w:val="continue"/>
            <w:noWrap w:val="0"/>
            <w:vAlign w:val="center"/>
          </w:tcPr>
          <w:p>
            <w:pPr>
              <w:spacing w:line="240" w:lineRule="auto"/>
              <w:rPr>
                <w:rFonts w:ascii="Times New Roman" w:hAnsi="Times New Roman"/>
                <w:szCs w:val="21"/>
              </w:rPr>
            </w:pPr>
          </w:p>
        </w:tc>
        <w:tc>
          <w:tcPr>
            <w:tcW w:w="928" w:type="pct"/>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83" w:type="pct"/>
            <w:noWrap w:val="0"/>
            <w:vAlign w:val="top"/>
          </w:tcPr>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tc>
        <w:tc>
          <w:tcPr>
            <w:tcW w:w="966" w:type="pct"/>
            <w:noWrap w:val="0"/>
            <w:vAlign w:val="top"/>
          </w:tcPr>
          <w:p>
            <w:pPr>
              <w:spacing w:line="240" w:lineRule="auto"/>
              <w:rPr>
                <w:rFonts w:ascii="Times New Roman" w:hAnsi="Times New Roman"/>
                <w:szCs w:val="21"/>
              </w:rPr>
            </w:pPr>
          </w:p>
        </w:tc>
        <w:tc>
          <w:tcPr>
            <w:tcW w:w="917" w:type="pct"/>
            <w:noWrap w:val="0"/>
            <w:vAlign w:val="top"/>
          </w:tcPr>
          <w:p>
            <w:pPr>
              <w:spacing w:line="240" w:lineRule="auto"/>
              <w:rPr>
                <w:rFonts w:ascii="Times New Roman" w:hAnsi="Times New Roman"/>
                <w:szCs w:val="21"/>
              </w:rPr>
            </w:pPr>
          </w:p>
        </w:tc>
        <w:tc>
          <w:tcPr>
            <w:tcW w:w="1204" w:type="pct"/>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928" w:type="pct"/>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pPr>
        <w:rPr>
          <w:rFonts w:ascii="Times New Roman" w:eastAsia="黑体"/>
          <w:sz w:val="28"/>
          <w:szCs w:val="28"/>
        </w:rPr>
      </w:pPr>
    </w:p>
    <w:p>
      <w:pPr>
        <w:rPr>
          <w:rFonts w:ascii="Times New Roman" w:eastAsia="黑体"/>
          <w:sz w:val="28"/>
          <w:szCs w:val="28"/>
        </w:rPr>
      </w:pPr>
    </w:p>
    <w:p>
      <w:pPr>
        <w:rPr>
          <w:rFonts w:ascii="Times New Roman" w:eastAsia="黑体"/>
          <w:sz w:val="28"/>
          <w:szCs w:val="28"/>
        </w:rPr>
      </w:pPr>
    </w:p>
    <w:p>
      <w:pPr>
        <w:rPr>
          <w:rFonts w:ascii="Times New Roman" w:hAnsi="Times New Roman" w:eastAsia="黑体"/>
          <w:sz w:val="28"/>
          <w:szCs w:val="28"/>
        </w:rPr>
      </w:pPr>
      <w:r>
        <w:rPr>
          <w:rFonts w:ascii="Times New Roman" w:eastAsia="黑体"/>
          <w:sz w:val="28"/>
          <w:szCs w:val="28"/>
        </w:rPr>
        <w:br w:type="page"/>
      </w:r>
      <w:r>
        <w:rPr>
          <w:rFonts w:ascii="Times New Roman" w:eastAsia="黑体"/>
          <w:sz w:val="28"/>
          <w:szCs w:val="28"/>
        </w:rPr>
        <w:t>第二部分：废物包装、运输情况</w:t>
      </w:r>
    </w:p>
    <w:tbl>
      <w:tblPr>
        <w:tblStyle w:val="4"/>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634"/>
        <w:gridCol w:w="2075"/>
        <w:gridCol w:w="1421"/>
        <w:gridCol w:w="137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noWrap w:val="0"/>
            <w:vAlign w:val="center"/>
          </w:tcPr>
          <w:p>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noWrap w:val="0"/>
            <w:vAlign w:val="center"/>
          </w:tcPr>
          <w:p>
            <w:pPr>
              <w:jc w:val="center"/>
              <w:rPr>
                <w:rFonts w:ascii="Times New Roman" w:hAnsi="Times New Roman"/>
              </w:rPr>
            </w:pPr>
            <w:r>
              <w:rPr>
                <w:rFonts w:ascii="Times New Roman"/>
              </w:rPr>
              <w:t>序号</w:t>
            </w:r>
          </w:p>
        </w:tc>
        <w:tc>
          <w:tcPr>
            <w:tcW w:w="1634" w:type="dxa"/>
            <w:noWrap w:val="0"/>
            <w:vAlign w:val="center"/>
          </w:tcPr>
          <w:p>
            <w:pPr>
              <w:jc w:val="center"/>
              <w:rPr>
                <w:rFonts w:ascii="Times New Roman" w:hAnsi="Times New Roman"/>
              </w:rPr>
            </w:pPr>
            <w:r>
              <w:rPr>
                <w:rFonts w:ascii="Times New Roman"/>
              </w:rPr>
              <w:t>废物名称</w:t>
            </w:r>
          </w:p>
        </w:tc>
        <w:tc>
          <w:tcPr>
            <w:tcW w:w="2075" w:type="dxa"/>
            <w:noWrap w:val="0"/>
            <w:vAlign w:val="center"/>
          </w:tcPr>
          <w:p>
            <w:pPr>
              <w:jc w:val="center"/>
              <w:rPr>
                <w:rFonts w:ascii="Times New Roman" w:hAnsi="Times New Roman"/>
              </w:rPr>
            </w:pPr>
            <w:r>
              <w:rPr>
                <w:rFonts w:ascii="Times New Roman"/>
              </w:rPr>
              <w:t>包装物（容器）名称</w:t>
            </w:r>
          </w:p>
        </w:tc>
        <w:tc>
          <w:tcPr>
            <w:tcW w:w="1421" w:type="dxa"/>
            <w:noWrap w:val="0"/>
            <w:vAlign w:val="center"/>
          </w:tcPr>
          <w:p>
            <w:pPr>
              <w:jc w:val="center"/>
              <w:rPr>
                <w:rFonts w:ascii="Times New Roman" w:hAnsi="Times New Roman"/>
              </w:rPr>
            </w:pPr>
            <w:r>
              <w:rPr>
                <w:rFonts w:ascii="Times New Roman"/>
              </w:rPr>
              <w:t>材质</w:t>
            </w:r>
          </w:p>
        </w:tc>
        <w:tc>
          <w:tcPr>
            <w:tcW w:w="1379" w:type="dxa"/>
            <w:noWrap w:val="0"/>
            <w:vAlign w:val="center"/>
          </w:tcPr>
          <w:p>
            <w:pPr>
              <w:jc w:val="center"/>
              <w:rPr>
                <w:rFonts w:ascii="Times New Roman" w:hAnsi="Times New Roman"/>
              </w:rPr>
            </w:pPr>
            <w:r>
              <w:rPr>
                <w:rFonts w:ascii="Times New Roman"/>
              </w:rPr>
              <w:t>容积</w:t>
            </w:r>
          </w:p>
        </w:tc>
        <w:tc>
          <w:tcPr>
            <w:tcW w:w="1716" w:type="dxa"/>
            <w:noWrap w:val="0"/>
            <w:vAlign w:val="center"/>
          </w:tcPr>
          <w:p>
            <w:pPr>
              <w:jc w:val="center"/>
              <w:rPr>
                <w:rFonts w:ascii="Times New Roman" w:hAnsi="Times New Roman"/>
              </w:rPr>
            </w:pPr>
            <w:r>
              <w:rPr>
                <w:rFonts w:ascii="Times New Roman"/>
              </w:rP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hint="eastAsia" w:ascii="Times New Roman" w:hAnsi="Times New Roman" w:eastAsia="宋体"/>
                <w:lang w:val="en-US" w:eastAsia="zh-CN"/>
              </w:rPr>
            </w:pPr>
            <w:r>
              <w:rPr>
                <w:rFonts w:hint="eastAsia" w:ascii="Times New Roman" w:hAnsi="Times New Roman"/>
                <w:lang w:val="en-US" w:eastAsia="zh-CN"/>
              </w:rPr>
              <w:t>1</w:t>
            </w:r>
          </w:p>
        </w:tc>
        <w:tc>
          <w:tcPr>
            <w:tcW w:w="1634" w:type="dxa"/>
            <w:noWrap w:val="0"/>
            <w:vAlign w:val="center"/>
          </w:tcPr>
          <w:p>
            <w:pPr>
              <w:jc w:val="center"/>
              <w:rPr>
                <w:rFonts w:hint="eastAsia" w:ascii="Times New Roman" w:hAnsi="Times New Roman" w:eastAsia="宋体"/>
                <w:lang w:val="en-US" w:eastAsia="zh-CN"/>
              </w:rPr>
            </w:pPr>
            <w:r>
              <w:rPr>
                <w:rFonts w:hint="eastAsia" w:ascii="Times New Roman" w:hAnsi="Times New Roman"/>
                <w:lang w:val="en-US" w:eastAsia="zh-CN"/>
              </w:rPr>
              <w:t>废电路板</w:t>
            </w:r>
          </w:p>
        </w:tc>
        <w:tc>
          <w:tcPr>
            <w:tcW w:w="2075" w:type="dxa"/>
            <w:noWrap w:val="0"/>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吨包袋</w:t>
            </w:r>
          </w:p>
        </w:tc>
        <w:tc>
          <w:tcPr>
            <w:tcW w:w="1421" w:type="dxa"/>
            <w:noWrap w:val="0"/>
            <w:vAlign w:val="center"/>
          </w:tcPr>
          <w:p>
            <w:pPr>
              <w:jc w:val="center"/>
              <w:rPr>
                <w:rFonts w:hint="eastAsia" w:ascii="Times New Roman" w:hAnsi="Times New Roman" w:eastAsia="宋体"/>
                <w:lang w:val="en-US" w:eastAsia="zh-CN"/>
              </w:rPr>
            </w:pPr>
            <w:r>
              <w:rPr>
                <w:rFonts w:hint="eastAsia" w:ascii="Times New Roman" w:hAnsi="Times New Roman"/>
                <w:lang w:val="en-US" w:eastAsia="zh-CN"/>
              </w:rPr>
              <w:t>塑料</w:t>
            </w:r>
          </w:p>
        </w:tc>
        <w:tc>
          <w:tcPr>
            <w:tcW w:w="1379" w:type="dxa"/>
            <w:noWrap w:val="0"/>
            <w:vAlign w:val="center"/>
          </w:tcPr>
          <w:p>
            <w:pPr>
              <w:jc w:val="center"/>
              <w:rPr>
                <w:rFonts w:hint="default" w:ascii="Times New Roman" w:hAnsi="Times New Roman" w:eastAsia="宋体"/>
                <w:lang w:val="en-US" w:eastAsia="zh-CN"/>
              </w:rPr>
            </w:pPr>
            <w:r>
              <w:rPr>
                <w:rFonts w:hint="eastAsia" w:ascii="Times New Roman" w:hAnsi="Times New Roman"/>
                <w:highlight w:val="none"/>
                <w:lang w:val="en-US" w:eastAsia="zh-CN"/>
              </w:rPr>
              <w:t>1000L/1吨</w:t>
            </w:r>
          </w:p>
        </w:tc>
        <w:tc>
          <w:tcPr>
            <w:tcW w:w="1716" w:type="dxa"/>
            <w:noWrap w:val="0"/>
            <w:vAlign w:val="center"/>
          </w:tcPr>
          <w:p>
            <w:pPr>
              <w:jc w:val="center"/>
              <w:rPr>
                <w:rFonts w:hint="eastAsia" w:ascii="Times New Roman" w:hAnsi="Times New Roman" w:eastAsia="宋体"/>
                <w:lang w:eastAsia="zh-CN"/>
              </w:rPr>
            </w:pPr>
            <w:r>
              <w:rPr>
                <w:rFonts w:hint="eastAsia" w:ascii="Times New Roman" w:hAnsi="Times New Roman"/>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top"/>
          </w:tcPr>
          <w:p>
            <w:pPr>
              <w:rPr>
                <w:rFonts w:ascii="Times New Roman" w:hAnsi="Times New Roman"/>
              </w:rPr>
            </w:pPr>
          </w:p>
        </w:tc>
        <w:tc>
          <w:tcPr>
            <w:tcW w:w="1634" w:type="dxa"/>
            <w:noWrap w:val="0"/>
            <w:vAlign w:val="top"/>
          </w:tcPr>
          <w:p>
            <w:pPr>
              <w:rPr>
                <w:rFonts w:ascii="Times New Roman" w:hAnsi="Times New Roman"/>
              </w:rPr>
            </w:pPr>
          </w:p>
        </w:tc>
        <w:tc>
          <w:tcPr>
            <w:tcW w:w="2075" w:type="dxa"/>
            <w:noWrap w:val="0"/>
            <w:vAlign w:val="top"/>
          </w:tcPr>
          <w:p>
            <w:pPr>
              <w:rPr>
                <w:rFonts w:ascii="Times New Roman" w:hAnsi="Times New Roman"/>
              </w:rPr>
            </w:pPr>
          </w:p>
        </w:tc>
        <w:tc>
          <w:tcPr>
            <w:tcW w:w="1421" w:type="dxa"/>
            <w:noWrap w:val="0"/>
            <w:vAlign w:val="top"/>
          </w:tcPr>
          <w:p>
            <w:pPr>
              <w:rPr>
                <w:rFonts w:ascii="Times New Roman" w:hAnsi="Times New Roman"/>
              </w:rPr>
            </w:pPr>
          </w:p>
        </w:tc>
        <w:tc>
          <w:tcPr>
            <w:tcW w:w="1379" w:type="dxa"/>
            <w:noWrap w:val="0"/>
            <w:vAlign w:val="top"/>
          </w:tcPr>
          <w:p>
            <w:pPr>
              <w:rPr>
                <w:rFonts w:ascii="Times New Roman" w:hAnsi="Times New Roman"/>
              </w:rPr>
            </w:pPr>
          </w:p>
        </w:tc>
        <w:tc>
          <w:tcPr>
            <w:tcW w:w="1716" w:type="dxa"/>
            <w:noWrap w:val="0"/>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top"/>
          </w:tcPr>
          <w:p>
            <w:pPr>
              <w:rPr>
                <w:rFonts w:ascii="Times New Roman" w:hAnsi="Times New Roman"/>
              </w:rPr>
            </w:pPr>
          </w:p>
        </w:tc>
        <w:tc>
          <w:tcPr>
            <w:tcW w:w="1634" w:type="dxa"/>
            <w:noWrap w:val="0"/>
            <w:vAlign w:val="top"/>
          </w:tcPr>
          <w:p>
            <w:pPr>
              <w:rPr>
                <w:rFonts w:ascii="Times New Roman" w:hAnsi="Times New Roman"/>
              </w:rPr>
            </w:pPr>
          </w:p>
        </w:tc>
        <w:tc>
          <w:tcPr>
            <w:tcW w:w="2075" w:type="dxa"/>
            <w:noWrap w:val="0"/>
            <w:vAlign w:val="top"/>
          </w:tcPr>
          <w:p>
            <w:pPr>
              <w:rPr>
                <w:rFonts w:ascii="Times New Roman" w:hAnsi="Times New Roman"/>
              </w:rPr>
            </w:pPr>
          </w:p>
        </w:tc>
        <w:tc>
          <w:tcPr>
            <w:tcW w:w="1421" w:type="dxa"/>
            <w:noWrap w:val="0"/>
            <w:vAlign w:val="top"/>
          </w:tcPr>
          <w:p>
            <w:pPr>
              <w:rPr>
                <w:rFonts w:ascii="Times New Roman" w:hAnsi="Times New Roman"/>
              </w:rPr>
            </w:pPr>
          </w:p>
        </w:tc>
        <w:tc>
          <w:tcPr>
            <w:tcW w:w="1379" w:type="dxa"/>
            <w:noWrap w:val="0"/>
            <w:vAlign w:val="top"/>
          </w:tcPr>
          <w:p>
            <w:pPr>
              <w:rPr>
                <w:rFonts w:ascii="Times New Roman" w:hAnsi="Times New Roman"/>
              </w:rPr>
            </w:pPr>
          </w:p>
        </w:tc>
        <w:tc>
          <w:tcPr>
            <w:tcW w:w="1716" w:type="dxa"/>
            <w:noWrap w:val="0"/>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top"/>
          </w:tcPr>
          <w:p>
            <w:pPr>
              <w:rPr>
                <w:rFonts w:ascii="Times New Roman" w:hAnsi="Times New Roman"/>
              </w:rPr>
            </w:pPr>
          </w:p>
        </w:tc>
        <w:tc>
          <w:tcPr>
            <w:tcW w:w="1634" w:type="dxa"/>
            <w:noWrap w:val="0"/>
            <w:vAlign w:val="top"/>
          </w:tcPr>
          <w:p>
            <w:pPr>
              <w:rPr>
                <w:rFonts w:ascii="Times New Roman" w:hAnsi="Times New Roman"/>
              </w:rPr>
            </w:pPr>
          </w:p>
        </w:tc>
        <w:tc>
          <w:tcPr>
            <w:tcW w:w="2075" w:type="dxa"/>
            <w:noWrap w:val="0"/>
            <w:vAlign w:val="top"/>
          </w:tcPr>
          <w:p>
            <w:pPr>
              <w:rPr>
                <w:rFonts w:ascii="Times New Roman" w:hAnsi="Times New Roman"/>
              </w:rPr>
            </w:pPr>
          </w:p>
        </w:tc>
        <w:tc>
          <w:tcPr>
            <w:tcW w:w="1421" w:type="dxa"/>
            <w:noWrap w:val="0"/>
            <w:vAlign w:val="top"/>
          </w:tcPr>
          <w:p>
            <w:pPr>
              <w:rPr>
                <w:rFonts w:ascii="Times New Roman" w:hAnsi="Times New Roman"/>
              </w:rPr>
            </w:pPr>
          </w:p>
        </w:tc>
        <w:tc>
          <w:tcPr>
            <w:tcW w:w="1379" w:type="dxa"/>
            <w:noWrap w:val="0"/>
            <w:vAlign w:val="top"/>
          </w:tcPr>
          <w:p>
            <w:pPr>
              <w:rPr>
                <w:rFonts w:ascii="Times New Roman" w:hAnsi="Times New Roman"/>
              </w:rPr>
            </w:pPr>
          </w:p>
        </w:tc>
        <w:tc>
          <w:tcPr>
            <w:tcW w:w="1716" w:type="dxa"/>
            <w:noWrap w:val="0"/>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top"/>
          </w:tcPr>
          <w:p>
            <w:pPr>
              <w:rPr>
                <w:rFonts w:ascii="Times New Roman" w:hAnsi="Times New Roman"/>
              </w:rPr>
            </w:pPr>
          </w:p>
        </w:tc>
        <w:tc>
          <w:tcPr>
            <w:tcW w:w="1634" w:type="dxa"/>
            <w:noWrap w:val="0"/>
            <w:vAlign w:val="top"/>
          </w:tcPr>
          <w:p>
            <w:pPr>
              <w:rPr>
                <w:rFonts w:ascii="Times New Roman" w:hAnsi="Times New Roman"/>
              </w:rPr>
            </w:pPr>
          </w:p>
        </w:tc>
        <w:tc>
          <w:tcPr>
            <w:tcW w:w="2075" w:type="dxa"/>
            <w:noWrap w:val="0"/>
            <w:vAlign w:val="top"/>
          </w:tcPr>
          <w:p>
            <w:pPr>
              <w:rPr>
                <w:rFonts w:ascii="Times New Roman" w:hAnsi="Times New Roman"/>
              </w:rPr>
            </w:pPr>
          </w:p>
        </w:tc>
        <w:tc>
          <w:tcPr>
            <w:tcW w:w="1421" w:type="dxa"/>
            <w:noWrap w:val="0"/>
            <w:vAlign w:val="top"/>
          </w:tcPr>
          <w:p>
            <w:pPr>
              <w:rPr>
                <w:rFonts w:ascii="Times New Roman" w:hAnsi="Times New Roman"/>
              </w:rPr>
            </w:pPr>
          </w:p>
        </w:tc>
        <w:tc>
          <w:tcPr>
            <w:tcW w:w="1379" w:type="dxa"/>
            <w:noWrap w:val="0"/>
            <w:vAlign w:val="top"/>
          </w:tcPr>
          <w:p>
            <w:pPr>
              <w:rPr>
                <w:rFonts w:ascii="Times New Roman" w:hAnsi="Times New Roman"/>
              </w:rPr>
            </w:pPr>
          </w:p>
        </w:tc>
        <w:tc>
          <w:tcPr>
            <w:tcW w:w="1716" w:type="dxa"/>
            <w:noWrap w:val="0"/>
            <w:vAlign w:val="top"/>
          </w:tcPr>
          <w:p>
            <w:pPr>
              <w:rPr>
                <w:rFonts w:ascii="Times New Roman" w:hAnsi="Times New Roman"/>
              </w:rPr>
            </w:pPr>
          </w:p>
        </w:tc>
      </w:tr>
    </w:tbl>
    <w:p>
      <w:pPr>
        <w:rPr>
          <w:rFonts w:ascii="Times New Roman" w:hAnsi="Times New Roman" w:eastAsia="黑体"/>
          <w:sz w:val="28"/>
          <w:szCs w:val="28"/>
        </w:rPr>
      </w:pPr>
    </w:p>
    <w:tbl>
      <w:tblPr>
        <w:tblStyle w:val="4"/>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40" w:type="dxa"/>
            <w:noWrap w:val="0"/>
            <w:vAlign w:val="center"/>
          </w:tcPr>
          <w:p>
            <w:pPr>
              <w:rPr>
                <w:rFonts w:ascii="Times New Roman" w:hAnsi="Times New Roman"/>
                <w:b/>
                <w:bCs/>
                <w:szCs w:val="24"/>
              </w:rPr>
            </w:pPr>
            <w:r>
              <w:rPr>
                <w:rFonts w:ascii="Times New Roman"/>
                <w:b/>
                <w:bCs/>
                <w:szCs w:val="24"/>
              </w:rPr>
              <w:t>表</w:t>
            </w:r>
            <w:r>
              <w:rPr>
                <w:rFonts w:ascii="Times New Roman" w:hAnsi="Times New Roman"/>
                <w:b/>
                <w:bCs/>
                <w:szCs w:val="24"/>
              </w:rPr>
              <w:t xml:space="preserve">2  </w:t>
            </w:r>
            <w:r>
              <w:rPr>
                <w:rFonts w:ascii="Times New Roman"/>
                <w:b/>
                <w:bCs/>
                <w:szCs w:val="24"/>
              </w:rPr>
              <w:t>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9240" w:type="dxa"/>
            <w:noWrap w:val="0"/>
            <w:vAlign w:val="top"/>
          </w:tcPr>
          <w:p>
            <w:pPr>
              <w:rPr>
                <w:rFonts w:ascii="Times New Roman" w:hAnsi="Times New Roman"/>
                <w:szCs w:val="24"/>
              </w:rPr>
            </w:pPr>
            <w:r>
              <w:rPr>
                <w:rFonts w:ascii="Times New Roman"/>
                <w:szCs w:val="24"/>
              </w:rPr>
              <w:t>运输是否符合交管部门运输相关规定（文字描述）</w:t>
            </w:r>
          </w:p>
          <w:p>
            <w:pPr>
              <w:ind w:firstLine="420" w:firstLineChars="200"/>
              <w:rPr>
                <w:rFonts w:hint="default" w:ascii="Times New Roman" w:hAnsi="Times New Roman" w:eastAsia="宋体"/>
                <w:szCs w:val="24"/>
                <w:lang w:val="en-US" w:eastAsia="zh-CN"/>
              </w:rPr>
            </w:pPr>
            <w:r>
              <w:rPr>
                <w:rFonts w:hint="eastAsia" w:ascii="Times New Roman" w:hAnsi="Times New Roman"/>
                <w:szCs w:val="24"/>
                <w:lang w:val="en-US" w:eastAsia="zh-CN"/>
              </w:rPr>
              <w:t>运输符合交管部门对于危险废物运输的要求，做到防雨、防漏、防扬散等一系列要求，并具备相应的应急处置条件与能力。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noWrap w:val="0"/>
            <w:vAlign w:val="center"/>
          </w:tcPr>
          <w:p>
            <w:pPr>
              <w:rPr>
                <w:rFonts w:ascii="Times New Roman" w:hAnsi="Times New Roman"/>
                <w:szCs w:val="24"/>
              </w:rPr>
            </w:pPr>
            <w:r>
              <w:rPr>
                <w:rFonts w:ascii="Times New Roman"/>
                <w:szCs w:val="24"/>
              </w:rPr>
              <w:t>运输方式：</w:t>
            </w:r>
            <w:r>
              <w:rPr>
                <w:rFonts w:ascii="Times New Roman" w:hAnsi="Times New Roman"/>
                <w:szCs w:val="24"/>
              </w:rPr>
              <w:t xml:space="preserve">   </w:t>
            </w:r>
            <w:r>
              <w:rPr>
                <w:rFonts w:ascii="Times New Roman"/>
                <w:szCs w:val="24"/>
              </w:rPr>
              <w:t>道路</w:t>
            </w:r>
            <w:r>
              <w:rPr>
                <w:rFonts w:ascii="Times New Roman" w:hAnsi="Times New Roman"/>
                <w:szCs w:val="24"/>
              </w:rPr>
              <w:t xml:space="preserve"> </w:t>
            </w:r>
            <w:r>
              <w:rPr>
                <w:rFonts w:hint="eastAsia" w:ascii="Times New Roman" w:hAnsi="Times New Roman"/>
                <w:szCs w:val="24"/>
                <w:lang w:eastAsia="zh-CN"/>
              </w:rPr>
              <w:t>☑</w:t>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9240" w:type="dxa"/>
            <w:noWrap w:val="0"/>
            <w:vAlign w:val="top"/>
          </w:tcPr>
          <w:p>
            <w:pPr>
              <w:rPr>
                <w:rFonts w:ascii="Times New Roman"/>
                <w:szCs w:val="24"/>
              </w:rPr>
            </w:pPr>
            <w:r>
              <w:rPr>
                <w:rFonts w:ascii="Times New Roman"/>
                <w:szCs w:val="24"/>
              </w:rPr>
              <w:t>运输路线文字描述：（写明途经省、市、县（区），附路线图）</w:t>
            </w:r>
          </w:p>
          <w:p>
            <w:pPr>
              <w:spacing w:line="240" w:lineRule="auto"/>
              <w:rPr>
                <w:rFonts w:hint="eastAsia" w:ascii="Times New Roman" w:hAnsi="宋体"/>
                <w:szCs w:val="21"/>
                <w:lang w:val="en-US" w:eastAsia="zh-CN"/>
              </w:rPr>
            </w:pPr>
            <w:r>
              <w:rPr>
                <w:rFonts w:hint="eastAsia" w:ascii="Times New Roman"/>
                <w:szCs w:val="24"/>
                <w:lang w:val="en-US" w:eastAsia="zh-CN"/>
              </w:rPr>
              <w:t>运输过程经过</w:t>
            </w:r>
            <w:r>
              <w:rPr>
                <w:rFonts w:hint="eastAsia" w:ascii="Times New Roman" w:hAnsi="宋体"/>
                <w:szCs w:val="21"/>
              </w:rPr>
              <w:t>烟沪线-威青高速-青银高速-沈海高速-盐靖高速-京沪高速-沪武高速</w:t>
            </w:r>
            <w:r>
              <w:rPr>
                <w:rFonts w:hint="eastAsia" w:ascii="Times New Roman" w:hAnsi="宋体"/>
                <w:szCs w:val="21"/>
                <w:lang w:eastAsia="zh-CN"/>
              </w:rPr>
              <w:t>，</w:t>
            </w:r>
            <w:r>
              <w:rPr>
                <w:rFonts w:hint="eastAsia" w:ascii="Times New Roman" w:hAnsi="宋体"/>
                <w:szCs w:val="21"/>
                <w:lang w:val="en-US" w:eastAsia="zh-CN"/>
              </w:rPr>
              <w:t>途径青岛市、潍坊市、日照市、临沂市、连云港市、盐城市、泰州市、常州市。</w:t>
            </w:r>
          </w:p>
          <w:p>
            <w:pPr>
              <w:spacing w:line="240" w:lineRule="auto"/>
              <w:jc w:val="center"/>
              <w:rPr>
                <w:rFonts w:hint="default" w:ascii="Times New Roman" w:eastAsia="宋体"/>
                <w:szCs w:val="24"/>
                <w:lang w:val="en-US" w:eastAsia="zh-CN"/>
              </w:rPr>
            </w:pPr>
            <w:r>
              <w:rPr>
                <w:rFonts w:hint="default" w:ascii="Times New Roman" w:eastAsia="宋体"/>
                <w:szCs w:val="24"/>
                <w:lang w:val="en-US" w:eastAsia="zh-CN"/>
              </w:rPr>
              <w:drawing>
                <wp:inline distT="0" distB="0" distL="114300" distR="114300">
                  <wp:extent cx="2526030" cy="2811780"/>
                  <wp:effectExtent l="0" t="0" r="7620" b="7620"/>
                  <wp:docPr id="4" name="图片 1" descr="e11e09028642fdf538b2709cb650c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e11e09028642fdf538b2709cb650cdf"/>
                          <pic:cNvPicPr>
                            <a:picLocks noChangeAspect="1"/>
                          </pic:cNvPicPr>
                        </pic:nvPicPr>
                        <pic:blipFill>
                          <a:blip r:embed="rId14"/>
                          <a:stretch>
                            <a:fillRect/>
                          </a:stretch>
                        </pic:blipFill>
                        <pic:spPr>
                          <a:xfrm>
                            <a:off x="0" y="0"/>
                            <a:ext cx="2526030" cy="2811780"/>
                          </a:xfrm>
                          <a:prstGeom prst="rect">
                            <a:avLst/>
                          </a:prstGeom>
                          <a:noFill/>
                          <a:ln>
                            <a:noFill/>
                          </a:ln>
                        </pic:spPr>
                      </pic:pic>
                    </a:graphicData>
                  </a:graphic>
                </wp:inline>
              </w:drawing>
            </w:r>
          </w:p>
        </w:tc>
      </w:tr>
    </w:tbl>
    <w:p>
      <w:pPr>
        <w:rPr>
          <w:rFonts w:ascii="Times New Roman" w:hAnsi="Times New Roman"/>
          <w:szCs w:val="24"/>
        </w:rPr>
        <w:sectPr>
          <w:pgSz w:w="11906" w:h="16838"/>
          <w:pgMar w:top="1440" w:right="1797" w:bottom="1440" w:left="1797" w:header="851" w:footer="992" w:gutter="0"/>
          <w:cols w:space="720" w:num="1"/>
          <w:docGrid w:type="lines" w:linePitch="286" w:charSpace="0"/>
        </w:sectPr>
      </w:pPr>
    </w:p>
    <w:tbl>
      <w:tblPr>
        <w:tblStyle w:val="4"/>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noWrap w:val="0"/>
            <w:vAlign w:val="center"/>
          </w:tcPr>
          <w:p>
            <w:pPr>
              <w:jc w:val="left"/>
              <w:rPr>
                <w:rFonts w:ascii="Times New Roman" w:hAnsi="Times New Roman"/>
                <w:b/>
                <w:bCs/>
                <w:szCs w:val="24"/>
              </w:rPr>
            </w:pPr>
            <w:r>
              <w:rPr>
                <w:rFonts w:ascii="Times New Roman"/>
                <w:b/>
                <w:bCs/>
                <w:szCs w:val="24"/>
              </w:rPr>
              <w:t>表</w:t>
            </w:r>
            <w:r>
              <w:rPr>
                <w:rFonts w:ascii="Times New Roman" w:hAnsi="Times New Roman"/>
                <w:b/>
                <w:bCs/>
                <w:szCs w:val="24"/>
              </w:rPr>
              <w:t xml:space="preserve">3  </w:t>
            </w:r>
            <w:r>
              <w:rPr>
                <w:rFonts w:ascii="Times New Roman"/>
                <w:b/>
                <w:bCs/>
                <w:szCs w:val="24"/>
              </w:rPr>
              <w:t>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9345" w:type="dxa"/>
            <w:noWrap w:val="0"/>
            <w:vAlign w:val="top"/>
          </w:tcPr>
          <w:p>
            <w:pPr>
              <w:numPr>
                <w:ilvl w:val="0"/>
                <w:numId w:val="2"/>
              </w:numPr>
              <w:spacing w:line="240" w:lineRule="auto"/>
              <w:rPr>
                <w:rFonts w:ascii="Times New Roman" w:hAnsi="Times New Roman"/>
                <w:bCs/>
                <w:szCs w:val="24"/>
              </w:rPr>
            </w:pPr>
            <w:r>
              <w:rPr>
                <w:rFonts w:ascii="Times New Roman"/>
                <w:bCs/>
                <w:szCs w:val="24"/>
              </w:rPr>
              <w:t>运输过程中的污染防治措施以及按照要求配备的相应污染防治设备</w:t>
            </w:r>
          </w:p>
          <w:p>
            <w:pPr>
              <w:numPr>
                <w:ilvl w:val="0"/>
                <w:numId w:val="0"/>
              </w:numPr>
              <w:spacing w:line="240" w:lineRule="auto"/>
              <w:ind w:leftChars="0"/>
              <w:rPr>
                <w:rFonts w:hint="eastAsia" w:ascii="Times New Roman"/>
                <w:bCs/>
                <w:szCs w:val="24"/>
                <w:lang w:val="en-US" w:eastAsia="zh-CN"/>
              </w:rPr>
            </w:pPr>
          </w:p>
          <w:p>
            <w:pPr>
              <w:numPr>
                <w:ilvl w:val="0"/>
                <w:numId w:val="0"/>
              </w:numPr>
              <w:spacing w:line="240" w:lineRule="auto"/>
              <w:ind w:leftChars="0"/>
              <w:rPr>
                <w:rFonts w:hint="default" w:ascii="Times New Roman" w:hAnsi="Times New Roman" w:eastAsia="宋体"/>
                <w:bCs/>
                <w:szCs w:val="24"/>
                <w:lang w:val="en-US" w:eastAsia="zh-CN"/>
              </w:rPr>
            </w:pPr>
            <w:r>
              <w:rPr>
                <w:rFonts w:hint="eastAsia" w:ascii="Times New Roman"/>
                <w:bCs/>
                <w:szCs w:val="24"/>
                <w:lang w:val="en-US" w:eastAsia="zh-CN"/>
              </w:rPr>
              <w:t>运输过程中的污染防治措施主要为防止危险废物倾倒、扬散，对此配备了铁通、铁锹、防化手套、防化鞋等用品。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noWrap w:val="0"/>
            <w:vAlign w:val="top"/>
          </w:tcPr>
          <w:p>
            <w:pPr>
              <w:numPr>
                <w:ilvl w:val="0"/>
                <w:numId w:val="2"/>
              </w:numPr>
              <w:ind w:left="360" w:leftChars="0" w:hanging="360" w:firstLineChars="0"/>
              <w:rPr>
                <w:rFonts w:ascii="Times New Roman"/>
                <w:bCs/>
                <w:szCs w:val="24"/>
              </w:rPr>
            </w:pPr>
            <w:r>
              <w:rPr>
                <w:rFonts w:ascii="Times New Roman"/>
                <w:bCs/>
                <w:szCs w:val="24"/>
              </w:rPr>
              <w:t>运输过程中的安全防护措施以及按照要求配备的相应安全防护设备</w:t>
            </w:r>
          </w:p>
          <w:p>
            <w:pPr>
              <w:numPr>
                <w:ilvl w:val="0"/>
                <w:numId w:val="0"/>
              </w:numPr>
              <w:ind w:leftChars="0"/>
              <w:rPr>
                <w:rFonts w:ascii="Times New Roman"/>
                <w:bCs/>
                <w:szCs w:val="24"/>
              </w:rPr>
            </w:pPr>
            <w:r>
              <w:rPr>
                <w:rFonts w:hint="eastAsia" w:ascii="Times New Roman"/>
                <w:bCs/>
                <w:szCs w:val="24"/>
                <w:lang w:val="en-US" w:eastAsia="zh-CN"/>
              </w:rPr>
              <w:t>运输过程中的安全防护措施主要为防止危险废物起火，对此配备了干粉灭火器、防化手套、防化鞋等用品。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noWrap w:val="0"/>
            <w:vAlign w:val="top"/>
          </w:tcPr>
          <w:p>
            <w:pPr>
              <w:rPr>
                <w:rFonts w:ascii="Times New Roman" w:hAnsi="Times New Roman"/>
                <w:bCs/>
                <w:szCs w:val="24"/>
              </w:rPr>
            </w:pPr>
            <w:r>
              <w:rPr>
                <w:rFonts w:ascii="Times New Roman" w:hAnsi="Times New Roman"/>
                <w:bCs/>
                <w:szCs w:val="24"/>
              </w:rPr>
              <w:t>3</w:t>
            </w:r>
            <w:r>
              <w:rPr>
                <w:rFonts w:ascii="Times New Roman"/>
                <w:bCs/>
                <w:szCs w:val="24"/>
              </w:rPr>
              <w:t>、运输过程中的应急预案以及按照要求配备的相应应急设备</w:t>
            </w:r>
          </w:p>
          <w:p>
            <w:pPr>
              <w:rPr>
                <w:rFonts w:hint="eastAsia" w:ascii="Times New Roman" w:hAnsi="Times New Roman"/>
                <w:szCs w:val="24"/>
                <w:lang w:val="en-US" w:eastAsia="zh-CN"/>
              </w:rPr>
            </w:pPr>
            <w:r>
              <w:rPr>
                <w:rFonts w:hint="eastAsia" w:ascii="Times New Roman" w:hAnsi="Times New Roman"/>
                <w:szCs w:val="24"/>
                <w:lang w:val="en-US" w:eastAsia="zh-CN"/>
              </w:rPr>
              <w:t>在运输过程中如果发生运输事故，立即启动应急预案，及时停车，在能力范围内控制住危险废物的扩散并进行报警，同时电话通知产废及接受单位的相关人员，配合相关部门做好后续工作。</w:t>
            </w:r>
          </w:p>
          <w:p>
            <w:pPr>
              <w:rPr>
                <w:rFonts w:hint="default" w:ascii="Times New Roman" w:hAnsi="Times New Roman"/>
                <w:szCs w:val="24"/>
                <w:lang w:val="en-US" w:eastAsia="zh-CN"/>
              </w:rPr>
            </w:pPr>
            <w:r>
              <w:rPr>
                <w:rFonts w:hint="eastAsia" w:ascii="Times New Roman" w:hAnsi="Times New Roman"/>
                <w:szCs w:val="24"/>
                <w:lang w:val="en-US" w:eastAsia="zh-CN"/>
              </w:rPr>
              <w:t>应急设备：铁桶、铁锹、灭火器、防化手套、防化鞋等</w:t>
            </w:r>
          </w:p>
        </w:tc>
      </w:tr>
    </w:tbl>
    <w:p>
      <w:pPr>
        <w:rPr>
          <w:rFonts w:ascii="Times New Roman" w:hAnsi="Times New Roman" w:eastAsia="黑体"/>
          <w:sz w:val="28"/>
          <w:szCs w:val="28"/>
        </w:rPr>
      </w:pPr>
      <w:r>
        <w:rPr>
          <w:rFonts w:ascii="Times New Roman" w:eastAsia="黑体"/>
          <w:sz w:val="28"/>
          <w:szCs w:val="28"/>
        </w:rPr>
        <w:t>第三部分</w:t>
      </w:r>
      <w:r>
        <w:rPr>
          <w:rFonts w:ascii="Times New Roman" w:hAnsi="Times New Roman" w:eastAsia="黑体"/>
          <w:sz w:val="28"/>
          <w:szCs w:val="28"/>
        </w:rPr>
        <w:t xml:space="preserve">   </w:t>
      </w:r>
      <w:r>
        <w:rPr>
          <w:rFonts w:ascii="Times New Roman" w:eastAsia="黑体"/>
          <w:sz w:val="28"/>
          <w:szCs w:val="28"/>
        </w:rPr>
        <w:t>废物处理处置情况</w:t>
      </w:r>
    </w:p>
    <w:tbl>
      <w:tblPr>
        <w:tblStyle w:val="4"/>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noWrap w:val="0"/>
            <w:vAlign w:val="center"/>
          </w:tcPr>
          <w:p>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noWrap w:val="0"/>
            <w:vAlign w:val="center"/>
          </w:tcPr>
          <w:p>
            <w:pPr>
              <w:rPr>
                <w:rFonts w:hint="default" w:ascii="Times New Roman" w:hAnsi="Times New Roman" w:eastAsia="宋体"/>
                <w:lang w:val="en-US" w:eastAsia="zh-CN"/>
              </w:rPr>
            </w:pPr>
            <w:r>
              <w:rPr>
                <w:rFonts w:ascii="Times New Roman"/>
              </w:rPr>
              <w:t>单位名称：</w:t>
            </w:r>
            <w:r>
              <w:rPr>
                <w:rFonts w:hint="eastAsia" w:ascii="Times New Roman"/>
                <w:lang w:val="en-US" w:eastAsia="zh-CN"/>
              </w:rPr>
              <w:t>常州市星辉环保科技发展有限公司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noWrap w:val="0"/>
            <w:vAlign w:val="center"/>
          </w:tcPr>
          <w:p>
            <w:pPr>
              <w:rPr>
                <w:rFonts w:ascii="Times New Roman" w:hAnsi="Times New Roman"/>
              </w:rPr>
            </w:pPr>
            <w:r>
              <w:rPr>
                <w:rFonts w:ascii="Times New Roman"/>
              </w:rPr>
              <w:t>危废经营许可证编号：</w:t>
            </w:r>
            <w:r>
              <w:rPr>
                <w:rFonts w:hint="eastAsia" w:ascii="Times New Roman" w:hAnsi="宋体"/>
                <w:szCs w:val="21"/>
                <w:lang w:val="en-US" w:eastAsia="zh-CN"/>
              </w:rPr>
              <w:t>JSCZ0412OOD052-2</w:t>
            </w:r>
          </w:p>
        </w:tc>
        <w:tc>
          <w:tcPr>
            <w:tcW w:w="4200" w:type="dxa"/>
            <w:noWrap w:val="0"/>
            <w:vAlign w:val="center"/>
          </w:tcPr>
          <w:p>
            <w:pPr>
              <w:rPr>
                <w:rFonts w:hint="default" w:ascii="Times New Roman" w:hAnsi="Times New Roman" w:eastAsia="宋体"/>
                <w:lang w:val="en-US" w:eastAsia="zh-CN"/>
              </w:rPr>
            </w:pPr>
            <w:r>
              <w:rPr>
                <w:rFonts w:ascii="Times New Roman"/>
              </w:rPr>
              <w:t>有效期：</w:t>
            </w:r>
            <w:r>
              <w:rPr>
                <w:rFonts w:hint="eastAsia" w:ascii="Times New Roman"/>
                <w:lang w:val="en-US" w:eastAsia="zh-CN"/>
              </w:rPr>
              <w:t>2019.12-2024.12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9345" w:type="dxa"/>
            <w:gridSpan w:val="2"/>
            <w:noWrap w:val="0"/>
            <w:vAlign w:val="top"/>
          </w:tcPr>
          <w:p>
            <w:pPr>
              <w:rPr>
                <w:rFonts w:hint="default" w:ascii="Times New Roman" w:hAnsi="Times New Roman" w:eastAsia="宋体"/>
                <w:lang w:val="en-US" w:eastAsia="zh-CN"/>
              </w:rPr>
            </w:pPr>
            <w:r>
              <w:rPr>
                <w:rFonts w:ascii="Times New Roman"/>
              </w:rPr>
              <w:t>经营核准内容（废物名称、类别、数量）：</w:t>
            </w:r>
            <w:r>
              <w:rPr>
                <w:rFonts w:hint="eastAsia" w:ascii="Times New Roman"/>
                <w:lang w:val="en-US" w:eastAsia="zh-CN"/>
              </w:rPr>
              <w:t>处置、利用废电路板（包括废电路板上附带的元器件、芯片、插件、贴脚等）（HW49,900-045-49)8000吨/年</w:t>
            </w:r>
          </w:p>
        </w:tc>
      </w:tr>
    </w:tbl>
    <w:p>
      <w:pPr>
        <w:rPr>
          <w:rFonts w:ascii="Times New Roman" w:hAnsi="Times New Roman"/>
        </w:rPr>
      </w:pPr>
    </w:p>
    <w:tbl>
      <w:tblPr>
        <w:tblStyle w:val="4"/>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noWrap w:val="0"/>
            <w:vAlign w:val="center"/>
          </w:tcPr>
          <w:p>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9345" w:type="dxa"/>
            <w:noWrap w:val="0"/>
            <w:vAlign w:val="top"/>
          </w:tcPr>
          <w:p>
            <w:pPr>
              <w:spacing w:line="300" w:lineRule="exact"/>
              <w:rPr>
                <w:rFonts w:ascii="Times New Roman"/>
                <w:szCs w:val="24"/>
              </w:rPr>
            </w:pPr>
            <w:r>
              <w:rPr>
                <w:rFonts w:ascii="Times New Roman"/>
                <w:szCs w:val="24"/>
              </w:rPr>
              <w:t>文字描述及工艺流程图</w:t>
            </w:r>
          </w:p>
          <w:p>
            <w:pPr>
              <w:spacing w:line="300" w:lineRule="exact"/>
              <w:rPr>
                <w:rFonts w:ascii="Times New Roman" w:eastAsia="宋体" w:cs="Times New Roman"/>
                <w:szCs w:val="24"/>
                <w:lang w:val="en-US" w:eastAsia="en-US"/>
              </w:rPr>
            </w:pPr>
            <w:r>
              <w:rPr>
                <w:rFonts w:ascii="Times New Roman" w:eastAsia="宋体" w:cs="Times New Roman"/>
                <w:b/>
                <w:bCs/>
                <w:szCs w:val="24"/>
                <w:lang w:val="en-US" w:eastAsia="en-US"/>
              </w:rPr>
              <w:t>收料控制：</w:t>
            </w:r>
            <w:r>
              <w:rPr>
                <w:rFonts w:ascii="Times New Roman" w:eastAsia="宋体" w:cs="Times New Roman"/>
                <w:szCs w:val="24"/>
                <w:lang w:val="en-US" w:eastAsia="en-US"/>
              </w:rPr>
              <w:t>本项目收回的电路板主要为铝基覆铜板（来源于电子电路板生产企业生产过程中的不合格品、半成品），尚未安装电子元器件，且未进行锡焊，不收取含铅、汞、铬、镉、镍、锡等重金属电子组件及焊料的电路板，原料通过与来料厂家协议控制；另一部分收回的各类电子废弃物拆解过程产生的废电路板，在进入破碎线之前将电路板表面的芯片、电容、电阻等元器件和焊接元器件的焊锡通过物理方法去除。电路板主要由基板和电子元器件组成</w:t>
            </w:r>
          </w:p>
          <w:p>
            <w:pPr>
              <w:spacing w:line="300" w:lineRule="exact"/>
              <w:rPr>
                <w:rFonts w:ascii="Times New Roman" w:eastAsia="宋体" w:cs="Times New Roman"/>
                <w:szCs w:val="24"/>
                <w:lang w:val="en-US" w:eastAsia="en-US"/>
              </w:rPr>
            </w:pPr>
            <w:r>
              <w:rPr>
                <w:rFonts w:ascii="Times New Roman" w:eastAsia="宋体" w:cs="Times New Roman"/>
                <w:szCs w:val="24"/>
                <w:lang w:val="en-US" w:eastAsia="en-US"/>
              </w:rPr>
              <w:t>本项目进入回收生产线的仅为电路板基板，不涉及铅、汞、铬、镉、镍、锡重金属。</w:t>
            </w:r>
          </w:p>
          <w:p>
            <w:pPr>
              <w:spacing w:line="300" w:lineRule="exact"/>
              <w:rPr>
                <w:rFonts w:ascii="Times New Roman" w:eastAsia="宋体" w:cs="Times New Roman"/>
                <w:szCs w:val="24"/>
                <w:lang w:val="en-US" w:eastAsia="en-US"/>
              </w:rPr>
            </w:pPr>
          </w:p>
          <w:p>
            <w:pPr>
              <w:spacing w:line="300" w:lineRule="exact"/>
              <w:rPr>
                <w:rFonts w:ascii="Times New Roman" w:eastAsia="宋体" w:cs="Times New Roman"/>
                <w:szCs w:val="24"/>
                <w:lang w:val="en-US" w:eastAsia="en-US"/>
              </w:rPr>
            </w:pPr>
            <w:r>
              <w:rPr>
                <w:rFonts w:ascii="Times New Roman" w:eastAsia="宋体" w:cs="Times New Roman"/>
                <w:b/>
                <w:bCs/>
                <w:szCs w:val="24"/>
                <w:lang w:val="en-US" w:eastAsia="en-US"/>
              </w:rPr>
              <w:t>工艺流程：</w:t>
            </w:r>
            <w:r>
              <w:rPr>
                <w:rFonts w:ascii="Times New Roman" w:eastAsia="宋体" w:cs="Times New Roman"/>
                <w:szCs w:val="24"/>
                <w:lang w:val="en-US" w:eastAsia="en-US"/>
              </w:rPr>
              <w:t>利用废旧电路板进行含铜金属的回收加工，主要以收集来的电子电路板厂产生的废电路板和覆铜板边角料以及收回的各类电子废弃物物理拆解过程产生的废电路板（拆解过程中有少量粉尘 G1-1 产生）为原料，拆解过程使用锤磨机、手工小电钻等，拆解下来的电子元器件外售；经过初步拆解的废旧电路板、覆铜板为原料，采用干式回收方法进行回收电路板中的铜金属。</w:t>
            </w:r>
          </w:p>
          <w:p>
            <w:pPr>
              <w:spacing w:line="300" w:lineRule="exact"/>
              <w:rPr>
                <w:rFonts w:ascii="Times New Roman" w:eastAsia="宋体" w:cs="Times New Roman"/>
                <w:b/>
                <w:bCs/>
                <w:szCs w:val="24"/>
                <w:lang w:val="en-US" w:eastAsia="en-US"/>
              </w:rPr>
            </w:pPr>
            <w:r>
              <w:rPr>
                <w:rFonts w:ascii="Times New Roman" w:eastAsia="宋体" w:cs="Times New Roman"/>
                <w:b/>
                <w:bCs/>
                <w:szCs w:val="24"/>
                <w:lang w:val="en-US" w:eastAsia="en-US"/>
              </w:rPr>
              <w:t>流程说明：</w:t>
            </w:r>
          </w:p>
          <w:p>
            <w:pPr>
              <w:spacing w:line="300" w:lineRule="exact"/>
              <w:ind w:firstLine="420" w:firstLineChars="200"/>
              <w:rPr>
                <w:rFonts w:ascii="Times New Roman" w:eastAsia="宋体" w:cs="Times New Roman"/>
                <w:szCs w:val="24"/>
                <w:lang w:val="en-US" w:eastAsia="en-US"/>
              </w:rPr>
            </w:pPr>
            <w:r>
              <w:rPr>
                <w:rFonts w:ascii="Times New Roman" w:eastAsia="宋体" w:cs="Times New Roman"/>
                <w:szCs w:val="24"/>
                <w:lang w:val="en-US" w:eastAsia="en-US"/>
              </w:rPr>
              <w:t>人工分拣——利用手工分拣的方式将废电路板、覆铜板按照外形和尺寸将其分类，以便于分批次进入破碎机进行破碎或者小尺寸电路板直接进入二级破碎机，该工序没有污染产生；</w:t>
            </w:r>
          </w:p>
          <w:p>
            <w:pPr>
              <w:spacing w:line="300" w:lineRule="exact"/>
              <w:ind w:firstLine="420" w:firstLineChars="200"/>
              <w:rPr>
                <w:rFonts w:ascii="Times New Roman" w:eastAsia="宋体" w:cs="Times New Roman"/>
                <w:szCs w:val="24"/>
                <w:lang w:val="en-US" w:eastAsia="en-US"/>
              </w:rPr>
            </w:pPr>
            <w:r>
              <w:rPr>
                <w:rFonts w:ascii="Times New Roman" w:eastAsia="宋体" w:cs="Times New Roman"/>
                <w:szCs w:val="24"/>
                <w:lang w:val="en-US" w:eastAsia="en-US"/>
              </w:rPr>
              <w:t>一级破碎——一级破碎采用四轴对锟设计，具有噪声小、扭矩大、破碎室声大等优点，采用破碎刀片将较大尺寸的电路板挤压、剪切为小尺寸碎片，一般进料尺寸不大于 70*70cm，出料尺寸不大于 4*4cm，破碎时密闭操作，没有颗粒物逸出到空气中；</w:t>
            </w:r>
          </w:p>
          <w:p>
            <w:pPr>
              <w:spacing w:line="300" w:lineRule="exact"/>
              <w:ind w:firstLine="420" w:firstLineChars="200"/>
              <w:rPr>
                <w:rFonts w:ascii="Times New Roman" w:eastAsia="宋体" w:cs="Times New Roman"/>
                <w:szCs w:val="24"/>
                <w:lang w:val="en-US" w:eastAsia="en-US"/>
              </w:rPr>
            </w:pPr>
            <w:r>
              <w:rPr>
                <w:rFonts w:ascii="Times New Roman" w:eastAsia="宋体" w:cs="Times New Roman"/>
                <w:szCs w:val="24"/>
                <w:lang w:val="en-US" w:eastAsia="en-US"/>
              </w:rPr>
              <w:t>二级破碎、三级破碎——二碎和三碎采用高速旋转的刀片对待碎物料产生冲击和剪切作用，从而使物料得以粉碎，破碎的目的是使废电路板、覆铜板中的金属尽可能的单体解离，以便于提高分选效率。破碎通常也是其他回收方法的一种预处理技术。研究发现，一般破碎到 6mm 时金属基本上可以达到 100%的解离，二碎机的进料尺寸不大于 4*4cm，出料尺寸不大于 1.5*1.5cm；三碎机进料尺寸不大于 1.5*1.5cm，出料尺寸小于 80 目。由于废电路板主要由金属材料和非金属材料组成，金属材料具有较大的韧性，而非金属材料具有脆性，利用这一特性差异，在对电路板进行机械破碎时，金属材料由于受剪切与挤压而打卷，成为“卷型”颗粒，而非金属材料均为粉碎性破坏，当粉碎到一定细度时（约 300 目），金属粉将与非金属粉呈完全剥离状态。二碎和三碎过程均为密闭操作，过程中产生一定的粉尘，经过生产线自带的集气管道收集进入脉冲除尘器。</w:t>
            </w:r>
          </w:p>
          <w:p>
            <w:pPr>
              <w:spacing w:line="300" w:lineRule="exact"/>
              <w:ind w:firstLine="420" w:firstLineChars="200"/>
              <w:rPr>
                <w:rFonts w:ascii="Times New Roman" w:eastAsia="宋体" w:cs="Times New Roman"/>
                <w:szCs w:val="24"/>
                <w:lang w:val="en-US" w:eastAsia="en-US"/>
              </w:rPr>
            </w:pPr>
            <w:r>
              <w:rPr>
                <w:rFonts w:ascii="Times New Roman" w:eastAsia="宋体" w:cs="Times New Roman"/>
                <w:szCs w:val="24"/>
                <w:lang w:val="en-US" w:eastAsia="en-US"/>
              </w:rPr>
              <w:t>磁选：在二级破碎及三级破碎之间有一道磁选，分选出铁粉颗粒；</w:t>
            </w:r>
          </w:p>
          <w:p>
            <w:pPr>
              <w:spacing w:line="300" w:lineRule="exact"/>
              <w:rPr>
                <w:rFonts w:ascii="Times New Roman" w:eastAsia="宋体" w:cs="Times New Roman"/>
                <w:szCs w:val="24"/>
                <w:lang w:val="en-US" w:eastAsia="en-US"/>
              </w:rPr>
            </w:pPr>
            <w:r>
              <w:rPr>
                <w:rFonts w:ascii="Times New Roman" w:eastAsia="宋体" w:cs="Times New Roman"/>
                <w:szCs w:val="24"/>
                <w:lang w:val="en-US" w:eastAsia="en-US"/>
              </w:rPr>
              <w:t>气流分选——气流分选是利用颗粒在气流中的沉降的速度差或运动轨迹的不同而进行分离的过程。PCB 破碎产物中铜等金属的密度远大于树脂等非金属的密度，因此在垂直上升气流作用下，金属与非金属的沉降速度存在较大差异，容易实现富集分离。分选原理：不同比重的颗粒混合物料给到床面一端，与从床面缝隙吹入的空气混合，颗粒群在重力、风力的综合作用下按密度差异产生松散、流化并分层，重颗粒受到板的摩擦和振动作用下向床面的上端移动，轻颗粒浮在床面上部并向下端漂移，从而实现了金属和其他物质的分离，分选出铜铝金属粉，气流分选的分选率可以达到 92%以上；气流分选过程中较大颗粒通过回流系统重新回到三级破碎机破碎，同时产生的粉尘通过分选设备自带管道进入脉冲除尘设备处理，分选出的含铜颗粒继续进入静电分选提纯。</w:t>
            </w:r>
          </w:p>
          <w:p>
            <w:pPr>
              <w:spacing w:line="300" w:lineRule="exact"/>
              <w:rPr>
                <w:rFonts w:ascii="Times New Roman" w:eastAsia="宋体" w:cs="Times New Roman"/>
                <w:szCs w:val="24"/>
                <w:lang w:val="en-US" w:eastAsia="en-US"/>
              </w:rPr>
            </w:pPr>
            <w:r>
              <w:rPr>
                <w:rFonts w:ascii="Times New Roman" w:eastAsia="宋体" w:cs="Times New Roman"/>
                <w:szCs w:val="24"/>
                <w:lang w:val="en-US" w:eastAsia="en-US"/>
              </w:rPr>
              <w:t>静电分选——利用不同物质的导电性能的不同，在静电场内的行进线路不同进行分选，具体原理为：物料在电选机中的分选过程与其导电性有关。根据不同物质在电场中的受力方式、受力大小都不同，因而产生不同的运动轨迹，从而实现导电性不同的物料分离，从而分出金属粉（含铜、铝、金、钯）和树脂粉（S1-1）。</w:t>
            </w:r>
          </w:p>
          <w:p>
            <w:pPr>
              <w:spacing w:line="300" w:lineRule="exact"/>
              <w:ind w:firstLine="420" w:firstLineChars="200"/>
              <w:rPr>
                <w:rFonts w:ascii="Times New Roman" w:eastAsia="宋体" w:cs="Times New Roman"/>
                <w:szCs w:val="24"/>
                <w:lang w:val="en-US" w:eastAsia="en-US"/>
              </w:rPr>
            </w:pPr>
            <w:r>
              <w:rPr>
                <w:rFonts w:ascii="Times New Roman" w:eastAsia="宋体" w:cs="Times New Roman"/>
                <w:szCs w:val="24"/>
                <w:lang w:val="en-US" w:eastAsia="en-US"/>
              </w:rPr>
              <w:t>本项目回收生产线为定制成套密闭设备，工段之间均采用管道连接，整个回收生产线内产生一定的粉尘 G1-2（主要成分为树脂粉、铜、铝），出料口产品收集袋与出料口管口密闭连接，设备配套吸风罩收集包装袋束口可能逸出的出料粉尘，进入生产线自带管道负压收集后进入自带脉冲除尘器处理。</w:t>
            </w:r>
          </w:p>
          <w:p>
            <w:pPr>
              <w:spacing w:line="300" w:lineRule="exact"/>
              <w:rPr>
                <w:rFonts w:ascii="Times New Roman"/>
                <w:szCs w:val="24"/>
              </w:rPr>
            </w:pPr>
          </w:p>
          <w:p>
            <w:pPr>
              <w:spacing w:line="300" w:lineRule="exact"/>
              <w:rPr>
                <w:rFonts w:ascii="Times New Roman"/>
                <w:szCs w:val="24"/>
              </w:rPr>
            </w:pPr>
            <w:r>
              <w:drawing>
                <wp:anchor distT="0" distB="0" distL="114300" distR="114300" simplePos="0" relativeHeight="251659264" behindDoc="1" locked="0" layoutInCell="1" allowOverlap="1">
                  <wp:simplePos x="0" y="0"/>
                  <wp:positionH relativeFrom="page">
                    <wp:posOffset>1297305</wp:posOffset>
                  </wp:positionH>
                  <wp:positionV relativeFrom="page">
                    <wp:posOffset>3163570</wp:posOffset>
                  </wp:positionV>
                  <wp:extent cx="3186430" cy="4772660"/>
                  <wp:effectExtent l="0" t="0" r="13970" b="8890"/>
                  <wp:wrapNone/>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5"/>
                          <a:stretch>
                            <a:fillRect/>
                          </a:stretch>
                        </pic:blipFill>
                        <pic:spPr>
                          <a:xfrm>
                            <a:off x="0" y="0"/>
                            <a:ext cx="3186430" cy="4772660"/>
                          </a:xfrm>
                          <a:prstGeom prst="rect">
                            <a:avLst/>
                          </a:prstGeom>
                          <a:noFill/>
                          <a:ln>
                            <a:noFill/>
                          </a:ln>
                        </pic:spPr>
                      </pic:pic>
                    </a:graphicData>
                  </a:graphic>
                </wp:anchor>
              </w:drawing>
            </w: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tc>
      </w:tr>
    </w:tbl>
    <w:p>
      <w:pPr>
        <w:rPr>
          <w:rFonts w:ascii="Times New Roman" w:hAnsi="Times New Roman"/>
        </w:rPr>
        <w:sectPr>
          <w:pgSz w:w="11906" w:h="16838"/>
          <w:pgMar w:top="1440" w:right="1797" w:bottom="1440" w:left="1797" w:header="851" w:footer="992" w:gutter="0"/>
          <w:cols w:space="720" w:num="1"/>
          <w:docGrid w:type="lines" w:linePitch="312" w:charSpace="0"/>
        </w:sectPr>
      </w:pPr>
    </w:p>
    <w:p>
      <w:pPr>
        <w:rPr>
          <w:rFonts w:ascii="Times New Roman" w:hAnsi="Times New Roman" w:eastAsia="黑体"/>
          <w:sz w:val="28"/>
          <w:szCs w:val="28"/>
        </w:rPr>
      </w:pPr>
      <w:r>
        <w:rPr>
          <w:rFonts w:ascii="Times New Roman" w:eastAsia="黑体"/>
          <w:sz w:val="28"/>
          <w:szCs w:val="28"/>
        </w:rPr>
        <w:t>第四部分</w:t>
      </w:r>
      <w:r>
        <w:rPr>
          <w:rFonts w:ascii="Times New Roman" w:hAnsi="Times New Roman" w:eastAsia="黑体"/>
          <w:sz w:val="28"/>
          <w:szCs w:val="28"/>
        </w:rPr>
        <w:t xml:space="preserve"> </w:t>
      </w:r>
      <w:r>
        <w:rPr>
          <w:rFonts w:ascii="Times New Roman" w:eastAsia="黑体"/>
          <w:sz w:val="28"/>
          <w:szCs w:val="28"/>
        </w:rPr>
        <w:t>上年度固体（危险）废物跨省转移情况</w:t>
      </w:r>
    </w:p>
    <w:tbl>
      <w:tblPr>
        <w:tblStyle w:val="4"/>
        <w:tblW w:w="1516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2316"/>
        <w:gridCol w:w="1725"/>
        <w:gridCol w:w="1240"/>
        <w:gridCol w:w="1419"/>
        <w:gridCol w:w="924"/>
        <w:gridCol w:w="1690"/>
        <w:gridCol w:w="1329"/>
        <w:gridCol w:w="124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44" w:type="dxa"/>
            <w:noWrap w:val="0"/>
            <w:vAlign w:val="center"/>
          </w:tcPr>
          <w:p>
            <w:pPr>
              <w:jc w:val="center"/>
              <w:rPr>
                <w:rFonts w:ascii="Times New Roman" w:hAnsi="Times New Roman"/>
              </w:rPr>
            </w:pPr>
            <w:r>
              <w:rPr>
                <w:rFonts w:ascii="Times New Roman" w:hAnsi="宋体"/>
              </w:rPr>
              <w:t>出厂日期</w:t>
            </w:r>
          </w:p>
        </w:tc>
        <w:tc>
          <w:tcPr>
            <w:tcW w:w="1185" w:type="dxa"/>
            <w:noWrap w:val="0"/>
            <w:vAlign w:val="center"/>
          </w:tcPr>
          <w:p>
            <w:pPr>
              <w:jc w:val="center"/>
              <w:rPr>
                <w:rFonts w:ascii="Times New Roman" w:hAnsi="Times New Roman"/>
              </w:rPr>
            </w:pPr>
            <w:r>
              <w:rPr>
                <w:rFonts w:ascii="Times New Roman" w:hAnsi="宋体"/>
              </w:rPr>
              <w:t>转移批次</w:t>
            </w:r>
          </w:p>
        </w:tc>
        <w:tc>
          <w:tcPr>
            <w:tcW w:w="1735" w:type="dxa"/>
            <w:noWrap w:val="0"/>
            <w:vAlign w:val="center"/>
          </w:tcPr>
          <w:p>
            <w:pPr>
              <w:jc w:val="center"/>
              <w:rPr>
                <w:rFonts w:ascii="Times New Roman" w:hAnsi="Times New Roman"/>
              </w:rPr>
            </w:pPr>
            <w:r>
              <w:rPr>
                <w:rFonts w:ascii="Times New Roman" w:hAnsi="宋体"/>
              </w:rPr>
              <w:t>联单编号</w:t>
            </w:r>
          </w:p>
        </w:tc>
        <w:tc>
          <w:tcPr>
            <w:tcW w:w="1460" w:type="dxa"/>
            <w:noWrap w:val="0"/>
            <w:vAlign w:val="center"/>
          </w:tcPr>
          <w:p>
            <w:pPr>
              <w:jc w:val="center"/>
              <w:rPr>
                <w:rFonts w:ascii="Times New Roman" w:hAnsi="Times New Roman"/>
              </w:rPr>
            </w:pPr>
            <w:r>
              <w:rPr>
                <w:rFonts w:ascii="Times New Roman" w:hAnsi="宋体"/>
              </w:rPr>
              <w:t>废物名称</w:t>
            </w:r>
          </w:p>
        </w:tc>
        <w:tc>
          <w:tcPr>
            <w:tcW w:w="1460" w:type="dxa"/>
            <w:noWrap w:val="0"/>
            <w:vAlign w:val="center"/>
          </w:tcPr>
          <w:p>
            <w:pPr>
              <w:jc w:val="center"/>
              <w:rPr>
                <w:rFonts w:ascii="Times New Roman" w:hAnsi="Times New Roman"/>
              </w:rPr>
            </w:pPr>
            <w:r>
              <w:rPr>
                <w:rFonts w:ascii="Times New Roman" w:hAnsi="宋体"/>
              </w:rPr>
              <w:t>类别</w:t>
            </w:r>
            <w:r>
              <w:rPr>
                <w:rFonts w:ascii="Times New Roman" w:hAnsi="Times New Roman"/>
              </w:rPr>
              <w:t>/</w:t>
            </w:r>
            <w:r>
              <w:rPr>
                <w:rFonts w:ascii="Times New Roman" w:hAnsi="宋体"/>
              </w:rPr>
              <w:t>代码</w:t>
            </w:r>
          </w:p>
        </w:tc>
        <w:tc>
          <w:tcPr>
            <w:tcW w:w="945" w:type="dxa"/>
            <w:noWrap w:val="0"/>
            <w:vAlign w:val="center"/>
          </w:tcPr>
          <w:p>
            <w:pPr>
              <w:jc w:val="center"/>
              <w:rPr>
                <w:rFonts w:ascii="Times New Roman" w:hAnsi="Times New Roman"/>
              </w:rPr>
            </w:pPr>
            <w:r>
              <w:rPr>
                <w:rFonts w:ascii="Times New Roman" w:hAnsi="宋体"/>
              </w:rPr>
              <w:t>转移量（吨）</w:t>
            </w:r>
          </w:p>
        </w:tc>
        <w:tc>
          <w:tcPr>
            <w:tcW w:w="1975" w:type="dxa"/>
            <w:noWrap w:val="0"/>
            <w:vAlign w:val="center"/>
          </w:tcPr>
          <w:p>
            <w:pPr>
              <w:jc w:val="center"/>
              <w:rPr>
                <w:rFonts w:ascii="Times New Roman" w:hAnsi="Times New Roman"/>
              </w:rPr>
            </w:pPr>
            <w:r>
              <w:rPr>
                <w:rFonts w:ascii="Times New Roman"/>
              </w:rPr>
              <w:t>运输单位</w:t>
            </w:r>
          </w:p>
        </w:tc>
        <w:tc>
          <w:tcPr>
            <w:tcW w:w="1460" w:type="dxa"/>
            <w:noWrap w:val="0"/>
            <w:vAlign w:val="center"/>
          </w:tcPr>
          <w:p>
            <w:pPr>
              <w:jc w:val="center"/>
              <w:rPr>
                <w:rFonts w:ascii="Times New Roman" w:hAnsi="Times New Roman"/>
              </w:rPr>
            </w:pPr>
            <w:r>
              <w:rPr>
                <w:rFonts w:ascii="Times New Roman"/>
              </w:rPr>
              <w:t>车号</w:t>
            </w:r>
          </w:p>
        </w:tc>
        <w:tc>
          <w:tcPr>
            <w:tcW w:w="1460" w:type="dxa"/>
            <w:noWrap w:val="0"/>
            <w:vAlign w:val="center"/>
          </w:tcPr>
          <w:p>
            <w:pPr>
              <w:jc w:val="center"/>
              <w:rPr>
                <w:rFonts w:ascii="Times New Roman" w:hAnsi="Times New Roman"/>
              </w:rPr>
            </w:pPr>
            <w:r>
              <w:rPr>
                <w:rFonts w:ascii="Times New Roman" w:hAnsi="宋体"/>
              </w:rPr>
              <w:t>接收单位</w:t>
            </w:r>
          </w:p>
        </w:tc>
        <w:tc>
          <w:tcPr>
            <w:tcW w:w="1744" w:type="dxa"/>
            <w:noWrap w:val="0"/>
            <w:vAlign w:val="center"/>
          </w:tcPr>
          <w:p>
            <w:pPr>
              <w:jc w:val="center"/>
              <w:rPr>
                <w:rFonts w:ascii="Times New Roman" w:hAnsi="Times New Roman"/>
              </w:rPr>
            </w:pPr>
            <w:r>
              <w:rPr>
                <w:rFonts w:ascii="Times New Roman" w:hAnsi="宋体"/>
              </w:rPr>
              <w:t>接收日期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i w:val="0"/>
                <w:iCs w:val="0"/>
                <w:caps w:val="0"/>
                <w:color w:val="606266"/>
                <w:spacing w:val="0"/>
                <w:sz w:val="21"/>
                <w:szCs w:val="21"/>
                <w:shd w:val="clear" w:color="auto" w:fill="FFFFFF"/>
                <w:lang w:val="en-US" w:eastAsia="zh-CN"/>
              </w:rPr>
            </w:pPr>
            <w:r>
              <w:rPr>
                <w:rFonts w:hint="eastAsia" w:ascii="宋体" w:hAnsi="宋体" w:eastAsia="宋体" w:cs="宋体"/>
                <w:i w:val="0"/>
                <w:iCs w:val="0"/>
                <w:caps w:val="0"/>
                <w:color w:val="606266"/>
                <w:spacing w:val="0"/>
                <w:sz w:val="21"/>
                <w:szCs w:val="21"/>
                <w:shd w:val="clear" w:color="auto" w:fill="FFFFFF"/>
              </w:rPr>
              <w:t>2022-12-29</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sz w:val="21"/>
                <w:szCs w:val="21"/>
                <w:lang w:val="en-US" w:eastAsia="zh-CN"/>
              </w:rPr>
              <w:t>HWRK20221025001至HWRK20221122001、HWRK20221122005、HWRK20221122007、HWRK20221122010、HWRK20221122013、</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HWRK20221122015-18</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HWRK20221221003</w:t>
            </w:r>
          </w:p>
        </w:tc>
        <w:tc>
          <w:tcPr>
            <w:tcW w:w="1735"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i w:val="0"/>
                <w:iCs w:val="0"/>
                <w:caps w:val="0"/>
                <w:color w:val="606266"/>
                <w:spacing w:val="0"/>
                <w:sz w:val="21"/>
                <w:szCs w:val="21"/>
                <w:shd w:val="clear" w:color="auto" w:fill="FFFFFF"/>
              </w:rPr>
            </w:pPr>
            <w:r>
              <w:rPr>
                <w:rFonts w:hint="eastAsia" w:ascii="宋体" w:hAnsi="宋体" w:eastAsia="宋体" w:cs="宋体"/>
                <w:i w:val="0"/>
                <w:iCs w:val="0"/>
                <w:caps w:val="0"/>
                <w:color w:val="606266"/>
                <w:spacing w:val="0"/>
                <w:sz w:val="21"/>
                <w:szCs w:val="21"/>
                <w:shd w:val="clear" w:color="auto" w:fill="FFFFFF"/>
              </w:rPr>
              <w:t>20223702092194</w:t>
            </w:r>
          </w:p>
        </w:tc>
        <w:tc>
          <w:tcPr>
            <w:tcW w:w="146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废电路板</w:t>
            </w:r>
          </w:p>
        </w:tc>
        <w:tc>
          <w:tcPr>
            <w:tcW w:w="146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900-045-49</w:t>
            </w:r>
          </w:p>
        </w:tc>
        <w:tc>
          <w:tcPr>
            <w:tcW w:w="945"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14.49</w:t>
            </w:r>
          </w:p>
        </w:tc>
        <w:tc>
          <w:tcPr>
            <w:tcW w:w="1975"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津奥来国际物流（天津）有限公司</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46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津C35687</w:t>
            </w:r>
          </w:p>
        </w:tc>
        <w:tc>
          <w:tcPr>
            <w:tcW w:w="146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常州市星辉环保科技发展有限公司</w:t>
            </w:r>
          </w:p>
        </w:tc>
        <w:tc>
          <w:tcPr>
            <w:tcW w:w="1744"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i w:val="0"/>
                <w:iCs w:val="0"/>
                <w:caps w:val="0"/>
                <w:color w:val="606266"/>
                <w:spacing w:val="0"/>
                <w:sz w:val="21"/>
                <w:szCs w:val="21"/>
                <w:shd w:val="clear" w:color="auto" w:fill="FFFFFF"/>
              </w:rPr>
            </w:pPr>
            <w:r>
              <w:rPr>
                <w:rFonts w:hint="eastAsia" w:ascii="宋体" w:hAnsi="宋体" w:eastAsia="宋体" w:cs="宋体"/>
                <w:i w:val="0"/>
                <w:iCs w:val="0"/>
                <w:caps w:val="0"/>
                <w:color w:val="606266"/>
                <w:spacing w:val="0"/>
                <w:sz w:val="21"/>
                <w:szCs w:val="21"/>
                <w:shd w:val="clear" w:color="auto" w:fill="FFFFFF"/>
              </w:rPr>
              <w:t>2022-12-29</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i w:val="0"/>
                <w:iCs w:val="0"/>
                <w:caps w:val="0"/>
                <w:color w:val="606266"/>
                <w:spacing w:val="0"/>
                <w:sz w:val="21"/>
                <w:szCs w:val="21"/>
                <w:shd w:val="clear" w:color="auto" w:fill="FFFFFF"/>
              </w:rPr>
              <w:t>2022-12-</w:t>
            </w:r>
            <w:r>
              <w:rPr>
                <w:rFonts w:hint="eastAsia" w:ascii="宋体" w:hAnsi="宋体" w:eastAsia="宋体" w:cs="宋体"/>
                <w:i w:val="0"/>
                <w:iCs w:val="0"/>
                <w:caps w:val="0"/>
                <w:color w:val="606266"/>
                <w:spacing w:val="0"/>
                <w:sz w:val="21"/>
                <w:szCs w:val="21"/>
                <w:shd w:val="clear" w:color="auto" w:fill="FFFFFF"/>
                <w:lang w:val="en-US" w:eastAsia="zh-CN"/>
              </w:rPr>
              <w:t>29</w:t>
            </w:r>
          </w:p>
        </w:tc>
        <w:tc>
          <w:tcPr>
            <w:tcW w:w="1185"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 xml:space="preserve">HWRK20220728   </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至HWRK20221021001、HWRK20221221001</w:t>
            </w:r>
          </w:p>
        </w:tc>
        <w:tc>
          <w:tcPr>
            <w:tcW w:w="1735"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i w:val="0"/>
                <w:iCs w:val="0"/>
                <w:caps w:val="0"/>
                <w:color w:val="606266"/>
                <w:spacing w:val="0"/>
                <w:sz w:val="21"/>
                <w:szCs w:val="21"/>
                <w:shd w:val="clear" w:color="auto" w:fill="FFFFFF"/>
              </w:rPr>
              <w:t>20223702092193</w:t>
            </w:r>
          </w:p>
        </w:tc>
        <w:tc>
          <w:tcPr>
            <w:tcW w:w="146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废电路板</w:t>
            </w:r>
          </w:p>
        </w:tc>
        <w:tc>
          <w:tcPr>
            <w:tcW w:w="146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900-045-49</w:t>
            </w:r>
          </w:p>
        </w:tc>
        <w:tc>
          <w:tcPr>
            <w:tcW w:w="945"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12.661</w:t>
            </w:r>
          </w:p>
        </w:tc>
        <w:tc>
          <w:tcPr>
            <w:tcW w:w="1975"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津奥来国际物流（天津）有限公司</w:t>
            </w:r>
          </w:p>
        </w:tc>
        <w:tc>
          <w:tcPr>
            <w:tcW w:w="146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津C22120</w:t>
            </w:r>
          </w:p>
        </w:tc>
        <w:tc>
          <w:tcPr>
            <w:tcW w:w="146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常州市星辉环保科技发展有限公司</w:t>
            </w:r>
          </w:p>
        </w:tc>
        <w:tc>
          <w:tcPr>
            <w:tcW w:w="1744"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i w:val="0"/>
                <w:iCs w:val="0"/>
                <w:caps w:val="0"/>
                <w:color w:val="606266"/>
                <w:spacing w:val="0"/>
                <w:sz w:val="21"/>
                <w:szCs w:val="21"/>
                <w:shd w:val="clear" w:color="auto" w:fill="FFFFFF"/>
                <w:lang w:val="en-US" w:eastAsia="zh-CN"/>
              </w:rPr>
            </w:pPr>
            <w:r>
              <w:rPr>
                <w:rFonts w:hint="eastAsia" w:ascii="宋体" w:hAnsi="宋体" w:eastAsia="宋体" w:cs="宋体"/>
                <w:i w:val="0"/>
                <w:iCs w:val="0"/>
                <w:caps w:val="0"/>
                <w:color w:val="606266"/>
                <w:spacing w:val="0"/>
                <w:sz w:val="21"/>
                <w:szCs w:val="21"/>
                <w:shd w:val="clear" w:color="auto" w:fill="FFFFFF"/>
              </w:rPr>
              <w:t>2022-12-</w:t>
            </w:r>
            <w:r>
              <w:rPr>
                <w:rFonts w:hint="eastAsia" w:ascii="宋体" w:hAnsi="宋体" w:eastAsia="宋体" w:cs="宋体"/>
                <w:i w:val="0"/>
                <w:iCs w:val="0"/>
                <w:caps w:val="0"/>
                <w:color w:val="606266"/>
                <w:spacing w:val="0"/>
                <w:sz w:val="21"/>
                <w:szCs w:val="21"/>
                <w:shd w:val="clear" w:color="auto" w:fill="FFFFFF"/>
                <w:lang w:val="en-US" w:eastAsia="zh-CN"/>
              </w:rPr>
              <w:t>30</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i w:val="0"/>
                <w:iCs w:val="0"/>
                <w:caps w:val="0"/>
                <w:color w:val="606266"/>
                <w:spacing w:val="0"/>
                <w:sz w:val="21"/>
                <w:szCs w:val="21"/>
                <w:shd w:val="clear" w:color="auto" w:fill="FFFFFF"/>
              </w:rPr>
              <w:t>2022-12-</w:t>
            </w:r>
            <w:r>
              <w:rPr>
                <w:rFonts w:hint="eastAsia" w:ascii="宋体" w:hAnsi="宋体" w:eastAsia="宋体" w:cs="宋体"/>
                <w:i w:val="0"/>
                <w:iCs w:val="0"/>
                <w:caps w:val="0"/>
                <w:color w:val="606266"/>
                <w:spacing w:val="0"/>
                <w:sz w:val="21"/>
                <w:szCs w:val="21"/>
                <w:shd w:val="clear" w:color="auto" w:fill="FFFFFF"/>
                <w:lang w:val="en-US" w:eastAsia="zh-CN"/>
              </w:rPr>
              <w:t>30</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sz w:val="21"/>
                <w:szCs w:val="21"/>
                <w:lang w:val="en-US" w:eastAsia="zh-CN"/>
              </w:rPr>
              <w:t>HWRK20221122002-04、HWRK20221122002206、HWRK20221122008-9、HWRK20221122011-12、HWRK20221122014至HWRK20221129003、HWRK20221203001、HWRK20221203002</w:t>
            </w:r>
          </w:p>
        </w:tc>
        <w:tc>
          <w:tcPr>
            <w:tcW w:w="1735"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i w:val="0"/>
                <w:iCs w:val="0"/>
                <w:caps w:val="0"/>
                <w:color w:val="606266"/>
                <w:spacing w:val="0"/>
                <w:sz w:val="21"/>
                <w:szCs w:val="21"/>
                <w:shd w:val="clear" w:color="auto" w:fill="FFFFFF"/>
              </w:rPr>
              <w:t>20223702092573</w:t>
            </w:r>
          </w:p>
        </w:tc>
        <w:tc>
          <w:tcPr>
            <w:tcW w:w="146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废电路板</w:t>
            </w:r>
          </w:p>
        </w:tc>
        <w:tc>
          <w:tcPr>
            <w:tcW w:w="146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900-045-49</w:t>
            </w:r>
          </w:p>
        </w:tc>
        <w:tc>
          <w:tcPr>
            <w:tcW w:w="945"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8.05</w:t>
            </w:r>
          </w:p>
        </w:tc>
        <w:tc>
          <w:tcPr>
            <w:tcW w:w="1975"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常州市武进东安交通运输有限公司</w:t>
            </w:r>
          </w:p>
        </w:tc>
        <w:tc>
          <w:tcPr>
            <w:tcW w:w="146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苏DJK516</w:t>
            </w:r>
          </w:p>
        </w:tc>
        <w:tc>
          <w:tcPr>
            <w:tcW w:w="1460"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常州市星辉环保科技发展有限公司</w:t>
            </w:r>
          </w:p>
        </w:tc>
        <w:tc>
          <w:tcPr>
            <w:tcW w:w="1744" w:type="dxa"/>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i w:val="0"/>
                <w:iCs w:val="0"/>
                <w:caps w:val="0"/>
                <w:color w:val="606266"/>
                <w:spacing w:val="0"/>
                <w:sz w:val="21"/>
                <w:szCs w:val="21"/>
                <w:shd w:val="clear" w:color="auto" w:fill="FFFFFF"/>
                <w:lang w:eastAsia="zh-CN"/>
              </w:rPr>
            </w:pPr>
            <w:r>
              <w:rPr>
                <w:rFonts w:hint="eastAsia" w:ascii="宋体" w:hAnsi="宋体" w:eastAsia="宋体" w:cs="宋体"/>
                <w:i w:val="0"/>
                <w:iCs w:val="0"/>
                <w:caps w:val="0"/>
                <w:color w:val="606266"/>
                <w:spacing w:val="0"/>
                <w:sz w:val="21"/>
                <w:szCs w:val="21"/>
                <w:shd w:val="clear" w:color="auto" w:fill="FFFFFF"/>
              </w:rPr>
              <w:t>202</w:t>
            </w:r>
            <w:r>
              <w:rPr>
                <w:rFonts w:hint="eastAsia" w:ascii="宋体" w:hAnsi="宋体" w:eastAsia="宋体" w:cs="宋体"/>
                <w:i w:val="0"/>
                <w:iCs w:val="0"/>
                <w:caps w:val="0"/>
                <w:color w:val="606266"/>
                <w:spacing w:val="0"/>
                <w:sz w:val="21"/>
                <w:szCs w:val="21"/>
                <w:shd w:val="clear" w:color="auto" w:fill="FFFFFF"/>
                <w:lang w:val="en-US" w:eastAsia="zh-CN"/>
              </w:rPr>
              <w:t>3</w:t>
            </w:r>
            <w:r>
              <w:rPr>
                <w:rFonts w:hint="eastAsia" w:ascii="宋体" w:hAnsi="宋体" w:eastAsia="宋体" w:cs="宋体"/>
                <w:i w:val="0"/>
                <w:iCs w:val="0"/>
                <w:caps w:val="0"/>
                <w:color w:val="606266"/>
                <w:spacing w:val="0"/>
                <w:sz w:val="21"/>
                <w:szCs w:val="21"/>
                <w:shd w:val="clear" w:color="auto" w:fill="FFFFFF"/>
              </w:rPr>
              <w:t>-1-</w:t>
            </w:r>
            <w:r>
              <w:rPr>
                <w:rFonts w:hint="eastAsia" w:ascii="宋体" w:hAnsi="宋体" w:eastAsia="宋体" w:cs="宋体"/>
                <w:i w:val="0"/>
                <w:iCs w:val="0"/>
                <w:caps w:val="0"/>
                <w:color w:val="606266"/>
                <w:spacing w:val="0"/>
                <w:sz w:val="21"/>
                <w:szCs w:val="21"/>
                <w:shd w:val="clear" w:color="auto" w:fill="FFFFFF"/>
                <w:lang w:val="en-US" w:eastAsia="zh-CN"/>
              </w:rPr>
              <w:t>3</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44" w:type="dxa"/>
            <w:noWrap w:val="0"/>
            <w:vAlign w:val="top"/>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合计</w:t>
            </w:r>
          </w:p>
        </w:tc>
        <w:tc>
          <w:tcPr>
            <w:tcW w:w="1185" w:type="dxa"/>
            <w:noWrap w:val="0"/>
            <w:vAlign w:val="top"/>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735" w:type="dxa"/>
            <w:noWrap w:val="0"/>
            <w:vAlign w:val="top"/>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460" w:type="dxa"/>
            <w:noWrap w:val="0"/>
            <w:vAlign w:val="top"/>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460" w:type="dxa"/>
            <w:noWrap w:val="0"/>
            <w:vAlign w:val="top"/>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945" w:type="dxa"/>
            <w:noWrap w:val="0"/>
            <w:vAlign w:val="top"/>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35.201</w:t>
            </w:r>
          </w:p>
        </w:tc>
        <w:tc>
          <w:tcPr>
            <w:tcW w:w="1975" w:type="dxa"/>
            <w:noWrap w:val="0"/>
            <w:vAlign w:val="top"/>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460" w:type="dxa"/>
            <w:noWrap w:val="0"/>
            <w:vAlign w:val="top"/>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460" w:type="dxa"/>
            <w:noWrap w:val="0"/>
            <w:vAlign w:val="top"/>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744" w:type="dxa"/>
            <w:noWrap w:val="0"/>
            <w:vAlign w:val="top"/>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r>
    </w:tbl>
    <w:p>
      <w:pPr>
        <w:spacing w:line="440" w:lineRule="exact"/>
        <w:jc w:val="left"/>
        <w:rPr>
          <w:rFonts w:ascii="Times New Roman" w:hAnsi="Times New Roman"/>
        </w:rPr>
      </w:pPr>
      <w:r>
        <w:rPr>
          <w:rFonts w:ascii="Times New Roman"/>
        </w:rPr>
        <w:t>注：每种废物请填写合计量</w:t>
      </w:r>
    </w:p>
    <w:p>
      <w:pPr>
        <w:spacing w:line="440" w:lineRule="exact"/>
        <w:ind w:firstLine="420" w:firstLineChars="200"/>
        <w:jc w:val="left"/>
        <w:rPr>
          <w:rFonts w:ascii="Times New Roman" w:hAnsi="Times New Roman"/>
        </w:rPr>
        <w:sectPr>
          <w:footerReference r:id="rId5" w:type="default"/>
          <w:footerReference r:id="rId6" w:type="even"/>
          <w:pgSz w:w="16840" w:h="11907" w:orient="landscape"/>
          <w:pgMar w:top="1418" w:right="1588" w:bottom="1588" w:left="1701" w:header="851" w:footer="851" w:gutter="0"/>
          <w:pgNumType w:start="0"/>
          <w:cols w:space="720" w:num="1"/>
          <w:titlePg/>
          <w:docGrid w:type="linesAndChars" w:linePitch="286" w:charSpace="0"/>
        </w:sectPr>
      </w:pPr>
      <w:r>
        <w:rPr>
          <w:rFonts w:ascii="Times New Roman"/>
        </w:rPr>
        <w:t>首次申请不需填写</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8E36957"/>
    <w:multiLevelType w:val="multilevel"/>
    <w:tmpl w:val="78E36957"/>
    <w:lvl w:ilvl="0" w:tentative="0">
      <w:start w:val="1"/>
      <w:numFmt w:val="decimal"/>
      <w:suff w:val="space"/>
      <w:lvlText w:val="%1、"/>
      <w:lvlJc w:val="left"/>
      <w:pPr>
        <w:ind w:left="0" w:firstLine="482"/>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pStyle w:val="7"/>
      <w:suff w:val="nothing"/>
      <w:lvlText w:val="（%2）"/>
      <w:lvlJc w:val="left"/>
      <w:pPr>
        <w:ind w:left="793" w:firstLine="482"/>
      </w:pPr>
      <w:rPr>
        <w:rFonts w:hint="default" w:ascii="Times New Roman" w:hAnsi="Times New Roman" w:cs="Times New Roman"/>
      </w:rPr>
    </w:lvl>
    <w:lvl w:ilvl="2" w:tentative="0">
      <w:start w:val="1"/>
      <w:numFmt w:val="lowerRoman"/>
      <w:lvlText w:val="%3."/>
      <w:lvlJc w:val="right"/>
      <w:pPr>
        <w:ind w:left="1740" w:hanging="420"/>
      </w:pPr>
      <w:rPr>
        <w:rFonts w:hint="eastAsia"/>
      </w:rPr>
    </w:lvl>
    <w:lvl w:ilvl="3" w:tentative="0">
      <w:start w:val="1"/>
      <w:numFmt w:val="decimal"/>
      <w:lvlRestart w:val="0"/>
      <w:suff w:val="space"/>
      <w:lvlText w:val="表%4  "/>
      <w:lvlJc w:val="center"/>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lang w:val="en-US"/>
      </w:rPr>
    </w:lvl>
    <w:lvl w:ilvl="4" w:tentative="0">
      <w:start w:val="1"/>
      <w:numFmt w:val="decimal"/>
      <w:lvlRestart w:val="0"/>
      <w:suff w:val="space"/>
      <w:lvlText w:val="图%5  "/>
      <w:lvlJc w:val="center"/>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NDI5ODRlZDE2MjU2ZDUwNzBhZDJiZGI1NWI5MDMifQ=="/>
  </w:docVars>
  <w:rsids>
    <w:rsidRoot w:val="15AF207F"/>
    <w:rsid w:val="15AF2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pPr>
      <w:spacing w:line="240" w:lineRule="auto"/>
    </w:pPr>
    <w:rPr>
      <w:rFonts w:ascii="宋体" w:hAnsi="Courier New" w:cs="Courier New"/>
      <w:szCs w:val="21"/>
    </w:rPr>
  </w:style>
  <w:style w:type="paragraph" w:styleId="3">
    <w:name w:val="footer"/>
    <w:basedOn w:val="1"/>
    <w:semiHidden/>
    <w:qFormat/>
    <w:uiPriority w:val="0"/>
    <w:pPr>
      <w:tabs>
        <w:tab w:val="center" w:pos="4153"/>
        <w:tab w:val="right" w:pos="8306"/>
      </w:tabs>
      <w:snapToGrid w:val="0"/>
      <w:spacing w:line="240" w:lineRule="atLeast"/>
      <w:jc w:val="left"/>
    </w:pPr>
    <w:rPr>
      <w:sz w:val="18"/>
      <w:szCs w:val="18"/>
    </w:rPr>
  </w:style>
  <w:style w:type="character" w:styleId="6">
    <w:name w:val="page number"/>
    <w:qFormat/>
    <w:uiPriority w:val="0"/>
  </w:style>
  <w:style w:type="paragraph" w:customStyle="1" w:styleId="7">
    <w:name w:val="自定标题2"/>
    <w:basedOn w:val="1"/>
    <w:qFormat/>
    <w:uiPriority w:val="0"/>
    <w:pPr>
      <w:numPr>
        <w:ilvl w:val="1"/>
        <w:numId w:val="1"/>
      </w:numPr>
      <w:spacing w:line="440" w:lineRule="exact"/>
      <w:ind w:left="0"/>
      <w:textAlignment w:val="baseline"/>
    </w:pPr>
    <w:rPr>
      <w:b/>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emf"/><Relationship Id="rId12" Type="http://schemas.openxmlformats.org/officeDocument/2006/relationships/oleObject" Target="embeddings/oleObject1.bin"/><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2023-02-22T07:06:00Z</dcterms:created>
  <dc:creator>.</dc:creator>
  <cp:lastModifiedBy>.</cp:lastModifiedBy>
  <dcterms:modified xsi:type="dcterms:W3CDTF">2023-02-22T07:09:37Z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0BC267FD2E4E4D948D9025CDAF666054</vt:lpwstr>
  </property>
</Properties>
</file>