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52"/>
        </w:rPr>
      </w:pPr>
    </w:p>
    <w:p>
      <w:pPr>
        <w:jc w:val="center"/>
        <w:rPr>
          <w:rFonts w:ascii="Times New Roman" w:hAnsi="Times New Roman"/>
          <w:b/>
          <w:sz w:val="52"/>
          <w:szCs w:val="52"/>
        </w:rPr>
      </w:pPr>
    </w:p>
    <w:p>
      <w:pPr>
        <w:jc w:val="center"/>
        <w:rPr>
          <w:rFonts w:ascii="Times New Roman" w:hAnsi="Times New Roman"/>
          <w:b/>
          <w:sz w:val="52"/>
          <w:szCs w:val="52"/>
        </w:rPr>
      </w:pPr>
      <w:r>
        <w:rPr>
          <w:rFonts w:ascii="Times New Roman" w:hAnsi="宋体"/>
          <w:b/>
          <w:sz w:val="52"/>
          <w:szCs w:val="52"/>
        </w:rPr>
        <w:t>江苏省固体（危险）废物</w:t>
      </w:r>
    </w:p>
    <w:p>
      <w:pPr>
        <w:jc w:val="center"/>
        <w:rPr>
          <w:rFonts w:ascii="Times New Roman" w:hAnsi="Times New Roman"/>
          <w:b/>
          <w:sz w:val="52"/>
          <w:szCs w:val="52"/>
        </w:rPr>
      </w:pPr>
      <w:r>
        <w:rPr>
          <w:rFonts w:ascii="Times New Roman" w:hAnsi="宋体"/>
          <w:b/>
          <w:sz w:val="52"/>
          <w:szCs w:val="52"/>
        </w:rPr>
        <w:t>跨省（市）转移实施方案</w:t>
      </w:r>
    </w:p>
    <w:p>
      <w:pPr>
        <w:jc w:val="center"/>
        <w:rPr>
          <w:rFonts w:ascii="Times New Roman" w:hAnsi="Times New Roman"/>
          <w:sz w:val="52"/>
        </w:rPr>
      </w:pPr>
    </w:p>
    <w:p>
      <w:pPr>
        <w:jc w:val="center"/>
        <w:rPr>
          <w:rFonts w:ascii="Times New Roman" w:hAnsi="Times New Roman"/>
          <w:sz w:val="52"/>
        </w:rPr>
      </w:pPr>
    </w:p>
    <w:p>
      <w:pPr>
        <w:jc w:val="cente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4"/>
        <w:tabs>
          <w:tab w:val="left" w:pos="5940"/>
        </w:tabs>
        <w:snapToGrid w:val="0"/>
        <w:ind w:firstLine="315" w:firstLineChars="98"/>
        <w:rPr>
          <w:rFonts w:ascii="Times New Roman" w:hAnsi="Times New Roman" w:cs="Times New Roman"/>
          <w:b/>
          <w:sz w:val="32"/>
        </w:rPr>
      </w:pPr>
      <w:r>
        <w:rPr>
          <w:rFonts w:ascii="Times New Roman" w:hAnsi="宋体" w:cs="Times New Roman"/>
          <w:b/>
          <w:sz w:val="32"/>
        </w:rPr>
        <w:t>申请单位：</w:t>
      </w:r>
      <w:r>
        <w:rPr>
          <w:rFonts w:ascii="Times New Roman" w:hAnsi="Times New Roman" w:cs="Times New Roman"/>
          <w:b/>
          <w:sz w:val="32"/>
          <w:u w:val="single"/>
        </w:rPr>
        <w:t xml:space="preserve"> </w:t>
      </w:r>
      <w:r>
        <w:rPr>
          <w:rFonts w:ascii="Times New Roman" w:hAnsi="宋体" w:cs="Times New Roman"/>
          <w:b/>
          <w:sz w:val="32"/>
          <w:u w:val="single"/>
        </w:rPr>
        <w:t>常州翔宇资源再生科技有限公司</w:t>
      </w:r>
      <w:r>
        <w:rPr>
          <w:rFonts w:ascii="Times New Roman" w:hAnsi="Times New Roman" w:cs="Times New Roman"/>
          <w:b/>
          <w:sz w:val="32"/>
          <w:u w:val="single"/>
        </w:rPr>
        <w:t xml:space="preserve"> </w:t>
      </w:r>
      <w:r>
        <w:rPr>
          <w:rFonts w:ascii="Times New Roman" w:hAnsi="宋体" w:cs="Times New Roman"/>
          <w:b/>
          <w:sz w:val="32"/>
        </w:rPr>
        <w:t>（公章）</w:t>
      </w:r>
    </w:p>
    <w:p>
      <w:pPr>
        <w:tabs>
          <w:tab w:val="left" w:pos="5940"/>
        </w:tabs>
        <w:snapToGrid w:val="0"/>
        <w:rPr>
          <w:rFonts w:ascii="Times New Roman" w:hAnsi="Times New Roman"/>
          <w:b/>
          <w:sz w:val="32"/>
        </w:rPr>
      </w:pPr>
    </w:p>
    <w:p>
      <w:pPr>
        <w:tabs>
          <w:tab w:val="left" w:pos="5940"/>
        </w:tabs>
        <w:snapToGrid w:val="0"/>
        <w:rPr>
          <w:rFonts w:ascii="Times New Roman" w:hAnsi="Times New Roman"/>
          <w:b/>
          <w:sz w:val="32"/>
        </w:rPr>
      </w:pPr>
    </w:p>
    <w:p>
      <w:pPr>
        <w:tabs>
          <w:tab w:val="left" w:pos="5940"/>
        </w:tabs>
        <w:snapToGrid w:val="0"/>
        <w:ind w:firstLine="315" w:firstLineChars="98"/>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20</w:t>
      </w:r>
      <w:r>
        <w:rPr>
          <w:rFonts w:hint="eastAsia"/>
          <w:b/>
          <w:sz w:val="32"/>
          <w:u w:val="single"/>
          <w:lang w:val="en-US" w:eastAsia="zh-CN"/>
        </w:rPr>
        <w:t>23</w:t>
      </w:r>
      <w:r>
        <w:rPr>
          <w:rFonts w:ascii="Times New Roman" w:hAnsi="宋体"/>
          <w:b/>
          <w:sz w:val="32"/>
          <w:u w:val="single"/>
        </w:rPr>
        <w:t>年</w:t>
      </w:r>
      <w:r>
        <w:rPr>
          <w:rFonts w:hint="eastAsia" w:hAnsi="宋体"/>
          <w:b/>
          <w:sz w:val="32"/>
          <w:u w:val="single"/>
          <w:lang w:val="en-US" w:eastAsia="zh-CN"/>
        </w:rPr>
        <w:t>0</w:t>
      </w:r>
      <w:r>
        <w:rPr>
          <w:rFonts w:hint="eastAsia"/>
          <w:b/>
          <w:sz w:val="32"/>
          <w:u w:val="single"/>
          <w:lang w:val="en-US" w:eastAsia="zh-CN"/>
        </w:rPr>
        <w:t>1</w:t>
      </w:r>
      <w:r>
        <w:rPr>
          <w:rFonts w:ascii="Times New Roman" w:hAnsi="宋体"/>
          <w:b/>
          <w:sz w:val="32"/>
          <w:u w:val="single"/>
        </w:rPr>
        <w:t>月</w:t>
      </w:r>
      <w:r>
        <w:rPr>
          <w:rFonts w:hint="eastAsia" w:hAnsi="宋体"/>
          <w:b/>
          <w:sz w:val="32"/>
          <w:u w:val="single"/>
          <w:lang w:val="en-US" w:eastAsia="zh-CN"/>
        </w:rPr>
        <w:t>01</w:t>
      </w:r>
      <w:r>
        <w:rPr>
          <w:rFonts w:ascii="Times New Roman" w:hAnsi="宋体"/>
          <w:b/>
          <w:sz w:val="32"/>
          <w:u w:val="single"/>
        </w:rPr>
        <w:t>日</w:t>
      </w:r>
      <w:r>
        <w:rPr>
          <w:rFonts w:ascii="Times New Roman" w:hAnsi="Times New Roman"/>
          <w:b/>
          <w:sz w:val="32"/>
          <w:u w:val="single"/>
        </w:rPr>
        <w:t xml:space="preserve">      </w:t>
      </w:r>
      <w:r>
        <w:rPr>
          <w:rFonts w:ascii="Times New Roman" w:hAnsi="Times New Roman"/>
          <w:b/>
          <w:sz w:val="32"/>
        </w:rPr>
        <w:t xml:space="preserve">     </w:t>
      </w: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spacing w:val="20"/>
          <w:sz w:val="30"/>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286" w:charSpace="0"/>
        </w:sectPr>
      </w:pPr>
      <w:r>
        <w:rPr>
          <w:rFonts w:ascii="Times New Roman" w:hAnsi="宋体"/>
          <w:b/>
          <w:sz w:val="24"/>
        </w:rPr>
        <w:t>江苏省环境保护厅制</w:t>
      </w:r>
    </w:p>
    <w:p>
      <w:pPr>
        <w:ind w:right="-758" w:rightChars="-361" w:firstLine="3080" w:firstLineChars="700"/>
        <w:rPr>
          <w:rFonts w:ascii="Times New Roman" w:hAnsi="Times New Roman"/>
          <w:sz w:val="44"/>
          <w:szCs w:val="44"/>
        </w:rPr>
      </w:pPr>
      <w:r>
        <w:rPr>
          <w:rFonts w:ascii="Times New Roman" w:hAnsi="宋体"/>
          <w:sz w:val="44"/>
          <w:szCs w:val="44"/>
        </w:rPr>
        <w:t>申请者声明</w:t>
      </w:r>
    </w:p>
    <w:p>
      <w:pPr>
        <w:ind w:right="-758" w:rightChars="-361"/>
        <w:jc w:val="center"/>
        <w:rPr>
          <w:rFonts w:ascii="Times New Roman" w:hAnsi="Times New Roman"/>
          <w:b/>
          <w:sz w:val="44"/>
          <w:szCs w:val="44"/>
        </w:rPr>
      </w:pPr>
    </w:p>
    <w:p>
      <w:pPr>
        <w:spacing w:line="360" w:lineRule="auto"/>
        <w:ind w:left="-210" w:leftChars="-100" w:right="-210" w:rightChars="-100" w:firstLine="640" w:firstLineChars="200"/>
        <w:rPr>
          <w:rFonts w:ascii="Times New Roman" w:hAnsi="Times New Roman"/>
          <w:sz w:val="32"/>
          <w:szCs w:val="32"/>
        </w:rPr>
      </w:pPr>
      <w:r>
        <w:rPr>
          <w:rFonts w:ascii="Times New Roman" w:hAnsi="宋体"/>
          <w:sz w:val="32"/>
          <w:szCs w:val="32"/>
        </w:rPr>
        <w:t>我代表申请单位郑重承诺：本实施方案所填资料是完整的和真实的。转移的危险废物名称、类别、代码、数量与实际相符。危险废物接受单位具备相应的处置利用能力和污染防治措施。委托有资质单位进行运输并按照制定的运输路线运输，保证转移的废物均到达接收单位进行安全处置处理，对转移过程中可能产生的环境风险提出合理的控制措施，实行跨省（市）转移网上报告，承担转移全过程监控责任。</w:t>
      </w:r>
    </w:p>
    <w:p>
      <w:pPr>
        <w:ind w:left="-210" w:leftChars="-100" w:right="-210" w:rightChars="-100" w:firstLine="1264"/>
        <w:rPr>
          <w:rFonts w:ascii="Times New Roman" w:hAnsi="Times New Roman"/>
          <w:sz w:val="36"/>
          <w:szCs w:val="36"/>
        </w:rPr>
      </w:pPr>
      <w:r>
        <w:rPr>
          <w:rFonts w:ascii="Times New Roman" w:hAnsi="Times New Roman"/>
          <w:sz w:val="36"/>
          <w:szCs w:val="36"/>
        </w:rPr>
        <w:t xml:space="preserve">                                </w:t>
      </w:r>
    </w:p>
    <w:p>
      <w:pPr>
        <w:ind w:left="-210" w:leftChars="-100" w:right="-210" w:rightChars="-100" w:firstLine="1264"/>
        <w:rPr>
          <w:rFonts w:ascii="Times New Roman" w:hAnsi="Times New Roman"/>
          <w:sz w:val="36"/>
          <w:szCs w:val="36"/>
        </w:rPr>
      </w:pPr>
    </w:p>
    <w:p>
      <w:pPr>
        <w:ind w:left="-210" w:leftChars="-100" w:right="-210" w:rightChars="-100" w:firstLine="1264"/>
        <w:rPr>
          <w:rFonts w:ascii="Times New Roman" w:hAnsi="Times New Roman"/>
          <w:sz w:val="36"/>
          <w:szCs w:val="36"/>
        </w:rPr>
      </w:pPr>
    </w:p>
    <w:p>
      <w:pPr>
        <w:ind w:left="-210" w:leftChars="-100" w:right="-210" w:rightChars="-100" w:firstLine="1264"/>
        <w:rPr>
          <w:rFonts w:ascii="Times New Roman" w:hAnsi="Times New Roman"/>
          <w:sz w:val="36"/>
          <w:szCs w:val="36"/>
        </w:rPr>
      </w:pPr>
      <w:r>
        <w:rPr>
          <w:rFonts w:ascii="Times New Roman" w:hAnsi="Times New Roman"/>
          <w:sz w:val="32"/>
          <w:szCs w:val="32"/>
        </w:rPr>
        <w:t xml:space="preserve">     </w:t>
      </w:r>
    </w:p>
    <w:p>
      <w:pPr>
        <w:ind w:left="-210" w:leftChars="-100" w:right="-210" w:rightChars="-100" w:firstLine="1264"/>
        <w:jc w:val="center"/>
        <w:rPr>
          <w:rFonts w:ascii="Times New Roman" w:hAnsi="Times New Roman"/>
          <w:sz w:val="32"/>
          <w:szCs w:val="32"/>
        </w:rPr>
      </w:pPr>
      <w:r>
        <w:rPr>
          <w:rFonts w:ascii="Times New Roman" w:hAnsi="Times New Roman"/>
          <w:sz w:val="32"/>
          <w:szCs w:val="32"/>
        </w:rPr>
        <w:t xml:space="preserve">      </w:t>
      </w:r>
      <w:r>
        <w:rPr>
          <w:rFonts w:hint="eastAsia"/>
          <w:sz w:val="32"/>
          <w:szCs w:val="32"/>
          <w:lang w:val="en-US" w:eastAsia="zh-CN"/>
        </w:rPr>
        <w:t xml:space="preserve">   </w:t>
      </w:r>
      <w:r>
        <w:rPr>
          <w:rFonts w:ascii="Times New Roman" w:hAnsi="宋体"/>
          <w:sz w:val="32"/>
          <w:szCs w:val="32"/>
        </w:rPr>
        <w:t>法人代表签字：</w:t>
      </w:r>
    </w:p>
    <w:p>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ascii="Times New Roman" w:hAnsi="宋体"/>
          <w:sz w:val="32"/>
          <w:szCs w:val="32"/>
        </w:rPr>
        <w:t>年</w:t>
      </w:r>
      <w:r>
        <w:rPr>
          <w:rFonts w:ascii="Times New Roman" w:hAnsi="Times New Roman"/>
          <w:sz w:val="32"/>
          <w:szCs w:val="32"/>
        </w:rPr>
        <w:t xml:space="preserve">    </w:t>
      </w:r>
      <w:r>
        <w:rPr>
          <w:rFonts w:ascii="Times New Roman" w:hAnsi="宋体"/>
          <w:sz w:val="32"/>
          <w:szCs w:val="32"/>
        </w:rPr>
        <w:t>月</w:t>
      </w:r>
      <w:r>
        <w:rPr>
          <w:rFonts w:ascii="Times New Roman" w:hAnsi="Times New Roman"/>
          <w:sz w:val="32"/>
          <w:szCs w:val="32"/>
        </w:rPr>
        <w:t xml:space="preserve">    </w:t>
      </w:r>
      <w:r>
        <w:rPr>
          <w:rFonts w:ascii="Times New Roman" w:hAnsi="宋体"/>
          <w:sz w:val="32"/>
          <w:szCs w:val="32"/>
        </w:rPr>
        <w:t>日</w:t>
      </w:r>
    </w:p>
    <w:p>
      <w:pPr>
        <w:ind w:left="-210" w:leftChars="-100" w:right="-210" w:rightChars="-100" w:firstLine="1264"/>
        <w:jc w:val="center"/>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28"/>
        </w:rPr>
      </w:pPr>
    </w:p>
    <w:p>
      <w:pPr>
        <w:ind w:right="-758" w:rightChars="-361"/>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rPr>
          <w:rFonts w:ascii="Times New Roman" w:hAnsi="Times New Roman"/>
          <w:sz w:val="28"/>
          <w:szCs w:val="28"/>
        </w:rPr>
      </w:pPr>
      <w:r>
        <w:rPr>
          <w:rFonts w:ascii="Times New Roman" w:hAnsi="宋体"/>
          <w:sz w:val="28"/>
          <w:szCs w:val="28"/>
        </w:rPr>
        <w:t>第一部分：拟转移废物基本情况</w:t>
      </w: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52"/>
        <w:gridCol w:w="1350"/>
        <w:gridCol w:w="2409"/>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noWrap w:val="0"/>
            <w:vAlign w:val="top"/>
          </w:tcPr>
          <w:p>
            <w:pPr>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1 </w:t>
            </w:r>
            <w:r>
              <w:rPr>
                <w:rFonts w:ascii="Times New Roman" w:hAnsi="宋体"/>
                <w:sz w:val="24"/>
                <w:szCs w:val="24"/>
              </w:rPr>
              <w:t>废物产生情况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2" w:hRule="atLeast"/>
        </w:trPr>
        <w:tc>
          <w:tcPr>
            <w:tcW w:w="9135" w:type="dxa"/>
            <w:gridSpan w:val="5"/>
            <w:noWrap w:val="0"/>
            <w:vAlign w:val="top"/>
          </w:tcPr>
          <w:p>
            <w:pPr>
              <w:spacing w:line="300" w:lineRule="exact"/>
              <w:rPr>
                <w:rFonts w:ascii="Times New Roman" w:hAnsi="Times New Roman"/>
                <w:szCs w:val="21"/>
              </w:rPr>
            </w:pPr>
            <w:r>
              <w:rPr>
                <w:rFonts w:ascii="Times New Roman" w:hAnsi="宋体"/>
                <w:szCs w:val="21"/>
              </w:rPr>
              <w:t>废物产生企业概况（企业投产时间、主要经营范围及规模）</w:t>
            </w:r>
          </w:p>
          <w:p>
            <w:pPr>
              <w:spacing w:line="300" w:lineRule="exact"/>
              <w:ind w:firstLine="420" w:firstLineChars="200"/>
              <w:rPr>
                <w:rFonts w:ascii="Times New Roman" w:hAnsi="Times New Roman"/>
                <w:szCs w:val="21"/>
              </w:rPr>
            </w:pPr>
            <w:r>
              <w:rPr>
                <w:rFonts w:ascii="Times New Roman" w:hAnsi="宋体"/>
                <w:szCs w:val="21"/>
              </w:rPr>
              <w:t>常州翔宇资源再生科技有限公司组建于</w:t>
            </w:r>
            <w:r>
              <w:rPr>
                <w:rFonts w:ascii="Times New Roman" w:hAnsi="Times New Roman"/>
                <w:szCs w:val="21"/>
              </w:rPr>
              <w:t>2008</w:t>
            </w:r>
            <w:r>
              <w:rPr>
                <w:rFonts w:ascii="Times New Roman" w:hAnsi="宋体"/>
                <w:szCs w:val="21"/>
              </w:rPr>
              <w:t>年</w:t>
            </w:r>
            <w:r>
              <w:rPr>
                <w:rFonts w:ascii="Times New Roman" w:hAnsi="Times New Roman"/>
                <w:szCs w:val="21"/>
              </w:rPr>
              <w:t>12</w:t>
            </w:r>
            <w:r>
              <w:rPr>
                <w:rFonts w:ascii="Times New Roman" w:hAnsi="宋体"/>
                <w:szCs w:val="21"/>
              </w:rPr>
              <w:t>月，注册资金</w:t>
            </w:r>
            <w:r>
              <w:rPr>
                <w:rFonts w:ascii="Times New Roman" w:hAnsi="Times New Roman"/>
                <w:szCs w:val="21"/>
              </w:rPr>
              <w:t>3000</w:t>
            </w:r>
            <w:r>
              <w:rPr>
                <w:rFonts w:ascii="Times New Roman" w:hAnsi="宋体"/>
                <w:szCs w:val="21"/>
              </w:rPr>
              <w:t>万元，总投资</w:t>
            </w:r>
            <w:r>
              <w:rPr>
                <w:rFonts w:ascii="Times New Roman" w:hAnsi="Times New Roman"/>
                <w:szCs w:val="21"/>
              </w:rPr>
              <w:t>2.8</w:t>
            </w:r>
            <w:r>
              <w:rPr>
                <w:rFonts w:ascii="Times New Roman" w:hAnsi="宋体"/>
                <w:szCs w:val="21"/>
              </w:rPr>
              <w:t>亿元，总面积达</w:t>
            </w:r>
            <w:r>
              <w:rPr>
                <w:rFonts w:ascii="Times New Roman" w:hAnsi="Times New Roman"/>
                <w:szCs w:val="21"/>
              </w:rPr>
              <w:t>63669</w:t>
            </w:r>
            <w:r>
              <w:rPr>
                <w:rFonts w:ascii="Times New Roman" w:hAnsi="宋体"/>
                <w:szCs w:val="21"/>
              </w:rPr>
              <w:t>平方米，为江苏省十二五规划废旧电器电子产品处置定点单位。主要</w:t>
            </w:r>
            <w:r>
              <w:rPr>
                <w:rFonts w:hint="eastAsia" w:hAnsi="宋体"/>
                <w:szCs w:val="21"/>
                <w:lang w:eastAsia="zh-CN"/>
              </w:rPr>
              <w:t>从事</w:t>
            </w:r>
            <w:r>
              <w:rPr>
                <w:rFonts w:ascii="Times New Roman" w:hAnsi="宋体"/>
                <w:szCs w:val="21"/>
              </w:rPr>
              <w:t>废旧电视机、电冰箱、洗衣机、房间空气调节器、微型计算机的处理业务。目前已建成年处置各类电子废弃物</w:t>
            </w:r>
            <w:r>
              <w:rPr>
                <w:rFonts w:ascii="Times New Roman" w:hAnsi="Times New Roman"/>
                <w:szCs w:val="21"/>
              </w:rPr>
              <w:t>25000</w:t>
            </w:r>
            <w:r>
              <w:rPr>
                <w:rFonts w:ascii="Times New Roman" w:hAnsi="宋体"/>
                <w:szCs w:val="21"/>
              </w:rPr>
              <w:t>吨的生产线，贵金属资源化率不低于</w:t>
            </w:r>
            <w:r>
              <w:rPr>
                <w:rFonts w:ascii="Times New Roman" w:hAnsi="Times New Roman"/>
                <w:szCs w:val="21"/>
              </w:rPr>
              <w:t>98%</w:t>
            </w:r>
            <w:r>
              <w:rPr>
                <w:rFonts w:ascii="Times New Roman"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noWrap w:val="0"/>
            <w:vAlign w:val="center"/>
          </w:tcPr>
          <w:p>
            <w:pPr>
              <w:spacing w:line="300" w:lineRule="exact"/>
              <w:rPr>
                <w:rFonts w:ascii="Times New Roman" w:hAnsi="Times New Roman"/>
                <w:szCs w:val="21"/>
              </w:rPr>
            </w:pPr>
            <w:r>
              <w:rPr>
                <w:rFonts w:ascii="Times New Roman" w:hAnsi="宋体"/>
                <w:szCs w:val="21"/>
              </w:rPr>
              <w:t>产品及产废情况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noWrap w:val="0"/>
            <w:vAlign w:val="center"/>
          </w:tcPr>
          <w:p>
            <w:pPr>
              <w:spacing w:line="300" w:lineRule="exact"/>
              <w:jc w:val="center"/>
              <w:rPr>
                <w:rFonts w:ascii="Times New Roman" w:hAnsi="Times New Roman"/>
                <w:szCs w:val="21"/>
              </w:rPr>
            </w:pPr>
            <w:r>
              <w:rPr>
                <w:rFonts w:ascii="Times New Roman" w:hAnsi="宋体"/>
                <w:szCs w:val="21"/>
              </w:rPr>
              <w:t>产品情况</w:t>
            </w:r>
          </w:p>
        </w:tc>
        <w:tc>
          <w:tcPr>
            <w:tcW w:w="4215" w:type="dxa"/>
            <w:gridSpan w:val="2"/>
            <w:noWrap w:val="0"/>
            <w:vAlign w:val="center"/>
          </w:tcPr>
          <w:p>
            <w:pPr>
              <w:spacing w:line="300" w:lineRule="exact"/>
              <w:jc w:val="center"/>
              <w:rPr>
                <w:rFonts w:ascii="Times New Roman" w:hAnsi="Times New Roman"/>
                <w:szCs w:val="21"/>
              </w:rPr>
            </w:pPr>
            <w:r>
              <w:rPr>
                <w:rFonts w:ascii="Times New Roman" w:hAnsi="宋体"/>
                <w:szCs w:val="21"/>
              </w:rP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noWrap w:val="0"/>
            <w:vAlign w:val="center"/>
          </w:tcPr>
          <w:p>
            <w:pPr>
              <w:spacing w:line="300" w:lineRule="exact"/>
              <w:jc w:val="center"/>
              <w:rPr>
                <w:rFonts w:ascii="Times New Roman" w:hAnsi="Times New Roman"/>
                <w:szCs w:val="21"/>
              </w:rPr>
            </w:pPr>
            <w:r>
              <w:rPr>
                <w:rFonts w:ascii="Times New Roman" w:hAnsi="宋体"/>
                <w:szCs w:val="21"/>
              </w:rPr>
              <w:t>产品名称</w:t>
            </w:r>
          </w:p>
        </w:tc>
        <w:tc>
          <w:tcPr>
            <w:tcW w:w="2052" w:type="dxa"/>
            <w:noWrap w:val="0"/>
            <w:vAlign w:val="center"/>
          </w:tcPr>
          <w:p>
            <w:pPr>
              <w:spacing w:line="300" w:lineRule="exact"/>
              <w:jc w:val="center"/>
              <w:rPr>
                <w:rFonts w:ascii="Times New Roman" w:hAnsi="Times New Roman"/>
                <w:szCs w:val="21"/>
              </w:rPr>
            </w:pPr>
            <w:r>
              <w:rPr>
                <w:rFonts w:ascii="Times New Roman" w:hAnsi="宋体"/>
                <w:szCs w:val="21"/>
              </w:rPr>
              <w:t>主要成分化学名</w:t>
            </w:r>
          </w:p>
        </w:tc>
        <w:tc>
          <w:tcPr>
            <w:tcW w:w="1350" w:type="dxa"/>
            <w:noWrap w:val="0"/>
            <w:vAlign w:val="center"/>
          </w:tcPr>
          <w:p>
            <w:pPr>
              <w:spacing w:line="300" w:lineRule="exact"/>
              <w:jc w:val="center"/>
              <w:rPr>
                <w:rFonts w:ascii="Times New Roman" w:hAnsi="Times New Roman"/>
                <w:szCs w:val="21"/>
              </w:rPr>
            </w:pPr>
            <w:r>
              <w:rPr>
                <w:rFonts w:ascii="Times New Roman" w:hAnsi="宋体"/>
                <w:szCs w:val="21"/>
              </w:rPr>
              <w:t>年产量</w:t>
            </w:r>
          </w:p>
        </w:tc>
        <w:tc>
          <w:tcPr>
            <w:tcW w:w="2409" w:type="dxa"/>
            <w:noWrap w:val="0"/>
            <w:vAlign w:val="center"/>
          </w:tcPr>
          <w:p>
            <w:pPr>
              <w:spacing w:line="300" w:lineRule="exact"/>
              <w:jc w:val="center"/>
              <w:rPr>
                <w:rFonts w:ascii="Times New Roman" w:hAnsi="Times New Roman"/>
                <w:szCs w:val="21"/>
              </w:rPr>
            </w:pPr>
            <w:r>
              <w:rPr>
                <w:rFonts w:ascii="Times New Roman" w:hAnsi="宋体"/>
                <w:szCs w:val="21"/>
              </w:rPr>
              <w:t>废物名称</w:t>
            </w:r>
          </w:p>
        </w:tc>
        <w:tc>
          <w:tcPr>
            <w:tcW w:w="1806" w:type="dxa"/>
            <w:noWrap w:val="0"/>
            <w:vAlign w:val="center"/>
          </w:tcPr>
          <w:p>
            <w:pPr>
              <w:spacing w:line="300" w:lineRule="exact"/>
              <w:jc w:val="center"/>
              <w:rPr>
                <w:rFonts w:ascii="Times New Roman" w:hAnsi="Times New Roman"/>
                <w:szCs w:val="21"/>
              </w:rPr>
            </w:pPr>
            <w:r>
              <w:rPr>
                <w:rFonts w:ascii="Times New Roman" w:hAnsi="宋体"/>
                <w:szCs w:val="21"/>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both"/>
              <w:rPr>
                <w:rFonts w:hint="eastAsia" w:ascii="Times New Roman" w:hAnsi="Times New Roman" w:eastAsia="宋体"/>
                <w:szCs w:val="24"/>
                <w:lang w:val="en-US" w:eastAsia="zh-CN"/>
              </w:rPr>
            </w:pPr>
            <w:r>
              <w:rPr>
                <w:rFonts w:hint="eastAsia"/>
                <w:szCs w:val="24"/>
                <w:lang w:val="en-US" w:eastAsia="zh-CN"/>
              </w:rPr>
              <w:t>再生金属</w:t>
            </w:r>
          </w:p>
        </w:tc>
        <w:tc>
          <w:tcPr>
            <w:tcW w:w="2052" w:type="dxa"/>
            <w:vMerge w:val="restart"/>
            <w:noWrap w:val="0"/>
            <w:vAlign w:val="center"/>
          </w:tcPr>
          <w:p>
            <w:pPr>
              <w:spacing w:line="300" w:lineRule="exact"/>
              <w:jc w:val="center"/>
              <w:rPr>
                <w:rFonts w:hint="eastAsia" w:ascii="Times New Roman" w:hAnsi="Times New Roman" w:eastAsia="宋体"/>
                <w:szCs w:val="24"/>
                <w:lang w:eastAsia="zh-CN"/>
              </w:rPr>
            </w:pPr>
            <w:r>
              <w:rPr>
                <w:rFonts w:hint="eastAsia"/>
                <w:szCs w:val="24"/>
                <w:lang w:eastAsia="zh-CN"/>
              </w:rPr>
              <w:t>铜、铁、铝</w:t>
            </w:r>
          </w:p>
        </w:tc>
        <w:tc>
          <w:tcPr>
            <w:tcW w:w="1350" w:type="dxa"/>
            <w:vMerge w:val="restart"/>
            <w:noWrap w:val="0"/>
            <w:vAlign w:val="center"/>
          </w:tcPr>
          <w:p>
            <w:pPr>
              <w:spacing w:line="300" w:lineRule="exact"/>
              <w:jc w:val="center"/>
              <w:rPr>
                <w:rFonts w:ascii="Times New Roman" w:hAnsi="Times New Roman"/>
                <w:szCs w:val="24"/>
              </w:rPr>
            </w:pPr>
            <w:r>
              <w:rPr>
                <w:rFonts w:hint="eastAsia"/>
                <w:lang w:val="en-US" w:eastAsia="zh-CN"/>
              </w:rPr>
              <w:t>5000</w:t>
            </w:r>
            <w:r>
              <w:rPr>
                <w:rFonts w:ascii="Times New Roman"/>
              </w:rPr>
              <w:t>吨</w:t>
            </w:r>
            <w:r>
              <w:rPr>
                <w:rFonts w:ascii="Times New Roman" w:hAnsi="Times New Roman"/>
              </w:rPr>
              <w:t>/</w:t>
            </w:r>
            <w:r>
              <w:rPr>
                <w:rFonts w:ascii="Times New Roman"/>
              </w:rPr>
              <w:t>年</w:t>
            </w:r>
          </w:p>
        </w:tc>
        <w:tc>
          <w:tcPr>
            <w:tcW w:w="2409" w:type="dxa"/>
            <w:noWrap w:val="0"/>
            <w:vAlign w:val="center"/>
          </w:tcPr>
          <w:p>
            <w:pPr>
              <w:spacing w:line="300" w:lineRule="exact"/>
              <w:jc w:val="center"/>
              <w:rPr>
                <w:rFonts w:ascii="Times New Roman" w:hAnsi="Times New Roman"/>
              </w:rPr>
            </w:pPr>
            <w:r>
              <w:rPr>
                <w:rFonts w:ascii="Times New Roman"/>
              </w:rPr>
              <w:t>彩色</w:t>
            </w:r>
            <w:r>
              <w:rPr>
                <w:rFonts w:ascii="Times New Roman" w:hAnsi="Times New Roman"/>
              </w:rPr>
              <w:t>CRT</w:t>
            </w:r>
            <w:r>
              <w:rPr>
                <w:rFonts w:ascii="Times New Roman"/>
              </w:rPr>
              <w:t>锥玻璃</w:t>
            </w:r>
          </w:p>
        </w:tc>
        <w:tc>
          <w:tcPr>
            <w:tcW w:w="1806" w:type="dxa"/>
            <w:noWrap w:val="0"/>
            <w:vAlign w:val="center"/>
          </w:tcPr>
          <w:p>
            <w:pPr>
              <w:spacing w:line="300" w:lineRule="exact"/>
              <w:jc w:val="center"/>
              <w:rPr>
                <w:rFonts w:ascii="Times New Roman" w:hAnsi="Times New Roman"/>
              </w:rPr>
            </w:pPr>
            <w:r>
              <w:rPr>
                <w:rFonts w:hint="eastAsia"/>
                <w:lang w:val="en-US" w:eastAsia="zh-CN"/>
              </w:rPr>
              <w:t>1500</w:t>
            </w:r>
            <w:r>
              <w:rPr>
                <w:rFonts w:ascii="Times New Roman"/>
              </w:rPr>
              <w:t>吨</w:t>
            </w:r>
            <w:r>
              <w:rPr>
                <w:rFonts w:ascii="Times New Roman" w:hAnsi="Times New Roman"/>
              </w:rPr>
              <w:t>/</w:t>
            </w:r>
            <w:r>
              <w:rPr>
                <w:rFonts w:ascii="Times New Roma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rPr>
            </w:pPr>
          </w:p>
        </w:tc>
        <w:tc>
          <w:tcPr>
            <w:tcW w:w="1806" w:type="dxa"/>
            <w:noWrap w:val="0"/>
            <w:vAlign w:val="center"/>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ascii="Times New Roman" w:hAnsi="Times New Roman"/>
                <w:szCs w:val="24"/>
              </w:rPr>
            </w:pPr>
          </w:p>
        </w:tc>
        <w:tc>
          <w:tcPr>
            <w:tcW w:w="2052" w:type="dxa"/>
            <w:vMerge w:val="restart"/>
            <w:noWrap w:val="0"/>
            <w:vAlign w:val="center"/>
          </w:tcPr>
          <w:p>
            <w:pPr>
              <w:spacing w:line="300" w:lineRule="exact"/>
              <w:jc w:val="center"/>
              <w:rPr>
                <w:rFonts w:ascii="Times New Roman" w:hAnsi="Times New Roman"/>
                <w:szCs w:val="24"/>
              </w:rPr>
            </w:pPr>
          </w:p>
        </w:tc>
        <w:tc>
          <w:tcPr>
            <w:tcW w:w="1350" w:type="dxa"/>
            <w:vMerge w:val="restart"/>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ascii="Times New Roman" w:hAnsi="Times New Roman"/>
                <w:szCs w:val="24"/>
              </w:rPr>
            </w:pPr>
          </w:p>
        </w:tc>
        <w:tc>
          <w:tcPr>
            <w:tcW w:w="2052" w:type="dxa"/>
            <w:vMerge w:val="restart"/>
            <w:noWrap w:val="0"/>
            <w:vAlign w:val="center"/>
          </w:tcPr>
          <w:p>
            <w:pPr>
              <w:spacing w:line="300" w:lineRule="exact"/>
              <w:jc w:val="center"/>
              <w:rPr>
                <w:rFonts w:ascii="Times New Roman" w:hAnsi="Times New Roman"/>
                <w:szCs w:val="24"/>
              </w:rPr>
            </w:pPr>
          </w:p>
        </w:tc>
        <w:tc>
          <w:tcPr>
            <w:tcW w:w="1350" w:type="dxa"/>
            <w:vMerge w:val="restart"/>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ascii="Times New Roman" w:hAnsi="Times New Roman"/>
                <w:szCs w:val="24"/>
              </w:rPr>
            </w:pPr>
          </w:p>
        </w:tc>
        <w:tc>
          <w:tcPr>
            <w:tcW w:w="2052" w:type="dxa"/>
            <w:vMerge w:val="restart"/>
            <w:noWrap w:val="0"/>
            <w:vAlign w:val="center"/>
          </w:tcPr>
          <w:p>
            <w:pPr>
              <w:spacing w:line="300" w:lineRule="exact"/>
              <w:jc w:val="center"/>
              <w:rPr>
                <w:rFonts w:ascii="Times New Roman" w:hAnsi="Times New Roman"/>
                <w:szCs w:val="24"/>
              </w:rPr>
            </w:pPr>
          </w:p>
        </w:tc>
        <w:tc>
          <w:tcPr>
            <w:tcW w:w="1350" w:type="dxa"/>
            <w:vMerge w:val="restart"/>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noWrap w:val="0"/>
            <w:vAlign w:val="center"/>
          </w:tcPr>
          <w:p>
            <w:pPr>
              <w:spacing w:line="300" w:lineRule="exact"/>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2 </w:t>
            </w:r>
            <w:r>
              <w:rPr>
                <w:rFonts w:ascii="Times New Roman" w:hAnsi="宋体"/>
                <w:sz w:val="24"/>
                <w:szCs w:val="24"/>
              </w:rPr>
              <w:t>与申请转移废物相关的生产工艺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noWrap w:val="0"/>
            <w:vAlign w:val="top"/>
          </w:tcPr>
          <w:p>
            <w:pPr>
              <w:spacing w:line="300" w:lineRule="exact"/>
              <w:rPr>
                <w:rFonts w:ascii="Times New Roman" w:hAnsi="Times New Roman"/>
                <w:szCs w:val="24"/>
              </w:rPr>
            </w:pPr>
            <w:r>
              <w:rPr>
                <w:rFonts w:ascii="Times New Roman" w:hAnsi="宋体"/>
                <w:szCs w:val="24"/>
              </w:rPr>
              <w:t>文字描述及工艺流程图</w:t>
            </w:r>
          </w:p>
          <w:p>
            <w:pPr>
              <w:spacing w:line="300" w:lineRule="exact"/>
              <w:ind w:firstLine="420" w:firstLineChars="200"/>
              <w:rPr>
                <w:rFonts w:ascii="Times New Roman" w:hAnsi="Times New Roman"/>
                <w:szCs w:val="21"/>
              </w:rPr>
            </w:pPr>
            <w:r>
              <w:rPr>
                <w:rFonts w:ascii="Times New Roman" w:hAnsi="宋体"/>
                <w:szCs w:val="21"/>
              </w:rPr>
              <w:t>电视机和电脑显示器，通过人工分选，废旧电视机、电脑显示器被人工分拣出来，进拆解处理线。整个拆解过程均为人工作业。拆解及液压打包过程中产生少量无组织粉尘（</w:t>
            </w:r>
            <w:r>
              <w:rPr>
                <w:rFonts w:ascii="Times New Roman" w:hAnsi="Times New Roman"/>
                <w:szCs w:val="21"/>
              </w:rPr>
              <w:t>Gu1</w:t>
            </w:r>
            <w:r>
              <w:rPr>
                <w:rFonts w:ascii="Times New Roman" w:hAnsi="宋体"/>
                <w:szCs w:val="21"/>
              </w:rPr>
              <w:t>），项目采取干式吸尘器清理废家电表面灰尘，以减少粉尘的产生。正常拆解过程中没有重金属逸出。废电器由输送带输送到拆解点，用电动改锥等工具手工拆解电视机、电脑显示器后盖箱，预先取出显像管、线路板、电源线等，然后依次拆除扬声器、机壳等。在显像管拆除时，工人采取防护措施，避免电视机及显示器中阴极射线管破碎导致内部的铅、汞、磷物质的泄露。</w:t>
            </w:r>
          </w:p>
          <w:p>
            <w:pPr>
              <w:spacing w:line="300" w:lineRule="exact"/>
              <w:ind w:firstLine="420" w:firstLineChars="200"/>
              <w:rPr>
                <w:rFonts w:ascii="Times New Roman" w:hAnsi="Times New Roman"/>
                <w:szCs w:val="21"/>
              </w:rPr>
            </w:pPr>
            <w:r>
              <w:rPr>
                <w:rFonts w:ascii="Times New Roman" w:hAnsi="宋体"/>
                <w:szCs w:val="21"/>
              </w:rPr>
              <w:t>项目拆解产物阴极射线管进处理设备分选为屏玻璃和锥玻璃，工人采取防护措施，避免电视机及显示器中阴极射线管破碎导致内部的铅、汞、磷物质的泄露。</w:t>
            </w:r>
            <w:r>
              <w:rPr>
                <w:rFonts w:ascii="Times New Roman" w:hAnsi="Times New Roman"/>
                <w:szCs w:val="21"/>
              </w:rPr>
              <w:t xml:space="preserve">  </w:t>
            </w:r>
          </w:p>
          <w:p>
            <w:pPr>
              <w:spacing w:line="300" w:lineRule="exact"/>
              <w:ind w:firstLine="420" w:firstLineChars="200"/>
              <w:rPr>
                <w:rFonts w:ascii="Times New Roman" w:hAnsi="Times New Roman"/>
                <w:szCs w:val="21"/>
              </w:rPr>
            </w:pPr>
            <w:r>
              <w:rPr>
                <w:rFonts w:ascii="Times New Roman" w:hAnsi="宋体"/>
                <w:szCs w:val="21"/>
              </w:rPr>
              <w:t>分离线路板上的电源线、数据线、散热片等，电源线及数据线与废电线一并处理，散热片（铝、铁）打包销售，剩余电子元器件等线路板送往原有生产线暂存资源化处理。</w:t>
            </w:r>
          </w:p>
          <w:p>
            <w:pPr>
              <w:spacing w:line="300" w:lineRule="exact"/>
              <w:ind w:firstLine="420" w:firstLineChars="200"/>
              <w:rPr>
                <w:rFonts w:ascii="Times New Roman" w:hAnsi="Times New Roman"/>
                <w:szCs w:val="21"/>
              </w:rPr>
            </w:pPr>
            <w:r>
              <w:rPr>
                <w:rFonts w:ascii="Times New Roman" w:hAnsi="宋体"/>
                <w:szCs w:val="21"/>
              </w:rPr>
              <w:t>分离出的电缆、电源线、数据线等经拆线机分离塑料和铜丝，电线塑料厂区利用，铜丝经铜米机切制铜米，外售利用。</w:t>
            </w:r>
          </w:p>
          <w:p>
            <w:pPr>
              <w:spacing w:line="300" w:lineRule="exact"/>
              <w:ind w:firstLine="420" w:firstLineChars="200"/>
              <w:rPr>
                <w:rFonts w:ascii="Times New Roman" w:hAnsi="Times New Roman"/>
                <w:szCs w:val="21"/>
              </w:rPr>
            </w:pPr>
            <w:r>
              <w:rPr>
                <w:rFonts w:ascii="Times New Roman" w:hAnsi="Times New Roman"/>
              </w:rPr>
              <w:drawing>
                <wp:anchor distT="0" distB="0" distL="114300" distR="114300" simplePos="0" relativeHeight="251661312" behindDoc="0" locked="0" layoutInCell="1" allowOverlap="1">
                  <wp:simplePos x="0" y="0"/>
                  <wp:positionH relativeFrom="column">
                    <wp:posOffset>953770</wp:posOffset>
                  </wp:positionH>
                  <wp:positionV relativeFrom="paragraph">
                    <wp:posOffset>58420</wp:posOffset>
                  </wp:positionV>
                  <wp:extent cx="3746500" cy="1893570"/>
                  <wp:effectExtent l="0" t="0" r="6350" b="11430"/>
                  <wp:wrapSquare wrapText="bothSides"/>
                  <wp:docPr id="3" name="图片 27" descr="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descr="工艺图"/>
                          <pic:cNvPicPr>
                            <a:picLocks noChangeAspect="1"/>
                          </pic:cNvPicPr>
                        </pic:nvPicPr>
                        <pic:blipFill>
                          <a:blip r:embed="rId4"/>
                          <a:stretch>
                            <a:fillRect/>
                          </a:stretch>
                        </pic:blipFill>
                        <pic:spPr>
                          <a:xfrm>
                            <a:off x="0" y="0"/>
                            <a:ext cx="3746500" cy="1893570"/>
                          </a:xfrm>
                          <a:prstGeom prst="rect">
                            <a:avLst/>
                          </a:prstGeom>
                          <a:noFill/>
                          <a:ln>
                            <a:noFill/>
                          </a:ln>
                        </pic:spPr>
                      </pic:pic>
                    </a:graphicData>
                  </a:graphic>
                </wp:anchor>
              </w:drawing>
            </w:r>
          </w:p>
          <w:p>
            <w:pPr>
              <w:spacing w:line="300" w:lineRule="exact"/>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rPr>
                <w:rFonts w:ascii="Times New Roman" w:hAnsi="Times New Roman"/>
                <w:szCs w:val="24"/>
              </w:rPr>
            </w:pPr>
          </w:p>
          <w:p>
            <w:pPr>
              <w:spacing w:line="300" w:lineRule="exact"/>
              <w:rPr>
                <w:rFonts w:ascii="Times New Roman" w:hAnsi="Times New Roman"/>
                <w:szCs w:val="24"/>
              </w:rPr>
            </w:pPr>
          </w:p>
        </w:tc>
      </w:tr>
    </w:tbl>
    <w:p>
      <w:pPr>
        <w:rPr>
          <w:rFonts w:ascii="Times New Roman" w:hAnsi="Times New Roman"/>
          <w:sz w:val="28"/>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noWrap w:val="0"/>
            <w:vAlign w:val="center"/>
          </w:tcPr>
          <w:p>
            <w:pPr>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3   </w:t>
            </w:r>
            <w:r>
              <w:rPr>
                <w:rFonts w:ascii="Times New Roman" w:hAnsi="宋体"/>
                <w:sz w:val="24"/>
                <w:szCs w:val="24"/>
              </w:rPr>
              <w:t>废物组分、特性（详见附件）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noWrap w:val="0"/>
            <w:vAlign w:val="center"/>
          </w:tcPr>
          <w:p>
            <w:pPr>
              <w:spacing w:line="240" w:lineRule="auto"/>
              <w:rPr>
                <w:rFonts w:ascii="Times New Roman" w:hAnsi="Times New Roman"/>
                <w:szCs w:val="21"/>
              </w:rPr>
            </w:pPr>
            <w:r>
              <w:rPr>
                <w:rFonts w:ascii="Times New Roman" w:hAnsi="宋体"/>
                <w:szCs w:val="21"/>
              </w:rPr>
              <w:t>废物名称</w:t>
            </w:r>
          </w:p>
        </w:tc>
        <w:tc>
          <w:tcPr>
            <w:tcW w:w="1769" w:type="dxa"/>
            <w:noWrap w:val="0"/>
            <w:vAlign w:val="center"/>
          </w:tcPr>
          <w:p>
            <w:pPr>
              <w:spacing w:line="240" w:lineRule="auto"/>
              <w:rPr>
                <w:rFonts w:ascii="Times New Roman" w:hAnsi="Times New Roman"/>
                <w:szCs w:val="21"/>
              </w:rPr>
            </w:pPr>
            <w:r>
              <w:rPr>
                <w:rFonts w:ascii="Times New Roman" w:hAnsi="宋体"/>
                <w:szCs w:val="21"/>
              </w:rPr>
              <w:t>主要组分</w:t>
            </w:r>
          </w:p>
        </w:tc>
        <w:tc>
          <w:tcPr>
            <w:tcW w:w="1680" w:type="dxa"/>
            <w:noWrap w:val="0"/>
            <w:vAlign w:val="center"/>
          </w:tcPr>
          <w:p>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noWrap w:val="0"/>
            <w:vAlign w:val="center"/>
          </w:tcPr>
          <w:p>
            <w:pPr>
              <w:spacing w:line="240" w:lineRule="auto"/>
              <w:rPr>
                <w:rFonts w:ascii="Times New Roman" w:hAnsi="Times New Roman"/>
                <w:szCs w:val="21"/>
              </w:rPr>
            </w:pPr>
            <w:r>
              <w:rPr>
                <w:rFonts w:ascii="Times New Roman" w:hAnsi="宋体"/>
                <w:szCs w:val="21"/>
              </w:rPr>
              <w:t>危害特性</w:t>
            </w:r>
          </w:p>
        </w:tc>
        <w:tc>
          <w:tcPr>
            <w:tcW w:w="1680" w:type="dxa"/>
            <w:noWrap w:val="0"/>
            <w:vAlign w:val="center"/>
          </w:tcPr>
          <w:p>
            <w:pPr>
              <w:spacing w:line="240" w:lineRule="auto"/>
              <w:rPr>
                <w:rFonts w:ascii="Times New Roman" w:hAnsi="Times New Roman"/>
                <w:szCs w:val="21"/>
              </w:rPr>
            </w:pPr>
            <w:r>
              <w:rPr>
                <w:rFonts w:ascii="Times New Roman" w:hAnsi="宋体"/>
                <w:szCs w:val="21"/>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noWrap w:val="0"/>
            <w:vAlign w:val="top"/>
          </w:tcPr>
          <w:p>
            <w:pPr>
              <w:spacing w:line="240" w:lineRule="auto"/>
              <w:rPr>
                <w:rFonts w:ascii="Times New Roman" w:hAnsi="Times New Roman"/>
                <w:szCs w:val="21"/>
              </w:rPr>
            </w:pPr>
            <w:r>
              <w:rPr>
                <w:rFonts w:ascii="Times New Roman"/>
              </w:rPr>
              <w:t>彩色</w:t>
            </w:r>
            <w:r>
              <w:rPr>
                <w:rFonts w:ascii="Times New Roman" w:hAnsi="Times New Roman"/>
              </w:rPr>
              <w:t>CRT</w:t>
            </w:r>
            <w:r>
              <w:rPr>
                <w:rFonts w:ascii="Times New Roman"/>
              </w:rPr>
              <w:t>锥玻璃</w:t>
            </w:r>
          </w:p>
        </w:tc>
        <w:tc>
          <w:tcPr>
            <w:tcW w:w="1769" w:type="dxa"/>
            <w:noWrap w:val="0"/>
            <w:vAlign w:val="top"/>
          </w:tcPr>
          <w:p>
            <w:pPr>
              <w:spacing w:line="240" w:lineRule="auto"/>
              <w:rPr>
                <w:rFonts w:ascii="Times New Roman" w:hAnsi="Times New Roman"/>
                <w:szCs w:val="21"/>
              </w:rPr>
            </w:pPr>
            <w:r>
              <w:rPr>
                <w:rFonts w:ascii="Times New Roman" w:hAnsi="Times New Roman"/>
              </w:rPr>
              <w:t>PbO</w:t>
            </w:r>
          </w:p>
        </w:tc>
        <w:tc>
          <w:tcPr>
            <w:tcW w:w="1680" w:type="dxa"/>
            <w:noWrap w:val="0"/>
            <w:vAlign w:val="top"/>
          </w:tcPr>
          <w:p>
            <w:pPr>
              <w:spacing w:line="240" w:lineRule="auto"/>
              <w:rPr>
                <w:rFonts w:ascii="Times New Roman" w:hAnsi="Times New Roman"/>
                <w:szCs w:val="21"/>
              </w:rPr>
            </w:pPr>
            <w:r>
              <w:rPr>
                <w:rFonts w:ascii="Times New Roman" w:hAnsi="Times New Roman"/>
              </w:rPr>
              <w:t>18-24</w:t>
            </w:r>
          </w:p>
        </w:tc>
        <w:tc>
          <w:tcPr>
            <w:tcW w:w="2205" w:type="dxa"/>
            <w:vMerge w:val="restart"/>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rPr>
              <w:t>█</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r>
              <w:rPr>
                <w:rFonts w:ascii="Times New Roman" w:hAnsi="Times New Roman"/>
              </w:rPr>
              <w:t>█</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noWrap w:val="0"/>
            <w:vAlign w:val="top"/>
          </w:tcPr>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restart"/>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noWrap w:val="0"/>
            <w:vAlign w:val="top"/>
          </w:tcPr>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pPr>
        <w:rPr>
          <w:rFonts w:ascii="Times New Roman" w:hAnsi="Times New Roman"/>
          <w:sz w:val="28"/>
          <w:szCs w:val="28"/>
        </w:rPr>
      </w:pPr>
      <w:r>
        <w:rPr>
          <w:rFonts w:ascii="Times New Roman" w:hAnsi="宋体"/>
          <w:sz w:val="28"/>
          <w:szCs w:val="28"/>
        </w:rPr>
        <w:t>第二部分：废物包装、运输情况</w:t>
      </w: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noWrap w:val="0"/>
            <w:vAlign w:val="center"/>
          </w:tcPr>
          <w:p>
            <w:pPr>
              <w:rPr>
                <w:rFonts w:ascii="Times New Roman" w:hAnsi="Times New Roman"/>
                <w:b/>
                <w:bCs/>
              </w:rPr>
            </w:pPr>
            <w:r>
              <w:rPr>
                <w:rFonts w:ascii="Times New Roman" w:hAnsi="宋体"/>
                <w:b/>
                <w:bCs/>
              </w:rPr>
              <w:t>表</w:t>
            </w:r>
            <w:r>
              <w:rPr>
                <w:rFonts w:ascii="Times New Roman" w:hAnsi="Times New Roman"/>
                <w:b/>
                <w:bCs/>
              </w:rPr>
              <w:t xml:space="preserve">1   </w:t>
            </w:r>
            <w:r>
              <w:rPr>
                <w:rFonts w:ascii="Times New Roman" w:hAnsi="宋体"/>
                <w:b/>
                <w:bCs/>
              </w:rPr>
              <w:t>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noWrap w:val="0"/>
            <w:vAlign w:val="center"/>
          </w:tcPr>
          <w:p>
            <w:pPr>
              <w:jc w:val="center"/>
              <w:rPr>
                <w:rFonts w:ascii="Times New Roman" w:hAnsi="Times New Roman"/>
              </w:rPr>
            </w:pPr>
            <w:r>
              <w:rPr>
                <w:rFonts w:ascii="Times New Roman" w:hAnsi="宋体"/>
              </w:rPr>
              <w:t>序号</w:t>
            </w:r>
          </w:p>
        </w:tc>
        <w:tc>
          <w:tcPr>
            <w:tcW w:w="1634" w:type="dxa"/>
            <w:noWrap w:val="0"/>
            <w:vAlign w:val="center"/>
          </w:tcPr>
          <w:p>
            <w:pPr>
              <w:jc w:val="center"/>
              <w:rPr>
                <w:rFonts w:ascii="Times New Roman" w:hAnsi="Times New Roman"/>
              </w:rPr>
            </w:pPr>
            <w:r>
              <w:rPr>
                <w:rFonts w:ascii="Times New Roman" w:hAnsi="宋体"/>
              </w:rPr>
              <w:t>废物名称</w:t>
            </w:r>
          </w:p>
        </w:tc>
        <w:tc>
          <w:tcPr>
            <w:tcW w:w="2075" w:type="dxa"/>
            <w:noWrap w:val="0"/>
            <w:vAlign w:val="center"/>
          </w:tcPr>
          <w:p>
            <w:pPr>
              <w:jc w:val="center"/>
              <w:rPr>
                <w:rFonts w:ascii="Times New Roman" w:hAnsi="Times New Roman"/>
              </w:rPr>
            </w:pPr>
            <w:r>
              <w:rPr>
                <w:rFonts w:ascii="Times New Roman" w:hAnsi="宋体"/>
              </w:rPr>
              <w:t>包装物（容器）名称</w:t>
            </w:r>
          </w:p>
        </w:tc>
        <w:tc>
          <w:tcPr>
            <w:tcW w:w="1421" w:type="dxa"/>
            <w:noWrap w:val="0"/>
            <w:vAlign w:val="center"/>
          </w:tcPr>
          <w:p>
            <w:pPr>
              <w:jc w:val="center"/>
              <w:rPr>
                <w:rFonts w:ascii="Times New Roman" w:hAnsi="Times New Roman"/>
              </w:rPr>
            </w:pPr>
            <w:r>
              <w:rPr>
                <w:rFonts w:ascii="Times New Roman" w:hAnsi="宋体"/>
              </w:rPr>
              <w:t>材质</w:t>
            </w:r>
          </w:p>
        </w:tc>
        <w:tc>
          <w:tcPr>
            <w:tcW w:w="1379" w:type="dxa"/>
            <w:noWrap w:val="0"/>
            <w:vAlign w:val="center"/>
          </w:tcPr>
          <w:p>
            <w:pPr>
              <w:jc w:val="center"/>
              <w:rPr>
                <w:rFonts w:ascii="Times New Roman" w:hAnsi="Times New Roman"/>
              </w:rPr>
            </w:pPr>
            <w:r>
              <w:rPr>
                <w:rFonts w:ascii="Times New Roman" w:hAnsi="宋体"/>
              </w:rPr>
              <w:t>容积</w:t>
            </w:r>
          </w:p>
        </w:tc>
        <w:tc>
          <w:tcPr>
            <w:tcW w:w="1716" w:type="dxa"/>
            <w:noWrap w:val="0"/>
            <w:vAlign w:val="center"/>
          </w:tcPr>
          <w:p>
            <w:pPr>
              <w:jc w:val="center"/>
              <w:rPr>
                <w:rFonts w:ascii="Times New Roman" w:hAnsi="Times New Roman"/>
              </w:rPr>
            </w:pPr>
            <w:r>
              <w:rPr>
                <w:rFonts w:ascii="Times New Roman" w:hAnsi="宋体"/>
              </w:rP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r>
              <w:rPr>
                <w:rFonts w:ascii="Times New Roman" w:hAnsi="Times New Roman"/>
              </w:rPr>
              <w:t>1</w:t>
            </w:r>
          </w:p>
        </w:tc>
        <w:tc>
          <w:tcPr>
            <w:tcW w:w="1634" w:type="dxa"/>
            <w:noWrap w:val="0"/>
            <w:vAlign w:val="center"/>
          </w:tcPr>
          <w:p>
            <w:pPr>
              <w:jc w:val="center"/>
              <w:rPr>
                <w:rFonts w:ascii="Times New Roman" w:hAnsi="Times New Roman"/>
              </w:rPr>
            </w:pPr>
            <w:r>
              <w:rPr>
                <w:rFonts w:ascii="Times New Roman" w:hAnsi="宋体"/>
              </w:rPr>
              <w:t>彩色</w:t>
            </w:r>
            <w:r>
              <w:rPr>
                <w:rFonts w:ascii="Times New Roman" w:hAnsi="Times New Roman"/>
              </w:rPr>
              <w:t>CRT</w:t>
            </w:r>
            <w:r>
              <w:rPr>
                <w:rFonts w:ascii="Times New Roman" w:hAnsi="宋体"/>
              </w:rPr>
              <w:t>锥玻璃</w:t>
            </w:r>
          </w:p>
        </w:tc>
        <w:tc>
          <w:tcPr>
            <w:tcW w:w="2075" w:type="dxa"/>
            <w:noWrap w:val="0"/>
            <w:vAlign w:val="center"/>
          </w:tcPr>
          <w:p>
            <w:pPr>
              <w:jc w:val="center"/>
              <w:rPr>
                <w:rFonts w:ascii="Times New Roman" w:hAnsi="Times New Roman"/>
              </w:rPr>
            </w:pPr>
            <w:r>
              <w:rPr>
                <w:rFonts w:ascii="Times New Roman" w:hAnsi="宋体"/>
              </w:rPr>
              <w:t>吨包</w:t>
            </w:r>
          </w:p>
        </w:tc>
        <w:tc>
          <w:tcPr>
            <w:tcW w:w="1421" w:type="dxa"/>
            <w:noWrap w:val="0"/>
            <w:vAlign w:val="center"/>
          </w:tcPr>
          <w:p>
            <w:pPr>
              <w:jc w:val="center"/>
              <w:rPr>
                <w:rFonts w:ascii="Times New Roman" w:hAnsi="Times New Roman"/>
              </w:rPr>
            </w:pPr>
            <w:r>
              <w:rPr>
                <w:rFonts w:ascii="Times New Roman" w:hAnsi="宋体"/>
              </w:rPr>
              <w:t>聚乙烯</w:t>
            </w:r>
          </w:p>
        </w:tc>
        <w:tc>
          <w:tcPr>
            <w:tcW w:w="1379" w:type="dxa"/>
            <w:noWrap w:val="0"/>
            <w:vAlign w:val="center"/>
          </w:tcPr>
          <w:p>
            <w:pPr>
              <w:jc w:val="center"/>
              <w:rPr>
                <w:rFonts w:ascii="Times New Roman" w:hAnsi="Times New Roman"/>
              </w:rPr>
            </w:pPr>
            <w:r>
              <w:rPr>
                <w:rFonts w:ascii="Times New Roman" w:hAnsi="Times New Roman"/>
              </w:rPr>
              <w:t>1</w:t>
            </w:r>
            <w:r>
              <w:rPr>
                <w:rFonts w:ascii="Times New Roman" w:hAnsi="宋体"/>
              </w:rPr>
              <w:t>立方米</w:t>
            </w:r>
          </w:p>
        </w:tc>
        <w:tc>
          <w:tcPr>
            <w:tcW w:w="1716" w:type="dxa"/>
            <w:noWrap w:val="0"/>
            <w:vAlign w:val="center"/>
          </w:tcPr>
          <w:p>
            <w:pPr>
              <w:jc w:val="center"/>
              <w:rPr>
                <w:rFonts w:ascii="Times New Roman" w:hAnsi="Times New Roman"/>
              </w:rPr>
            </w:pPr>
            <w:r>
              <w:rPr>
                <w:rFonts w:ascii="Times New Roman" w:hAnsi="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p>
        </w:tc>
        <w:tc>
          <w:tcPr>
            <w:tcW w:w="1634" w:type="dxa"/>
            <w:noWrap w:val="0"/>
            <w:vAlign w:val="center"/>
          </w:tcPr>
          <w:p>
            <w:pPr>
              <w:jc w:val="center"/>
              <w:rPr>
                <w:rFonts w:ascii="Times New Roman" w:hAnsi="Times New Roman"/>
              </w:rPr>
            </w:pPr>
          </w:p>
        </w:tc>
        <w:tc>
          <w:tcPr>
            <w:tcW w:w="2075" w:type="dxa"/>
            <w:noWrap w:val="0"/>
            <w:vAlign w:val="center"/>
          </w:tcPr>
          <w:p>
            <w:pPr>
              <w:jc w:val="center"/>
              <w:rPr>
                <w:rFonts w:ascii="Times New Roman" w:hAnsi="Times New Roman"/>
              </w:rPr>
            </w:pPr>
          </w:p>
        </w:tc>
        <w:tc>
          <w:tcPr>
            <w:tcW w:w="1421" w:type="dxa"/>
            <w:noWrap w:val="0"/>
            <w:vAlign w:val="center"/>
          </w:tcPr>
          <w:p>
            <w:pPr>
              <w:jc w:val="center"/>
              <w:rPr>
                <w:rFonts w:ascii="Times New Roman" w:hAnsi="Times New Roman"/>
              </w:rPr>
            </w:pPr>
          </w:p>
        </w:tc>
        <w:tc>
          <w:tcPr>
            <w:tcW w:w="1379" w:type="dxa"/>
            <w:noWrap w:val="0"/>
            <w:vAlign w:val="center"/>
          </w:tcPr>
          <w:p>
            <w:pPr>
              <w:jc w:val="center"/>
              <w:rPr>
                <w:rFonts w:ascii="Times New Roman" w:hAnsi="Times New Roman"/>
              </w:rPr>
            </w:pPr>
          </w:p>
        </w:tc>
        <w:tc>
          <w:tcPr>
            <w:tcW w:w="1716"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p>
        </w:tc>
        <w:tc>
          <w:tcPr>
            <w:tcW w:w="1634" w:type="dxa"/>
            <w:noWrap w:val="0"/>
            <w:vAlign w:val="center"/>
          </w:tcPr>
          <w:p>
            <w:pPr>
              <w:jc w:val="center"/>
              <w:rPr>
                <w:rFonts w:ascii="Times New Roman" w:hAnsi="Times New Roman"/>
              </w:rPr>
            </w:pPr>
          </w:p>
        </w:tc>
        <w:tc>
          <w:tcPr>
            <w:tcW w:w="2075" w:type="dxa"/>
            <w:noWrap w:val="0"/>
            <w:vAlign w:val="center"/>
          </w:tcPr>
          <w:p>
            <w:pPr>
              <w:jc w:val="center"/>
              <w:rPr>
                <w:rFonts w:ascii="Times New Roman" w:hAnsi="Times New Roman"/>
              </w:rPr>
            </w:pPr>
          </w:p>
        </w:tc>
        <w:tc>
          <w:tcPr>
            <w:tcW w:w="1421" w:type="dxa"/>
            <w:noWrap w:val="0"/>
            <w:vAlign w:val="center"/>
          </w:tcPr>
          <w:p>
            <w:pPr>
              <w:jc w:val="center"/>
              <w:rPr>
                <w:rFonts w:ascii="Times New Roman" w:hAnsi="Times New Roman"/>
              </w:rPr>
            </w:pPr>
          </w:p>
        </w:tc>
        <w:tc>
          <w:tcPr>
            <w:tcW w:w="1379" w:type="dxa"/>
            <w:noWrap w:val="0"/>
            <w:vAlign w:val="center"/>
          </w:tcPr>
          <w:p>
            <w:pPr>
              <w:jc w:val="center"/>
              <w:rPr>
                <w:rFonts w:ascii="Times New Roman" w:hAnsi="Times New Roman"/>
              </w:rPr>
            </w:pPr>
          </w:p>
        </w:tc>
        <w:tc>
          <w:tcPr>
            <w:tcW w:w="1716"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p>
        </w:tc>
        <w:tc>
          <w:tcPr>
            <w:tcW w:w="1634" w:type="dxa"/>
            <w:noWrap w:val="0"/>
            <w:vAlign w:val="center"/>
          </w:tcPr>
          <w:p>
            <w:pPr>
              <w:jc w:val="center"/>
              <w:rPr>
                <w:rFonts w:ascii="Times New Roman" w:hAnsi="Times New Roman"/>
              </w:rPr>
            </w:pPr>
          </w:p>
        </w:tc>
        <w:tc>
          <w:tcPr>
            <w:tcW w:w="2075" w:type="dxa"/>
            <w:noWrap w:val="0"/>
            <w:vAlign w:val="center"/>
          </w:tcPr>
          <w:p>
            <w:pPr>
              <w:jc w:val="center"/>
              <w:rPr>
                <w:rFonts w:ascii="Times New Roman" w:hAnsi="Times New Roman"/>
              </w:rPr>
            </w:pPr>
          </w:p>
        </w:tc>
        <w:tc>
          <w:tcPr>
            <w:tcW w:w="1421" w:type="dxa"/>
            <w:noWrap w:val="0"/>
            <w:vAlign w:val="center"/>
          </w:tcPr>
          <w:p>
            <w:pPr>
              <w:jc w:val="center"/>
              <w:rPr>
                <w:rFonts w:ascii="Times New Roman" w:hAnsi="Times New Roman"/>
              </w:rPr>
            </w:pPr>
          </w:p>
        </w:tc>
        <w:tc>
          <w:tcPr>
            <w:tcW w:w="1379" w:type="dxa"/>
            <w:noWrap w:val="0"/>
            <w:vAlign w:val="center"/>
          </w:tcPr>
          <w:p>
            <w:pPr>
              <w:jc w:val="center"/>
              <w:rPr>
                <w:rFonts w:ascii="Times New Roman" w:hAnsi="Times New Roman"/>
              </w:rPr>
            </w:pPr>
          </w:p>
        </w:tc>
        <w:tc>
          <w:tcPr>
            <w:tcW w:w="1716"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p>
        </w:tc>
        <w:tc>
          <w:tcPr>
            <w:tcW w:w="1634" w:type="dxa"/>
            <w:noWrap w:val="0"/>
            <w:vAlign w:val="center"/>
          </w:tcPr>
          <w:p>
            <w:pPr>
              <w:jc w:val="center"/>
              <w:rPr>
                <w:rFonts w:ascii="Times New Roman" w:hAnsi="Times New Roman"/>
              </w:rPr>
            </w:pPr>
          </w:p>
        </w:tc>
        <w:tc>
          <w:tcPr>
            <w:tcW w:w="2075" w:type="dxa"/>
            <w:noWrap w:val="0"/>
            <w:vAlign w:val="center"/>
          </w:tcPr>
          <w:p>
            <w:pPr>
              <w:jc w:val="center"/>
              <w:rPr>
                <w:rFonts w:ascii="Times New Roman" w:hAnsi="Times New Roman"/>
              </w:rPr>
            </w:pPr>
          </w:p>
        </w:tc>
        <w:tc>
          <w:tcPr>
            <w:tcW w:w="1421" w:type="dxa"/>
            <w:noWrap w:val="0"/>
            <w:vAlign w:val="center"/>
          </w:tcPr>
          <w:p>
            <w:pPr>
              <w:jc w:val="center"/>
              <w:rPr>
                <w:rFonts w:ascii="Times New Roman" w:hAnsi="Times New Roman"/>
              </w:rPr>
            </w:pPr>
          </w:p>
        </w:tc>
        <w:tc>
          <w:tcPr>
            <w:tcW w:w="1379" w:type="dxa"/>
            <w:noWrap w:val="0"/>
            <w:vAlign w:val="center"/>
          </w:tcPr>
          <w:p>
            <w:pPr>
              <w:jc w:val="center"/>
              <w:rPr>
                <w:rFonts w:ascii="Times New Roman" w:hAnsi="Times New Roman"/>
              </w:rPr>
            </w:pPr>
          </w:p>
        </w:tc>
        <w:tc>
          <w:tcPr>
            <w:tcW w:w="1716" w:type="dxa"/>
            <w:noWrap w:val="0"/>
            <w:vAlign w:val="center"/>
          </w:tcPr>
          <w:p>
            <w:pPr>
              <w:jc w:val="center"/>
              <w:rPr>
                <w:rFonts w:ascii="Times New Roman" w:hAnsi="Times New Roman"/>
              </w:rPr>
            </w:pPr>
          </w:p>
        </w:tc>
      </w:tr>
    </w:tbl>
    <w:p>
      <w:pPr>
        <w:rPr>
          <w:rFonts w:ascii="Times New Roman" w:hAnsi="Times New Roman"/>
          <w:sz w:val="28"/>
          <w:szCs w:val="28"/>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40" w:type="dxa"/>
            <w:noWrap w:val="0"/>
            <w:vAlign w:val="center"/>
          </w:tcPr>
          <w:p>
            <w:pPr>
              <w:rPr>
                <w:rFonts w:ascii="Times New Roman" w:hAnsi="Times New Roman"/>
                <w:b/>
                <w:bCs/>
                <w:szCs w:val="24"/>
              </w:rPr>
            </w:pPr>
            <w:r>
              <w:rPr>
                <w:rFonts w:ascii="Times New Roman" w:hAnsi="宋体"/>
                <w:b/>
                <w:bCs/>
                <w:szCs w:val="24"/>
              </w:rPr>
              <w:t>表</w:t>
            </w:r>
            <w:r>
              <w:rPr>
                <w:rFonts w:ascii="Times New Roman" w:hAnsi="Times New Roman"/>
                <w:b/>
                <w:bCs/>
                <w:szCs w:val="24"/>
              </w:rPr>
              <w:t xml:space="preserve">2  </w:t>
            </w:r>
            <w:r>
              <w:rPr>
                <w:rFonts w:ascii="Times New Roman" w:hAnsi="宋体"/>
                <w:b/>
                <w:bCs/>
                <w:szCs w:val="24"/>
              </w:rPr>
              <w:t>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9240" w:type="dxa"/>
            <w:noWrap w:val="0"/>
            <w:vAlign w:val="top"/>
          </w:tcPr>
          <w:p>
            <w:pPr>
              <w:rPr>
                <w:rFonts w:ascii="Times New Roman" w:hAnsi="Times New Roman"/>
                <w:szCs w:val="24"/>
              </w:rPr>
            </w:pPr>
            <w:r>
              <w:rPr>
                <w:rFonts w:ascii="Times New Roman" w:hAnsi="宋体"/>
                <w:szCs w:val="24"/>
              </w:rPr>
              <w:t>运输是否符合交管部门运输相关规定（文字描述）</w:t>
            </w:r>
          </w:p>
          <w:p>
            <w:pPr>
              <w:spacing w:line="300" w:lineRule="exact"/>
              <w:ind w:firstLine="420" w:firstLineChars="200"/>
              <w:rPr>
                <w:rFonts w:ascii="Times New Roman" w:hAnsi="Times New Roman"/>
                <w:szCs w:val="24"/>
              </w:rPr>
            </w:pPr>
            <w:r>
              <w:rPr>
                <w:rFonts w:ascii="Times New Roman" w:hAnsi="宋体"/>
                <w:szCs w:val="21"/>
              </w:rPr>
              <w:t>本</w:t>
            </w:r>
            <w:r>
              <w:rPr>
                <w:rFonts w:hint="eastAsia" w:ascii="Times New Roman" w:hAnsi="宋体"/>
                <w:szCs w:val="21"/>
                <w:lang w:eastAsia="zh-CN"/>
              </w:rPr>
              <w:t>年度</w:t>
            </w:r>
            <w:r>
              <w:rPr>
                <w:rFonts w:ascii="Times New Roman" w:hAnsi="宋体"/>
                <w:szCs w:val="21"/>
              </w:rPr>
              <w:t>危险废物跨省转移</w:t>
            </w:r>
            <w:r>
              <w:rPr>
                <w:rFonts w:hint="eastAsia" w:ascii="Times New Roman" w:hAnsi="宋体"/>
                <w:szCs w:val="21"/>
                <w:lang w:eastAsia="zh-CN"/>
              </w:rPr>
              <w:t>由天津仁新玻璃材料有限公司委托</w:t>
            </w:r>
            <w:r>
              <w:rPr>
                <w:rFonts w:hint="eastAsia" w:hAnsi="宋体"/>
                <w:szCs w:val="21"/>
                <w:lang w:eastAsia="zh-CN"/>
              </w:rPr>
              <w:t>惠东县南山货物运输有限公司</w:t>
            </w:r>
            <w:r>
              <w:rPr>
                <w:rFonts w:hint="eastAsia" w:ascii="Times New Roman" w:hAnsi="宋体"/>
                <w:szCs w:val="21"/>
                <w:lang w:eastAsia="zh-CN"/>
              </w:rPr>
              <w:t>（许可证编号：</w:t>
            </w:r>
            <w:r>
              <w:rPr>
                <w:rFonts w:hint="eastAsia" w:hAnsi="宋体"/>
                <w:szCs w:val="21"/>
                <w:lang w:val="en-US" w:eastAsia="zh-CN"/>
              </w:rPr>
              <w:t>441300213361</w:t>
            </w:r>
            <w:r>
              <w:rPr>
                <w:rFonts w:hint="eastAsia" w:ascii="Times New Roman" w:hAnsi="宋体"/>
                <w:szCs w:val="21"/>
                <w:lang w:eastAsia="zh-CN"/>
              </w:rPr>
              <w:t>）承运，该</w:t>
            </w:r>
            <w:r>
              <w:rPr>
                <w:rFonts w:ascii="Times New Roman" w:hAnsi="宋体"/>
                <w:szCs w:val="21"/>
              </w:rPr>
              <w:t>运输单位具有危险废物运输资质，运输车辆状况良好，运输车辆已设置相关警示标志，符合交管部门相关规定。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noWrap w:val="0"/>
            <w:vAlign w:val="center"/>
          </w:tcPr>
          <w:p>
            <w:pPr>
              <w:rPr>
                <w:rFonts w:ascii="Times New Roman" w:hAnsi="Times New Roman"/>
                <w:szCs w:val="24"/>
              </w:rPr>
            </w:pPr>
            <w:r>
              <w:rPr>
                <w:rFonts w:ascii="Times New Roman" w:hAnsi="宋体"/>
                <w:szCs w:val="24"/>
              </w:rPr>
              <w:t>运输方式：</w:t>
            </w:r>
            <w:r>
              <w:rPr>
                <w:rFonts w:ascii="Times New Roman" w:hAnsi="Times New Roman"/>
                <w:szCs w:val="24"/>
              </w:rPr>
              <w:t xml:space="preserve">   </w:t>
            </w:r>
            <w:r>
              <w:rPr>
                <w:rFonts w:ascii="Times New Roman" w:hAnsi="宋体"/>
                <w:szCs w:val="24"/>
              </w:rPr>
              <w:t>道路</w:t>
            </w:r>
            <w:r>
              <w:rPr>
                <w:rFonts w:ascii="Times New Roman" w:hAnsi="Times New Roman"/>
                <w:szCs w:val="24"/>
              </w:rPr>
              <w:t xml:space="preserve"> </w:t>
            </w:r>
            <w:r>
              <w:rPr>
                <w:rFonts w:ascii="Times New Roman" w:hAnsi="Times New Roman"/>
              </w:rPr>
              <w:t>█</w:t>
            </w:r>
            <w:r>
              <w:rPr>
                <w:rFonts w:ascii="Times New Roman" w:hAnsi="Times New Roman"/>
                <w:color w:val="FF0000"/>
                <w:szCs w:val="24"/>
              </w:rPr>
              <w:t xml:space="preserve"> </w:t>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9240" w:type="dxa"/>
            <w:noWrap w:val="0"/>
            <w:vAlign w:val="top"/>
          </w:tcPr>
          <w:p>
            <w:pPr>
              <w:spacing w:line="300" w:lineRule="exact"/>
              <w:ind w:firstLine="420" w:firstLineChars="200"/>
              <w:rPr>
                <w:rFonts w:ascii="Times New Roman" w:hAnsi="Times New Roman"/>
                <w:szCs w:val="21"/>
              </w:rPr>
            </w:pPr>
            <w:r>
              <w:rPr>
                <w:rFonts w:ascii="Times New Roman" w:hAnsi="宋体"/>
                <w:szCs w:val="21"/>
              </w:rPr>
              <w:t>运输路线文字描述：（写明途经省、市、县（区），附路线图）</w:t>
            </w:r>
          </w:p>
          <w:p>
            <w:pPr>
              <w:spacing w:line="300" w:lineRule="exact"/>
              <w:ind w:firstLine="420" w:firstLineChars="200"/>
              <w:rPr>
                <w:rFonts w:ascii="Times New Roman" w:hAnsi="宋体"/>
                <w:szCs w:val="21"/>
              </w:rPr>
            </w:pPr>
            <w:r>
              <w:rPr>
                <w:rFonts w:ascii="Times New Roman" w:hAnsi="宋体"/>
                <w:szCs w:val="21"/>
              </w:rPr>
              <w:t>常州翔宇资源再生科技有限公司转移至天津仁新玻璃材料有限公司路线：沿创新路转至龙江南路朝</w:t>
            </w:r>
            <w:r>
              <w:rPr>
                <w:rFonts w:ascii="Times New Roman" w:hAnsi="Times New Roman"/>
                <w:szCs w:val="21"/>
              </w:rPr>
              <w:t>S239</w:t>
            </w:r>
            <w:r>
              <w:rPr>
                <w:rFonts w:ascii="Times New Roman" w:hAnsi="宋体"/>
                <w:szCs w:val="21"/>
              </w:rPr>
              <w:t>方向，进入长虹西路，然后直行进入金武线，朝</w:t>
            </w:r>
            <w:r>
              <w:rPr>
                <w:rFonts w:ascii="Times New Roman" w:hAnsi="Times New Roman"/>
                <w:szCs w:val="21"/>
              </w:rPr>
              <w:t>S38/39</w:t>
            </w:r>
            <w:r>
              <w:rPr>
                <w:rFonts w:ascii="Times New Roman" w:hAnsi="宋体"/>
                <w:szCs w:val="21"/>
              </w:rPr>
              <w:t>方向泰州方向，靠右行驶朝泰州</w:t>
            </w:r>
            <w:r>
              <w:rPr>
                <w:rFonts w:ascii="Times New Roman" w:hAnsi="Times New Roman"/>
                <w:szCs w:val="21"/>
              </w:rPr>
              <w:t>/</w:t>
            </w:r>
            <w:r>
              <w:rPr>
                <w:rFonts w:ascii="Times New Roman" w:hAnsi="宋体"/>
                <w:szCs w:val="21"/>
              </w:rPr>
              <w:t>沪宁高速</w:t>
            </w:r>
            <w:r>
              <w:rPr>
                <w:rFonts w:ascii="Times New Roman" w:hAnsi="Times New Roman"/>
                <w:szCs w:val="21"/>
              </w:rPr>
              <w:t>/G42</w:t>
            </w:r>
            <w:r>
              <w:rPr>
                <w:rFonts w:ascii="Times New Roman" w:hAnsi="宋体"/>
                <w:szCs w:val="21"/>
              </w:rPr>
              <w:t>方向，靠右进入江阴高速，朝泰州</w:t>
            </w:r>
            <w:r>
              <w:rPr>
                <w:rFonts w:ascii="Times New Roman" w:hAnsi="Times New Roman"/>
                <w:szCs w:val="21"/>
              </w:rPr>
              <w:t>/</w:t>
            </w:r>
            <w:r>
              <w:rPr>
                <w:rFonts w:ascii="Times New Roman" w:hAnsi="宋体"/>
                <w:szCs w:val="21"/>
              </w:rPr>
              <w:t>扬州</w:t>
            </w:r>
            <w:r>
              <w:rPr>
                <w:rFonts w:ascii="Times New Roman" w:hAnsi="Times New Roman"/>
                <w:szCs w:val="21"/>
              </w:rPr>
              <w:t>/</w:t>
            </w:r>
            <w:r>
              <w:rPr>
                <w:rFonts w:ascii="Times New Roman" w:hAnsi="宋体"/>
                <w:szCs w:val="21"/>
              </w:rPr>
              <w:t>淮安方向，靠右进入沪陕高速公路，朝江都</w:t>
            </w:r>
            <w:r>
              <w:rPr>
                <w:rFonts w:ascii="Times New Roman" w:hAnsi="Times New Roman"/>
                <w:szCs w:val="21"/>
              </w:rPr>
              <w:t>/</w:t>
            </w:r>
            <w:r>
              <w:rPr>
                <w:rFonts w:ascii="Times New Roman" w:hAnsi="宋体"/>
                <w:szCs w:val="21"/>
              </w:rPr>
              <w:t>淮安</w:t>
            </w:r>
            <w:r>
              <w:rPr>
                <w:rFonts w:ascii="Times New Roman" w:hAnsi="Times New Roman"/>
                <w:szCs w:val="21"/>
              </w:rPr>
              <w:t>/</w:t>
            </w:r>
            <w:r>
              <w:rPr>
                <w:rFonts w:ascii="Times New Roman" w:hAnsi="宋体"/>
                <w:szCs w:val="21"/>
              </w:rPr>
              <w:t>北京</w:t>
            </w:r>
            <w:r>
              <w:rPr>
                <w:rFonts w:ascii="Times New Roman" w:hAnsi="Times New Roman"/>
                <w:szCs w:val="21"/>
              </w:rPr>
              <w:t>/</w:t>
            </w:r>
            <w:r>
              <w:rPr>
                <w:rFonts w:ascii="Times New Roman" w:hAnsi="宋体"/>
                <w:szCs w:val="21"/>
              </w:rPr>
              <w:t>扬州东方向，朝扬州北</w:t>
            </w:r>
            <w:r>
              <w:rPr>
                <w:rFonts w:ascii="Times New Roman" w:hAnsi="Times New Roman"/>
                <w:szCs w:val="21"/>
              </w:rPr>
              <w:t>/</w:t>
            </w:r>
            <w:r>
              <w:rPr>
                <w:rFonts w:ascii="Times New Roman" w:hAnsi="宋体"/>
                <w:szCs w:val="21"/>
              </w:rPr>
              <w:t>淮安</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方向，靠左进入京沪高速公路，朝扬州</w:t>
            </w:r>
            <w:r>
              <w:rPr>
                <w:rFonts w:ascii="Times New Roman" w:hAnsi="Times New Roman"/>
                <w:szCs w:val="21"/>
              </w:rPr>
              <w:t>/</w:t>
            </w:r>
            <w:r>
              <w:rPr>
                <w:rFonts w:ascii="Times New Roman" w:hAnsi="宋体"/>
                <w:szCs w:val="21"/>
              </w:rPr>
              <w:t>润扬大桥</w:t>
            </w:r>
            <w:r>
              <w:rPr>
                <w:rFonts w:ascii="Times New Roman" w:hAnsi="Times New Roman"/>
                <w:szCs w:val="21"/>
              </w:rPr>
              <w:t>/G2</w:t>
            </w:r>
            <w:r>
              <w:rPr>
                <w:rFonts w:ascii="Times New Roman" w:hAnsi="宋体"/>
                <w:szCs w:val="21"/>
              </w:rPr>
              <w:t>方向</w:t>
            </w:r>
            <w:r>
              <w:rPr>
                <w:rFonts w:ascii="Times New Roman" w:hAnsi="Times New Roman"/>
                <w:szCs w:val="21"/>
              </w:rPr>
              <w:t>,</w:t>
            </w:r>
            <w:r>
              <w:rPr>
                <w:rFonts w:ascii="Times New Roman" w:hAnsi="宋体"/>
                <w:szCs w:val="21"/>
              </w:rPr>
              <w:t>朝真武</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方向，朝楚州</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方向，朝北京</w:t>
            </w:r>
            <w:r>
              <w:rPr>
                <w:rFonts w:ascii="Times New Roman" w:hAnsi="Times New Roman"/>
                <w:szCs w:val="21"/>
              </w:rPr>
              <w:t>/G2</w:t>
            </w:r>
            <w:r>
              <w:rPr>
                <w:rFonts w:ascii="Times New Roman" w:hAnsi="宋体"/>
                <w:szCs w:val="21"/>
              </w:rPr>
              <w:t>方向，朝淄博</w:t>
            </w:r>
            <w:r>
              <w:rPr>
                <w:rFonts w:ascii="Times New Roman" w:hAnsi="Times New Roman"/>
                <w:szCs w:val="21"/>
              </w:rPr>
              <w:t>/</w:t>
            </w:r>
            <w:r>
              <w:rPr>
                <w:rFonts w:ascii="Times New Roman" w:hAnsi="宋体"/>
                <w:szCs w:val="21"/>
              </w:rPr>
              <w:t>滨州</w:t>
            </w:r>
            <w:r>
              <w:rPr>
                <w:rFonts w:ascii="Times New Roman" w:hAnsi="Times New Roman"/>
                <w:szCs w:val="21"/>
              </w:rPr>
              <w:t>S29</w:t>
            </w:r>
            <w:r>
              <w:rPr>
                <w:rFonts w:ascii="Times New Roman" w:hAnsi="宋体"/>
                <w:szCs w:val="21"/>
              </w:rPr>
              <w:t>方向，靠左进入荣乌高速公路，朝天津</w:t>
            </w:r>
            <w:r>
              <w:rPr>
                <w:rFonts w:ascii="Times New Roman" w:hAnsi="Times New Roman"/>
                <w:szCs w:val="21"/>
              </w:rPr>
              <w:t>G18/G25</w:t>
            </w:r>
            <w:r>
              <w:rPr>
                <w:rFonts w:ascii="Times New Roman" w:hAnsi="宋体"/>
                <w:szCs w:val="21"/>
              </w:rPr>
              <w:t>方向，靠左朝港中公路离开，行驶</w:t>
            </w:r>
            <w:r>
              <w:rPr>
                <w:rFonts w:ascii="Times New Roman" w:hAnsi="Times New Roman"/>
                <w:szCs w:val="21"/>
              </w:rPr>
              <w:t>1.3</w:t>
            </w:r>
            <w:r>
              <w:rPr>
                <w:rFonts w:ascii="Times New Roman" w:hAnsi="宋体"/>
                <w:szCs w:val="21"/>
              </w:rPr>
              <w:t>公里，朝天津开发区南区方向，靠左进入港中线，途径穿港路，海景大道，港东三路，汉港线进入吉照路，最终到达天津仁新玻璃材料有限公司。</w:t>
            </w:r>
          </w:p>
          <w:p>
            <w:pPr>
              <w:spacing w:line="300" w:lineRule="exact"/>
              <w:ind w:firstLine="420" w:firstLineChars="200"/>
              <w:rPr>
                <w:rFonts w:ascii="Times New Roman" w:hAnsi="Times New Roman"/>
                <w:szCs w:val="21"/>
              </w:rPr>
            </w:pPr>
            <w:r>
              <w:rPr>
                <w:rFonts w:ascii="Times New Roman" w:hAnsi="宋体"/>
                <w:szCs w:val="21"/>
              </w:rPr>
              <w:t>途径城市有江苏省常州市武进区、钟楼区、新北区，镇江市扬中区，泰州市高港区，扬州市江都区、高邮市、宝应县，淮安市淮安区、涟水县，宿迁市沭阳县，徐州新沂市，进入山东省，途径临沂市郯城县、兰山区、蒙阴县，莱芜市钢城区，淄博市博山区、淄川区，滨州市滨城区，沧州市黄</w:t>
            </w:r>
            <w:r>
              <w:rPr>
                <w:rFonts w:hint="eastAsia"/>
                <w:bCs/>
                <w:szCs w:val="21"/>
              </w:rPr>
              <w:t>骅</w:t>
            </w:r>
            <w:r>
              <w:rPr>
                <w:rFonts w:ascii="Times New Roman" w:hAnsi="宋体"/>
                <w:szCs w:val="21"/>
              </w:rPr>
              <w:t>市，天津市津南区。</w:t>
            </w:r>
          </w:p>
          <w:p>
            <w:pPr>
              <w:spacing w:line="300" w:lineRule="exact"/>
              <w:ind w:firstLine="420" w:firstLineChars="200"/>
              <w:rPr>
                <w:rFonts w:ascii="Times New Roman" w:hAnsi="Times New Roman"/>
                <w:szCs w:val="21"/>
              </w:rPr>
            </w:pPr>
            <w:r>
              <w:rPr>
                <w:rFonts w:ascii="Times New Roman" w:hAnsi="Times New Roman"/>
                <w:szCs w:val="21"/>
              </w:rPr>
              <w:drawing>
                <wp:anchor distT="0" distB="0" distL="114300" distR="114300" simplePos="0" relativeHeight="251662336" behindDoc="0" locked="0" layoutInCell="1" allowOverlap="1">
                  <wp:simplePos x="0" y="0"/>
                  <wp:positionH relativeFrom="column">
                    <wp:posOffset>71755</wp:posOffset>
                  </wp:positionH>
                  <wp:positionV relativeFrom="paragraph">
                    <wp:posOffset>384810</wp:posOffset>
                  </wp:positionV>
                  <wp:extent cx="5568315" cy="5246370"/>
                  <wp:effectExtent l="0" t="0" r="13335" b="11430"/>
                  <wp:wrapSquare wrapText="bothSides"/>
                  <wp:docPr id="4" name="图片 28" descr="仁新线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 descr="仁新线路图"/>
                          <pic:cNvPicPr>
                            <a:picLocks noChangeAspect="1"/>
                          </pic:cNvPicPr>
                        </pic:nvPicPr>
                        <pic:blipFill>
                          <a:blip r:embed="rId5"/>
                          <a:stretch>
                            <a:fillRect/>
                          </a:stretch>
                        </pic:blipFill>
                        <pic:spPr>
                          <a:xfrm>
                            <a:off x="0" y="0"/>
                            <a:ext cx="5568315" cy="5246370"/>
                          </a:xfrm>
                          <a:prstGeom prst="rect">
                            <a:avLst/>
                          </a:prstGeom>
                          <a:noFill/>
                          <a:ln>
                            <a:noFill/>
                          </a:ln>
                        </pic:spPr>
                      </pic:pic>
                    </a:graphicData>
                  </a:graphic>
                </wp:anchor>
              </w:drawing>
            </w:r>
            <w:r>
              <w:rPr>
                <w:rFonts w:ascii="Times New Roman" w:hAnsi="宋体"/>
                <w:szCs w:val="21"/>
              </w:rPr>
              <w:t>线路图如下：</w:t>
            </w: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tc>
      </w:tr>
    </w:tbl>
    <w:p>
      <w:pPr>
        <w:rPr>
          <w:rFonts w:ascii="Times New Roman" w:hAnsi="Times New Roman"/>
          <w:szCs w:val="24"/>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286" w:charSpace="0"/>
        </w:sect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noWrap w:val="0"/>
            <w:vAlign w:val="center"/>
          </w:tcPr>
          <w:p>
            <w:pPr>
              <w:jc w:val="left"/>
              <w:rPr>
                <w:rFonts w:ascii="Times New Roman" w:hAnsi="Times New Roman"/>
                <w:b/>
                <w:bCs/>
                <w:szCs w:val="24"/>
              </w:rPr>
            </w:pPr>
            <w:r>
              <w:rPr>
                <w:rFonts w:ascii="Times New Roman" w:hAnsi="宋体"/>
                <w:b/>
                <w:bCs/>
                <w:szCs w:val="24"/>
              </w:rPr>
              <w:t>表</w:t>
            </w:r>
            <w:r>
              <w:rPr>
                <w:rFonts w:ascii="Times New Roman" w:hAnsi="Times New Roman"/>
                <w:b/>
                <w:bCs/>
                <w:szCs w:val="24"/>
              </w:rPr>
              <w:t xml:space="preserve">3  </w:t>
            </w:r>
            <w:r>
              <w:rPr>
                <w:rFonts w:ascii="Times New Roman" w:hAnsi="宋体"/>
                <w:b/>
                <w:bCs/>
                <w:szCs w:val="24"/>
              </w:rPr>
              <w:t>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9345" w:type="dxa"/>
            <w:noWrap w:val="0"/>
            <w:vAlign w:val="top"/>
          </w:tcPr>
          <w:p>
            <w:pPr>
              <w:numPr>
                <w:ilvl w:val="0"/>
                <w:numId w:val="1"/>
              </w:numPr>
              <w:spacing w:line="240" w:lineRule="auto"/>
              <w:rPr>
                <w:rFonts w:ascii="Times New Roman" w:hAnsi="Times New Roman"/>
                <w:bCs/>
                <w:szCs w:val="24"/>
              </w:rPr>
            </w:pPr>
            <w:r>
              <w:rPr>
                <w:rFonts w:ascii="Times New Roman" w:hAnsi="宋体"/>
                <w:bCs/>
                <w:szCs w:val="24"/>
              </w:rPr>
              <w:t>运输过程中的污染防治措施以及按照要求配备的相应污染防治设备</w:t>
            </w:r>
          </w:p>
          <w:p>
            <w:pPr>
              <w:spacing w:line="300" w:lineRule="exact"/>
              <w:ind w:firstLine="420" w:firstLineChars="200"/>
              <w:rPr>
                <w:rFonts w:ascii="Times New Roman" w:hAnsi="宋体"/>
                <w:szCs w:val="21"/>
              </w:rPr>
            </w:pPr>
            <w:r>
              <w:rPr>
                <w:rFonts w:ascii="Times New Roman" w:hAnsi="宋体"/>
                <w:szCs w:val="21"/>
              </w:rPr>
              <w:t>在运输过程中，运输车辆采用钢筋框架固定，彩色</w:t>
            </w:r>
            <w:r>
              <w:rPr>
                <w:rFonts w:ascii="Times New Roman" w:hAnsi="Times New Roman"/>
                <w:szCs w:val="21"/>
              </w:rPr>
              <w:t>CRT</w:t>
            </w:r>
            <w:r>
              <w:rPr>
                <w:rFonts w:ascii="Times New Roman" w:hAnsi="宋体"/>
                <w:szCs w:val="21"/>
              </w:rPr>
              <w:t>玻璃采用吨包包装，再采取篷布覆盖加工，达到加固及防抛洒要求。</w:t>
            </w:r>
            <w:r>
              <w:rPr>
                <w:rFonts w:hint="eastAsia" w:ascii="Times New Roman" w:hAnsi="宋体"/>
                <w:szCs w:val="21"/>
              </w:rPr>
              <w:t>运输车需具备：通讯器材、手机，急救箱，干粉灭火器，清洁工具，塑料袋，联络单。</w:t>
            </w:r>
          </w:p>
          <w:p>
            <w:pPr>
              <w:spacing w:line="240" w:lineRule="auto"/>
              <w:rPr>
                <w:rFonts w:ascii="Times New Roman" w:hAnsi="Times New Roman"/>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noWrap w:val="0"/>
            <w:vAlign w:val="top"/>
          </w:tcPr>
          <w:p>
            <w:pPr>
              <w:numPr>
                <w:ilvl w:val="0"/>
                <w:numId w:val="1"/>
              </w:numPr>
              <w:rPr>
                <w:rFonts w:ascii="Times New Roman" w:hAnsi="Times New Roman"/>
                <w:bCs/>
                <w:szCs w:val="24"/>
              </w:rPr>
            </w:pPr>
            <w:r>
              <w:rPr>
                <w:rFonts w:ascii="Times New Roman" w:hAnsi="宋体"/>
                <w:bCs/>
                <w:szCs w:val="24"/>
              </w:rPr>
              <w:t>运输过程中的安全防护措施以及按照要求配备的相应安全防护设备</w:t>
            </w:r>
          </w:p>
          <w:p>
            <w:pPr>
              <w:spacing w:line="300" w:lineRule="exact"/>
              <w:ind w:firstLine="420" w:firstLineChars="200"/>
              <w:rPr>
                <w:rFonts w:ascii="Times New Roman" w:hAnsi="宋体"/>
                <w:szCs w:val="21"/>
              </w:rPr>
            </w:pPr>
            <w:r>
              <w:rPr>
                <w:rFonts w:ascii="Times New Roman" w:hAnsi="宋体"/>
                <w:szCs w:val="21"/>
              </w:rPr>
              <w:t>在运输过程中，运输车辆设置危险废物警示标志，对运输过程中的其他驾驶员起到警示作用。</w:t>
            </w:r>
            <w:r>
              <w:rPr>
                <w:rFonts w:hint="eastAsia" w:ascii="Times New Roman" w:hAnsi="宋体"/>
                <w:szCs w:val="21"/>
              </w:rPr>
              <w:t>所有承运车辆必须车况良好，不得同车装运其它物品，严禁携带其它人员同乘。且具有消防和化学两方面的紧急处理措施，具体包括干粉灭火器，化学防护镜，橡胶手套，工作服，橡胶靴子，防毒面具；运输车需具备：通讯器材、手机，急救箱，干粉灭火器，清洁工具，塑料袋，联络单。</w:t>
            </w:r>
          </w:p>
          <w:p>
            <w:pPr>
              <w:spacing w:line="300" w:lineRule="exact"/>
              <w:ind w:firstLine="420" w:firstLineChars="200"/>
              <w:rPr>
                <w:rFonts w:ascii="Times New Roman" w:hAnsi="Times New Roman"/>
                <w:szCs w:val="21"/>
              </w:rPr>
            </w:pPr>
          </w:p>
          <w:p>
            <w:pPr>
              <w:rPr>
                <w:rFonts w:ascii="Times New Roman" w:hAnsi="Times New Roman"/>
                <w:bCs/>
                <w:szCs w:val="24"/>
              </w:rPr>
            </w:pPr>
          </w:p>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noWrap w:val="0"/>
            <w:vAlign w:val="top"/>
          </w:tcPr>
          <w:p>
            <w:pPr>
              <w:rPr>
                <w:rFonts w:ascii="Times New Roman" w:hAnsi="Times New Roman"/>
                <w:bCs/>
                <w:szCs w:val="24"/>
              </w:rPr>
            </w:pPr>
            <w:r>
              <w:rPr>
                <w:rFonts w:ascii="Times New Roman" w:hAnsi="Times New Roman"/>
                <w:bCs/>
                <w:szCs w:val="24"/>
              </w:rPr>
              <w:t>3</w:t>
            </w:r>
            <w:r>
              <w:rPr>
                <w:rFonts w:ascii="Times New Roman" w:hAnsi="宋体"/>
                <w:bCs/>
                <w:szCs w:val="24"/>
              </w:rPr>
              <w:t>、运输过程中的应急预案以及按照要求配备的相应应急设备</w:t>
            </w:r>
          </w:p>
          <w:p>
            <w:pPr>
              <w:spacing w:line="300" w:lineRule="exact"/>
              <w:ind w:firstLine="420" w:firstLineChars="200"/>
              <w:rPr>
                <w:rFonts w:hint="eastAsia" w:ascii="Times New Roman" w:hAnsi="Times New Roman"/>
                <w:szCs w:val="21"/>
              </w:rPr>
            </w:pPr>
            <w:r>
              <w:rPr>
                <w:rFonts w:ascii="Times New Roman" w:hAnsi="宋体"/>
                <w:szCs w:val="21"/>
              </w:rPr>
              <w:t>事故发生时，发现事故人立即告知事故现场周围人员并通知事故应急负责人，事故应急责任人负责指挥协调处置突发环境事故。事故应急负责人立即向事故应急小组汇报，运输押运人员、事故应急人员无条件执行事故应急负责人命令，齐心协力处理好突发应急事故。</w:t>
            </w:r>
            <w:r>
              <w:rPr>
                <w:rFonts w:hint="eastAsia" w:ascii="Times New Roman" w:hAnsi="宋体"/>
                <w:szCs w:val="21"/>
              </w:rPr>
              <w:t>运输过程中要配备相应的应急设备主要包括：灭火器、护目镜、橡胶手套、工作服、橡胶靴子、防毒面具等。</w:t>
            </w:r>
          </w:p>
          <w:p>
            <w:pPr>
              <w:spacing w:line="300" w:lineRule="exact"/>
              <w:ind w:firstLine="420" w:firstLineChars="200"/>
              <w:rPr>
                <w:rFonts w:hint="eastAsia" w:ascii="Times New Roman" w:hAnsi="Times New Roman"/>
                <w:szCs w:val="21"/>
              </w:rPr>
            </w:pPr>
            <w:r>
              <w:rPr>
                <w:rFonts w:ascii="Times New Roman" w:hAnsi="宋体"/>
                <w:szCs w:val="21"/>
              </w:rPr>
              <w:t>天津仁新玻璃材料有限公司联系人及电话：刘爱真</w:t>
            </w:r>
            <w:r>
              <w:rPr>
                <w:rFonts w:ascii="Times New Roman" w:hAnsi="Times New Roman"/>
                <w:szCs w:val="21"/>
              </w:rPr>
              <w:t>15062122623</w:t>
            </w:r>
          </w:p>
          <w:p>
            <w:pPr>
              <w:spacing w:line="300" w:lineRule="exact"/>
              <w:jc w:val="center"/>
              <w:rPr>
                <w:rFonts w:ascii="Times New Roman" w:hAnsi="宋体"/>
                <w:b/>
                <w:szCs w:val="21"/>
              </w:rPr>
            </w:pPr>
            <w:r>
              <w:rPr>
                <w:rFonts w:ascii="Times New Roman" w:hAnsi="宋体"/>
                <w:b/>
                <w:szCs w:val="21"/>
              </w:rPr>
              <w:t>危险废物运输突发环境事故应急预案</w:t>
            </w:r>
          </w:p>
          <w:p>
            <w:pPr>
              <w:spacing w:line="300" w:lineRule="exact"/>
              <w:ind w:firstLine="420" w:firstLineChars="200"/>
              <w:rPr>
                <w:rFonts w:hint="eastAsia" w:ascii="Times New Roman" w:hAnsi="宋体"/>
                <w:szCs w:val="21"/>
              </w:rPr>
            </w:pPr>
            <w:r>
              <w:rPr>
                <w:rFonts w:ascii="Times New Roman" w:hAnsi="宋体"/>
                <w:szCs w:val="21"/>
              </w:rPr>
              <w:t>危险废物在运输过程中由于自然</w:t>
            </w:r>
            <w:r>
              <w:rPr>
                <w:rFonts w:hint="eastAsia" w:ascii="Times New Roman" w:hAnsi="宋体"/>
                <w:szCs w:val="21"/>
              </w:rPr>
              <w:t>、</w:t>
            </w:r>
            <w:r>
              <w:rPr>
                <w:rFonts w:ascii="Times New Roman" w:hAnsi="宋体"/>
                <w:szCs w:val="21"/>
              </w:rPr>
              <w:t>人为</w:t>
            </w:r>
            <w:r>
              <w:rPr>
                <w:rFonts w:hint="eastAsia" w:ascii="Times New Roman" w:hAnsi="宋体"/>
                <w:szCs w:val="21"/>
              </w:rPr>
              <w:t>、</w:t>
            </w:r>
            <w:r>
              <w:rPr>
                <w:rFonts w:ascii="Times New Roman" w:hAnsi="宋体"/>
                <w:szCs w:val="21"/>
              </w:rPr>
              <w:t>技术或设备等原因可能引发交通</w:t>
            </w:r>
            <w:r>
              <w:rPr>
                <w:rFonts w:hint="eastAsia" w:ascii="Times New Roman" w:hAnsi="宋体"/>
                <w:szCs w:val="21"/>
              </w:rPr>
              <w:t>事故</w:t>
            </w:r>
            <w:r>
              <w:rPr>
                <w:rFonts w:ascii="Times New Roman" w:hAnsi="宋体"/>
                <w:szCs w:val="21"/>
              </w:rPr>
              <w:t>，导致危险废物拋洒、迪漏、燃烧、爆炸等，可能对环境</w:t>
            </w:r>
            <w:r>
              <w:rPr>
                <w:rFonts w:hint="eastAsia" w:ascii="Times New Roman" w:hAnsi="宋体"/>
                <w:szCs w:val="21"/>
              </w:rPr>
              <w:t>造成较重污染后果的行为。为建立危险废物运输突发环境</w:t>
            </w:r>
            <w:r>
              <w:rPr>
                <w:rFonts w:ascii="Times New Roman" w:hAnsi="宋体"/>
                <w:szCs w:val="21"/>
              </w:rPr>
              <w:t>事故应急机制，提高应急能力，确保能够快</w:t>
            </w:r>
            <w:r>
              <w:rPr>
                <w:rFonts w:hint="eastAsia" w:ascii="Times New Roman" w:hAnsi="宋体"/>
                <w:szCs w:val="21"/>
              </w:rPr>
              <w:t>速</w:t>
            </w:r>
            <w:r>
              <w:rPr>
                <w:rFonts w:ascii="Times New Roman" w:hAnsi="宋体"/>
                <w:szCs w:val="21"/>
              </w:rPr>
              <w:t>响应、有序行动、尚效处</w:t>
            </w:r>
            <w:r>
              <w:rPr>
                <w:rFonts w:hint="eastAsia" w:ascii="Times New Roman" w:hAnsi="宋体"/>
                <w:szCs w:val="21"/>
              </w:rPr>
              <w:t>置</w:t>
            </w:r>
            <w:r>
              <w:rPr>
                <w:rFonts w:ascii="Times New Roman" w:hAnsi="宋体"/>
                <w:szCs w:val="21"/>
              </w:rPr>
              <w:t>、降低危害，实现保护公众、保护环境的</w:t>
            </w:r>
            <w:r>
              <w:rPr>
                <w:rFonts w:hint="eastAsia" w:ascii="Times New Roman" w:hAnsi="宋体"/>
                <w:szCs w:val="21"/>
              </w:rPr>
              <w:t>目</w:t>
            </w:r>
            <w:r>
              <w:rPr>
                <w:rFonts w:ascii="Times New Roman" w:hAnsi="宋体"/>
                <w:szCs w:val="21"/>
              </w:rPr>
              <w:t>的，特制定本预案.</w:t>
            </w:r>
          </w:p>
          <w:p>
            <w:pPr>
              <w:spacing w:line="300" w:lineRule="exact"/>
              <w:ind w:firstLine="420" w:firstLineChars="200"/>
              <w:rPr>
                <w:rFonts w:hint="eastAsia" w:ascii="Times New Roman" w:hAnsi="宋体"/>
                <w:szCs w:val="21"/>
              </w:rPr>
            </w:pPr>
            <w:r>
              <w:rPr>
                <w:rFonts w:ascii="Times New Roman" w:hAnsi="宋体"/>
                <w:szCs w:val="21"/>
              </w:rPr>
              <w:t>依据国家危险货物运输管理有关规定，我司皱到以下几点：</w:t>
            </w:r>
          </w:p>
          <w:p>
            <w:pPr>
              <w:spacing w:line="300" w:lineRule="exact"/>
              <w:ind w:firstLine="420" w:firstLineChars="200"/>
              <w:rPr>
                <w:rFonts w:hint="eastAsia" w:ascii="Times New Roman" w:hAnsi="宋体"/>
                <w:szCs w:val="21"/>
              </w:rPr>
            </w:pPr>
            <w:r>
              <w:rPr>
                <w:rFonts w:ascii="Times New Roman" w:hAnsi="宋体"/>
                <w:szCs w:val="21"/>
              </w:rPr>
              <w:t>具有从事危险货物运输资质许可；</w:t>
            </w:r>
          </w:p>
          <w:p>
            <w:pPr>
              <w:spacing w:line="300" w:lineRule="exact"/>
              <w:ind w:firstLine="420" w:firstLineChars="200"/>
              <w:rPr>
                <w:rFonts w:hint="eastAsia" w:ascii="Times New Roman" w:hAnsi="宋体"/>
                <w:szCs w:val="21"/>
              </w:rPr>
            </w:pPr>
            <w:r>
              <w:rPr>
                <w:rFonts w:ascii="Times New Roman" w:hAnsi="宋体"/>
                <w:szCs w:val="21"/>
              </w:rPr>
              <w:t>运输车辆悬桂或喷涂明显醒目的危险废物标志；</w:t>
            </w:r>
          </w:p>
          <w:p>
            <w:pPr>
              <w:spacing w:line="300" w:lineRule="exact"/>
              <w:ind w:firstLine="420" w:firstLineChars="200"/>
              <w:rPr>
                <w:rFonts w:hint="eastAsia" w:ascii="Times New Roman" w:hAnsi="宋体"/>
                <w:szCs w:val="21"/>
              </w:rPr>
            </w:pPr>
            <w:r>
              <w:rPr>
                <w:rFonts w:ascii="Times New Roman" w:hAnsi="宋体"/>
                <w:szCs w:val="21"/>
              </w:rPr>
              <w:t>按照规定的线路运输危险废物；</w:t>
            </w:r>
          </w:p>
          <w:p>
            <w:pPr>
              <w:spacing w:line="300" w:lineRule="exact"/>
              <w:ind w:firstLine="420" w:firstLineChars="200"/>
              <w:rPr>
                <w:rFonts w:hint="eastAsia" w:ascii="Times New Roman" w:hAnsi="宋体"/>
                <w:szCs w:val="21"/>
              </w:rPr>
            </w:pPr>
            <w:r>
              <w:rPr>
                <w:rFonts w:ascii="Times New Roman" w:hAnsi="宋体"/>
                <w:szCs w:val="21"/>
              </w:rPr>
              <w:t>不在人口稠密地区运输危险废物；</w:t>
            </w:r>
          </w:p>
          <w:p>
            <w:pPr>
              <w:spacing w:line="300" w:lineRule="exact"/>
              <w:ind w:firstLine="420" w:firstLineChars="200"/>
              <w:rPr>
                <w:rFonts w:hint="eastAsia" w:ascii="Times New Roman" w:hAnsi="宋体"/>
                <w:szCs w:val="21"/>
              </w:rPr>
            </w:pPr>
            <w:r>
              <w:rPr>
                <w:rFonts w:ascii="Times New Roman" w:hAnsi="宋体"/>
                <w:szCs w:val="21"/>
              </w:rPr>
              <w:t>车</w:t>
            </w:r>
            <w:r>
              <w:rPr>
                <w:rFonts w:hint="eastAsia" w:ascii="Times New Roman" w:hAnsi="宋体"/>
                <w:szCs w:val="21"/>
              </w:rPr>
              <w:t>辆</w:t>
            </w:r>
            <w:r>
              <w:rPr>
                <w:rFonts w:ascii="Times New Roman" w:hAnsi="宋体"/>
                <w:szCs w:val="21"/>
              </w:rPr>
              <w:t>在经过桥梁、水源保护区域时限速行驶；</w:t>
            </w:r>
          </w:p>
          <w:p>
            <w:pPr>
              <w:spacing w:line="300" w:lineRule="exact"/>
              <w:ind w:firstLine="420" w:firstLineChars="200"/>
              <w:rPr>
                <w:rFonts w:hint="eastAsia" w:ascii="Times New Roman" w:hAnsi="宋体"/>
                <w:szCs w:val="21"/>
              </w:rPr>
            </w:pPr>
            <w:r>
              <w:rPr>
                <w:rFonts w:ascii="Times New Roman" w:hAnsi="宋体"/>
                <w:szCs w:val="21"/>
              </w:rPr>
              <w:t>釆取严格的运输安全防护措施和防止污染环境措施；</w:t>
            </w:r>
          </w:p>
          <w:p>
            <w:pPr>
              <w:spacing w:line="300" w:lineRule="exact"/>
              <w:ind w:firstLine="420" w:firstLineChars="200"/>
              <w:rPr>
                <w:rFonts w:hint="eastAsia" w:ascii="Times New Roman" w:hAnsi="宋体"/>
                <w:szCs w:val="21"/>
              </w:rPr>
            </w:pPr>
            <w:r>
              <w:rPr>
                <w:rFonts w:ascii="Times New Roman" w:hAnsi="宋体"/>
                <w:szCs w:val="21"/>
              </w:rPr>
              <w:t>随车</w:t>
            </w:r>
            <w:r>
              <w:rPr>
                <w:rFonts w:hint="eastAsia" w:ascii="Times New Roman" w:hAnsi="宋体"/>
                <w:szCs w:val="21"/>
              </w:rPr>
              <w:t>携</w:t>
            </w:r>
            <w:r>
              <w:rPr>
                <w:rFonts w:ascii="Times New Roman" w:hAnsi="宋体"/>
                <w:szCs w:val="21"/>
              </w:rPr>
              <w:t>带运输单位制定的《危险废物运输突发环境事故应急预案》和 《危险废物转栘联单》</w:t>
            </w:r>
            <w:r>
              <w:rPr>
                <w:rFonts w:hint="eastAsia" w:ascii="Times New Roman" w:hAnsi="宋体"/>
                <w:szCs w:val="21"/>
              </w:rPr>
              <w:t>；</w:t>
            </w:r>
          </w:p>
          <w:p>
            <w:pPr>
              <w:spacing w:line="300" w:lineRule="exact"/>
              <w:ind w:firstLine="420" w:firstLineChars="200"/>
              <w:rPr>
                <w:rFonts w:hint="eastAsia" w:ascii="Times New Roman" w:hAnsi="宋体"/>
                <w:szCs w:val="21"/>
              </w:rPr>
            </w:pPr>
            <w:r>
              <w:rPr>
                <w:rFonts w:ascii="Times New Roman" w:hAnsi="宋体"/>
                <w:szCs w:val="21"/>
              </w:rPr>
              <w:t>驾驶人员除具备运输从业资质以外，还定期接受应急培训并取得合格成缋</w:t>
            </w:r>
            <w:r>
              <w:rPr>
                <w:rFonts w:hint="eastAsia" w:ascii="Times New Roman" w:hAnsi="宋体"/>
                <w:szCs w:val="21"/>
              </w:rPr>
              <w:t>。</w:t>
            </w:r>
            <w:r>
              <w:rPr>
                <w:rFonts w:ascii="Times New Roman" w:hAnsi="宋体"/>
                <w:szCs w:val="21"/>
              </w:rPr>
              <w:t>定期成不定期开展应急知识、技术和方案的培训，安排应急人员参加环保部</w:t>
            </w:r>
            <w:r>
              <w:rPr>
                <w:rFonts w:hint="eastAsia" w:ascii="Times New Roman" w:hAnsi="宋体"/>
                <w:szCs w:val="21"/>
              </w:rPr>
              <w:t>、</w:t>
            </w:r>
            <w:r>
              <w:rPr>
                <w:rFonts w:ascii="Times New Roman" w:hAnsi="宋体"/>
                <w:szCs w:val="21"/>
              </w:rPr>
              <w:t>省环保厅绍织的培训，同时对本市基层的应急人员和相关企业的有关人员开展培训，增强应急能力</w:t>
            </w:r>
            <w:r>
              <w:rPr>
                <w:rFonts w:hint="eastAsia" w:ascii="Times New Roman" w:hAnsi="宋体"/>
                <w:szCs w:val="21"/>
              </w:rPr>
              <w:t>。</w:t>
            </w:r>
          </w:p>
          <w:p>
            <w:pPr>
              <w:spacing w:line="300" w:lineRule="exact"/>
              <w:ind w:firstLine="420" w:firstLineChars="200"/>
              <w:rPr>
                <w:rFonts w:ascii="Times New Roman" w:hAnsi="宋体"/>
                <w:szCs w:val="21"/>
              </w:rPr>
            </w:pPr>
            <w:r>
              <w:rPr>
                <w:rFonts w:ascii="Times New Roman" w:hAnsi="宋体"/>
                <w:szCs w:val="21"/>
              </w:rPr>
              <w:t>我司设立相应的部门以应对突发事件。该部门负责</w:t>
            </w:r>
            <w:r>
              <w:rPr>
                <w:rFonts w:hint="eastAsia" w:ascii="Times New Roman" w:hAnsi="宋体"/>
                <w:szCs w:val="21"/>
              </w:rPr>
              <w:t>（1）</w:t>
            </w:r>
            <w:r>
              <w:rPr>
                <w:rFonts w:ascii="Times New Roman" w:hAnsi="宋体"/>
                <w:szCs w:val="21"/>
              </w:rPr>
              <w:t>遇到紧急情况做出应急处置重大</w:t>
            </w:r>
            <w:r>
              <w:rPr>
                <w:rFonts w:hint="eastAsia" w:ascii="Times New Roman" w:hAnsi="宋体"/>
                <w:szCs w:val="21"/>
              </w:rPr>
              <w:t>事项的决策，提出应急行动原则要求。（2）协调实施应急处置行动。（3）及时向市政府报告应急处置行动进展情况。（4）督察事故现场应急处置工作完成情况。接到关于危险废物运输突发环境事故报告时，应主动并尽肯能详尽地了解情况，初步判断事故等级，立即向市环保局主要领导报告，决定是否启动应急顸案。发生高危危险废物运输突发环境事故时，必须立即启动应急预案。应急指令下达后，各有关部门的应急人员迅速集结，立印赶赴事故现场， 做好各项准备工作，形成指挥力量和应急力量。根据危险废物的种类性质以及现场情况，研究制定处置方案，下达应急处置行动指令。根据指令，立即确定应急检测方案并组织实施。以最快的速度提供监测数据和气象信息，为指挥部决策提供依据。水体和饮用水源受到污染的，应及时报告市政府，由市政府作出停止使用水体功能或停止供水的决定，并向社会发布信息。同时按照规定上报和通报。对污染现场进行清理。危险废物以及受到污染的土壤全部送交危险废物处置企业集中处置。对事故现场逬行交通管制，禁止无关车辆和人员进入。需要组织群众疏散的</w:t>
            </w:r>
            <w:r>
              <w:rPr>
                <w:rFonts w:ascii="Times New Roman" w:hAnsi="宋体"/>
                <w:szCs w:val="21"/>
              </w:rPr>
              <w:t>,</w:t>
            </w:r>
            <w:r>
              <w:rPr>
                <w:rFonts w:hint="eastAsia" w:ascii="Times New Roman" w:hAnsi="宋体"/>
                <w:szCs w:val="21"/>
              </w:rPr>
              <w:t>立即确定疏散地点，紧急组织群众采用简易有效的防护措施（如毛巾、湿布、口罩等），选择安全撤离路线逆风向疏散地集中。如人员有受伤情况，立即组织救治。</w:t>
            </w:r>
          </w:p>
          <w:p>
            <w:pPr>
              <w:spacing w:line="300" w:lineRule="exact"/>
              <w:ind w:firstLine="420" w:firstLineChars="200"/>
              <w:rPr>
                <w:rFonts w:hint="eastAsia" w:ascii="Times New Roman" w:hAnsi="宋体"/>
                <w:szCs w:val="21"/>
              </w:rPr>
            </w:pPr>
            <w:r>
              <w:rPr>
                <w:rFonts w:hint="eastAsia" w:ascii="Times New Roman" w:hAnsi="宋体"/>
                <w:szCs w:val="21"/>
              </w:rPr>
              <w:t>事后必须分析总结应急处置经验教训，提出改进建议</w:t>
            </w:r>
            <w:r>
              <w:rPr>
                <w:rFonts w:ascii="Times New Roman" w:hAnsi="宋体"/>
                <w:szCs w:val="21"/>
              </w:rPr>
              <w:t>;</w:t>
            </w:r>
            <w:r>
              <w:rPr>
                <w:rFonts w:hint="eastAsia" w:ascii="Times New Roman" w:hAnsi="宋体"/>
                <w:szCs w:val="21"/>
              </w:rPr>
              <w:t>查明事故原因，作出处埋决定，追究相关责任；发布事故处置工作有关信息；完成总结报告并及时上报。</w:t>
            </w: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Times New Roman"/>
                <w:szCs w:val="21"/>
              </w:rPr>
            </w:pPr>
          </w:p>
          <w:p>
            <w:pPr>
              <w:spacing w:line="300" w:lineRule="exact"/>
              <w:ind w:firstLine="420" w:firstLineChars="200"/>
              <w:rPr>
                <w:rFonts w:hint="eastAsia" w:ascii="Times New Roman" w:hAnsi="Times New Roman"/>
                <w:color w:val="FF0000"/>
                <w:szCs w:val="21"/>
              </w:rPr>
            </w:pPr>
          </w:p>
          <w:p>
            <w:pPr>
              <w:rPr>
                <w:rFonts w:ascii="Times New Roman" w:hAnsi="Times New Roman"/>
                <w:szCs w:val="24"/>
              </w:rPr>
            </w:pPr>
          </w:p>
        </w:tc>
      </w:tr>
    </w:tbl>
    <w:p>
      <w:pPr>
        <w:rPr>
          <w:rFonts w:ascii="Times New Roman" w:hAnsi="宋体"/>
          <w:sz w:val="28"/>
          <w:szCs w:val="28"/>
        </w:rPr>
      </w:pPr>
    </w:p>
    <w:p>
      <w:pPr>
        <w:numPr>
          <w:ilvl w:val="0"/>
          <w:numId w:val="2"/>
        </w:numPr>
        <w:tabs>
          <w:tab w:val="center" w:pos="4153"/>
        </w:tabs>
        <w:rPr>
          <w:rFonts w:ascii="Times New Roman" w:hAnsi="宋体"/>
          <w:sz w:val="28"/>
          <w:szCs w:val="28"/>
        </w:rPr>
      </w:pPr>
      <w:r>
        <w:rPr>
          <w:rFonts w:ascii="Times New Roman" w:hAnsi="Times New Roman"/>
          <w:sz w:val="28"/>
          <w:szCs w:val="28"/>
        </w:rPr>
        <w:t xml:space="preserve">  </w:t>
      </w:r>
      <w:r>
        <w:rPr>
          <w:rFonts w:ascii="Times New Roman" w:hAnsi="宋体"/>
          <w:sz w:val="28"/>
          <w:szCs w:val="28"/>
        </w:rPr>
        <w:t>废物处理处置情况</w:t>
      </w:r>
      <w:r>
        <w:rPr>
          <w:rFonts w:hint="eastAsia" w:hAnsi="宋体"/>
          <w:sz w:val="28"/>
          <w:szCs w:val="28"/>
          <w:lang w:eastAsia="zh-CN"/>
        </w:rPr>
        <w:tab/>
      </w: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noWrap w:val="0"/>
            <w:vAlign w:val="center"/>
          </w:tcPr>
          <w:p>
            <w:pPr>
              <w:rPr>
                <w:rFonts w:ascii="Times New Roman" w:hAnsi="Times New Roman"/>
                <w:b/>
                <w:bCs/>
              </w:rPr>
            </w:pPr>
            <w:r>
              <w:rPr>
                <w:rFonts w:ascii="Times New Roman" w:hAnsi="宋体"/>
                <w:b/>
                <w:bCs/>
              </w:rPr>
              <w:t>表</w:t>
            </w:r>
            <w:r>
              <w:rPr>
                <w:rFonts w:ascii="Times New Roman" w:hAnsi="Times New Roman"/>
                <w:b/>
                <w:bCs/>
              </w:rPr>
              <w:t xml:space="preserve">1   </w:t>
            </w:r>
            <w:r>
              <w:rPr>
                <w:rFonts w:ascii="Times New Roman" w:hAnsi="宋体"/>
                <w:b/>
                <w:bCs/>
              </w:rPr>
              <w:t>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noWrap w:val="0"/>
            <w:vAlign w:val="center"/>
          </w:tcPr>
          <w:p>
            <w:pPr>
              <w:rPr>
                <w:rFonts w:ascii="Times New Roman" w:hAnsi="Times New Roman"/>
              </w:rPr>
            </w:pPr>
            <w:r>
              <w:rPr>
                <w:rFonts w:ascii="Times New Roman" w:hAnsi="宋体"/>
              </w:rPr>
              <w:t>单位名称：天津仁新玻璃材料有限公司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noWrap w:val="0"/>
            <w:vAlign w:val="center"/>
          </w:tcPr>
          <w:p>
            <w:pPr>
              <w:rPr>
                <w:rFonts w:ascii="Times New Roman" w:hAnsi="Times New Roman"/>
              </w:rPr>
            </w:pPr>
            <w:r>
              <w:rPr>
                <w:rFonts w:ascii="Times New Roman" w:hAnsi="宋体"/>
              </w:rPr>
              <w:t>危废经营许可证编号：</w:t>
            </w:r>
            <w:r>
              <w:rPr>
                <w:rFonts w:ascii="Times New Roman" w:hAnsi="Times New Roman"/>
              </w:rPr>
              <w:t>TJHW020</w:t>
            </w:r>
          </w:p>
        </w:tc>
        <w:tc>
          <w:tcPr>
            <w:tcW w:w="4200" w:type="dxa"/>
            <w:noWrap w:val="0"/>
            <w:vAlign w:val="center"/>
          </w:tcPr>
          <w:p>
            <w:pPr>
              <w:rPr>
                <w:rFonts w:ascii="Times New Roman" w:hAnsi="Times New Roman"/>
              </w:rPr>
            </w:pPr>
            <w:r>
              <w:rPr>
                <w:rFonts w:ascii="Times New Roman" w:hAnsi="宋体"/>
              </w:rPr>
              <w:t>有效期：</w:t>
            </w:r>
            <w:r>
              <w:rPr>
                <w:rFonts w:ascii="Times New Roman" w:hAnsi="Times New Roman"/>
                <w:sz w:val="18"/>
                <w:szCs w:val="18"/>
              </w:rPr>
              <w:t>20</w:t>
            </w:r>
            <w:r>
              <w:rPr>
                <w:rFonts w:hint="eastAsia"/>
                <w:sz w:val="18"/>
                <w:szCs w:val="18"/>
                <w:lang w:val="en-US" w:eastAsia="zh-CN"/>
              </w:rPr>
              <w:t>21</w:t>
            </w:r>
            <w:r>
              <w:rPr>
                <w:rFonts w:ascii="Times New Roman" w:hAnsi="宋体"/>
                <w:sz w:val="18"/>
                <w:szCs w:val="18"/>
              </w:rPr>
              <w:t>年</w:t>
            </w:r>
            <w:r>
              <w:rPr>
                <w:rFonts w:hint="eastAsia" w:ascii="Times New Roman" w:hAnsi="Times New Roman"/>
                <w:sz w:val="18"/>
                <w:szCs w:val="18"/>
                <w:lang w:val="en-US" w:eastAsia="zh-CN"/>
              </w:rPr>
              <w:t>1</w:t>
            </w:r>
            <w:r>
              <w:rPr>
                <w:rFonts w:hint="eastAsia"/>
                <w:sz w:val="18"/>
                <w:szCs w:val="18"/>
                <w:lang w:val="en-US" w:eastAsia="zh-CN"/>
              </w:rPr>
              <w:t>1</w:t>
            </w:r>
            <w:r>
              <w:rPr>
                <w:rFonts w:ascii="Times New Roman" w:hAnsi="宋体"/>
                <w:sz w:val="18"/>
                <w:szCs w:val="18"/>
              </w:rPr>
              <w:t>月</w:t>
            </w:r>
            <w:r>
              <w:rPr>
                <w:rFonts w:hint="eastAsia" w:ascii="Times New Roman" w:hAnsi="Times New Roman"/>
                <w:sz w:val="18"/>
                <w:szCs w:val="18"/>
                <w:lang w:val="en-US" w:eastAsia="zh-CN"/>
              </w:rPr>
              <w:t>2</w:t>
            </w:r>
            <w:r>
              <w:rPr>
                <w:rFonts w:hint="eastAsia"/>
                <w:sz w:val="18"/>
                <w:szCs w:val="18"/>
                <w:lang w:val="en-US" w:eastAsia="zh-CN"/>
              </w:rPr>
              <w:t>3</w:t>
            </w:r>
            <w:r>
              <w:rPr>
                <w:rFonts w:ascii="Times New Roman" w:hAnsi="宋体"/>
                <w:sz w:val="18"/>
                <w:szCs w:val="18"/>
              </w:rPr>
              <w:t>日至</w:t>
            </w:r>
            <w:r>
              <w:rPr>
                <w:rFonts w:ascii="Times New Roman" w:hAnsi="Times New Roman"/>
                <w:sz w:val="18"/>
                <w:szCs w:val="18"/>
              </w:rPr>
              <w:t>20</w:t>
            </w:r>
            <w:r>
              <w:rPr>
                <w:rFonts w:hint="eastAsia"/>
                <w:sz w:val="18"/>
                <w:szCs w:val="18"/>
                <w:lang w:val="en-US" w:eastAsia="zh-CN"/>
              </w:rPr>
              <w:t>26</w:t>
            </w:r>
            <w:r>
              <w:rPr>
                <w:rFonts w:ascii="Times New Roman" w:hAnsi="宋体"/>
                <w:sz w:val="18"/>
                <w:szCs w:val="18"/>
              </w:rPr>
              <w:t>年</w:t>
            </w:r>
            <w:r>
              <w:rPr>
                <w:rFonts w:hint="eastAsia" w:ascii="Times New Roman" w:hAnsi="Times New Roman"/>
                <w:sz w:val="18"/>
                <w:szCs w:val="18"/>
                <w:lang w:val="en-US" w:eastAsia="zh-CN"/>
              </w:rPr>
              <w:t>1</w:t>
            </w:r>
            <w:r>
              <w:rPr>
                <w:rFonts w:hint="eastAsia"/>
                <w:sz w:val="18"/>
                <w:szCs w:val="18"/>
                <w:lang w:val="en-US" w:eastAsia="zh-CN"/>
              </w:rPr>
              <w:t>1</w:t>
            </w:r>
            <w:r>
              <w:rPr>
                <w:rFonts w:ascii="Times New Roman" w:hAnsi="宋体"/>
                <w:sz w:val="18"/>
                <w:szCs w:val="18"/>
              </w:rPr>
              <w:t>月</w:t>
            </w:r>
            <w:r>
              <w:rPr>
                <w:rFonts w:hint="eastAsia" w:ascii="Times New Roman" w:hAnsi="Times New Roman"/>
                <w:sz w:val="18"/>
                <w:szCs w:val="18"/>
                <w:lang w:val="en-US" w:eastAsia="zh-CN"/>
              </w:rPr>
              <w:t>2</w:t>
            </w:r>
            <w:r>
              <w:rPr>
                <w:rFonts w:hint="eastAsia"/>
                <w:sz w:val="18"/>
                <w:szCs w:val="18"/>
                <w:lang w:val="en-US" w:eastAsia="zh-CN"/>
              </w:rPr>
              <w:t>2</w:t>
            </w:r>
            <w:r>
              <w:rPr>
                <w:rFonts w:ascii="Times New Roman" w:hAnsi="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9345" w:type="dxa"/>
            <w:gridSpan w:val="2"/>
            <w:noWrap w:val="0"/>
            <w:vAlign w:val="top"/>
          </w:tcPr>
          <w:p>
            <w:pPr>
              <w:rPr>
                <w:rFonts w:ascii="Times New Roman" w:hAnsi="Times New Roman"/>
              </w:rPr>
            </w:pPr>
            <w:r>
              <w:rPr>
                <w:rFonts w:ascii="Times New Roman" w:hAnsi="宋体"/>
              </w:rPr>
              <w:t>经营核准内容（废物名称、类别、数量）：</w:t>
            </w:r>
          </w:p>
          <w:p>
            <w:pPr>
              <w:rPr>
                <w:rFonts w:ascii="Times New Roman" w:hAnsi="Times New Roman"/>
              </w:rPr>
            </w:pPr>
            <w:r>
              <w:rPr>
                <w:rFonts w:ascii="Times New Roman" w:hAnsi="宋体"/>
              </w:rPr>
              <w:t>废物名称：废阴极射线管及其玻璃</w:t>
            </w:r>
            <w:r>
              <w:rPr>
                <w:rFonts w:ascii="Times New Roman" w:hAnsi="Times New Roman"/>
              </w:rPr>
              <w:t xml:space="preserve"> </w:t>
            </w:r>
            <w:r>
              <w:rPr>
                <w:rFonts w:ascii="Times New Roman" w:hAnsi="宋体"/>
              </w:rPr>
              <w:t>类别：</w:t>
            </w:r>
            <w:r>
              <w:rPr>
                <w:rFonts w:ascii="Times New Roman" w:hAnsi="Times New Roman"/>
              </w:rPr>
              <w:t>HW49</w:t>
            </w:r>
            <w:r>
              <w:rPr>
                <w:rFonts w:ascii="Times New Roman" w:hAnsi="宋体"/>
              </w:rPr>
              <w:t>类其它废物</w:t>
            </w:r>
            <w:r>
              <w:rPr>
                <w:rFonts w:ascii="Times New Roman" w:hAnsi="Times New Roman"/>
              </w:rPr>
              <w:t xml:space="preserve"> </w:t>
            </w:r>
            <w:r>
              <w:rPr>
                <w:rFonts w:ascii="Times New Roman" w:hAnsi="宋体"/>
              </w:rPr>
              <w:t>数量：</w:t>
            </w:r>
            <w:r>
              <w:rPr>
                <w:rFonts w:ascii="Times New Roman" w:hAnsi="Times New Roman"/>
              </w:rPr>
              <w:t>90000</w:t>
            </w:r>
            <w:r>
              <w:rPr>
                <w:rFonts w:ascii="Times New Roman" w:hAnsi="宋体"/>
              </w:rPr>
              <w:t>吨</w:t>
            </w:r>
          </w:p>
        </w:tc>
      </w:tr>
    </w:tbl>
    <w:p>
      <w:pPr>
        <w:numPr>
          <w:ilvl w:val="0"/>
          <w:numId w:val="0"/>
        </w:numPr>
        <w:rPr>
          <w:rFonts w:ascii="Times New Roman" w:hAnsi="宋体"/>
          <w:sz w:val="28"/>
          <w:szCs w:val="28"/>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noWrap w:val="0"/>
            <w:vAlign w:val="center"/>
          </w:tcPr>
          <w:p>
            <w:pPr>
              <w:rPr>
                <w:rFonts w:ascii="Times New Roman" w:hAnsi="Times New Roman"/>
                <w:b/>
                <w:bCs/>
              </w:rPr>
            </w:pPr>
            <w:r>
              <w:rPr>
                <w:rFonts w:ascii="Times New Roman" w:hAnsi="宋体"/>
                <w:b/>
                <w:bCs/>
              </w:rPr>
              <w:t>表</w:t>
            </w:r>
            <w:r>
              <w:rPr>
                <w:rFonts w:ascii="Times New Roman" w:hAnsi="Times New Roman"/>
                <w:b/>
                <w:bCs/>
              </w:rPr>
              <w:t xml:space="preserve">2   </w:t>
            </w:r>
            <w:r>
              <w:rPr>
                <w:rFonts w:ascii="Times New Roman" w:hAnsi="宋体"/>
                <w:b/>
                <w:bCs/>
              </w:rPr>
              <w:t>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9345" w:type="dxa"/>
            <w:noWrap w:val="0"/>
            <w:vAlign w:val="top"/>
          </w:tcPr>
          <w:p>
            <w:pPr>
              <w:spacing w:line="300" w:lineRule="exact"/>
              <w:rPr>
                <w:rFonts w:ascii="Times New Roman" w:hAnsi="Times New Roman"/>
                <w:szCs w:val="24"/>
              </w:rPr>
            </w:pPr>
            <w:r>
              <w:rPr>
                <w:rFonts w:ascii="Times New Roman" w:hAnsi="宋体"/>
                <w:szCs w:val="24"/>
              </w:rPr>
              <w:t>文字描述及工艺流程图</w:t>
            </w: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Cs/>
              </w:rPr>
            </w:pPr>
          </w:p>
        </w:tc>
      </w:tr>
    </w:tbl>
    <w:p>
      <w:pPr>
        <w:jc w:val="center"/>
        <w:rPr>
          <w:sz w:val="36"/>
          <w:szCs w:val="36"/>
        </w:rPr>
      </w:pPr>
      <w:r>
        <w:rPr>
          <w:rFonts w:hint="eastAsia"/>
          <w:sz w:val="32"/>
          <w:szCs w:val="32"/>
        </w:rPr>
        <w:t>天津仁新玻璃材料有限公司</w:t>
      </w:r>
    </w:p>
    <w:p>
      <w:pPr>
        <w:jc w:val="center"/>
        <w:rPr>
          <w:b/>
          <w:bCs/>
          <w:sz w:val="32"/>
          <w:szCs w:val="32"/>
        </w:rPr>
      </w:pPr>
      <w:r>
        <w:rPr>
          <w:rFonts w:hint="eastAsia"/>
          <w:b/>
          <w:bCs/>
          <w:sz w:val="32"/>
          <w:szCs w:val="32"/>
        </w:rPr>
        <w:t>CRT玻璃处理工艺简介</w:t>
      </w:r>
    </w:p>
    <w:p>
      <w:pPr>
        <w:jc w:val="center"/>
        <w:rPr>
          <w:b/>
          <w:bCs/>
          <w:sz w:val="36"/>
          <w:szCs w:val="36"/>
        </w:rPr>
      </w:pPr>
    </w:p>
    <w:p>
      <w:pPr>
        <w:spacing w:line="560" w:lineRule="exact"/>
        <w:ind w:firstLine="560" w:firstLineChars="200"/>
        <w:rPr>
          <w:rFonts w:ascii="仿宋_GB2312" w:eastAsia="仿宋_GB2312"/>
          <w:kern w:val="0"/>
          <w:sz w:val="28"/>
          <w:szCs w:val="28"/>
        </w:rPr>
      </w:pPr>
      <w:r>
        <w:rPr>
          <w:rFonts w:hint="eastAsia" w:ascii="仿宋_GB2312" w:eastAsia="仿宋_GB2312"/>
          <w:kern w:val="0"/>
          <w:sz w:val="28"/>
          <w:szCs w:val="28"/>
        </w:rPr>
        <w:t>入厂后的CRT玻璃，经过严格的人工分选，去除杂物，将屏、锥分开。分拣好的CRT玻璃被运送至清洗机进料口（利用湿法喷淋防止产生粉尘），玻璃从进料口进入滚筒清洗机，经过振动筛和循环水进行清洗，去除玻璃表面涂层，最后将清洗后的玻璃进行装袋。</w:t>
      </w:r>
    </w:p>
    <w:p>
      <w:pPr>
        <w:spacing w:line="560" w:lineRule="exact"/>
        <w:ind w:firstLine="560" w:firstLineChars="200"/>
        <w:rPr>
          <w:rFonts w:ascii="仿宋_GB2312" w:eastAsia="仿宋_GB2312"/>
          <w:kern w:val="0"/>
          <w:sz w:val="28"/>
          <w:szCs w:val="28"/>
        </w:rPr>
      </w:pPr>
      <w:r>
        <w:rPr>
          <w:rFonts w:hint="eastAsia" w:ascii="仿宋_GB2312" w:eastAsia="仿宋_GB2312"/>
          <w:kern w:val="0"/>
          <w:sz w:val="28"/>
          <w:szCs w:val="28"/>
        </w:rPr>
        <w:t>清洗过程产生的废水经过水处理系统处理后循环使用。脱水后的污泥和废渣收集起来，交由天津合佳威立雅环境服务有限公司进行无害化处置。</w:t>
      </w:r>
    </w:p>
    <w:p>
      <w:pPr>
        <w:spacing w:line="360" w:lineRule="auto"/>
        <w:ind w:firstLine="560" w:firstLineChars="200"/>
        <w:rPr>
          <w:rFonts w:ascii="仿宋_GB2312" w:eastAsia="仿宋_GB2312"/>
          <w:kern w:val="0"/>
          <w:sz w:val="28"/>
          <w:szCs w:val="28"/>
        </w:rPr>
      </w:pPr>
    </w:p>
    <w:p/>
    <w:p>
      <w:pPr>
        <w:jc w:val="center"/>
        <w:rPr>
          <w:rFonts w:ascii="仿宋_GB2312" w:eastAsia="仿宋_GB2312"/>
          <w:b/>
          <w:bCs/>
          <w:sz w:val="24"/>
        </w:rPr>
      </w:pPr>
      <w:r>
        <w:rPr>
          <w:rFonts w:hint="eastAsia" w:ascii="仿宋_GB2312" w:eastAsia="仿宋_GB2312"/>
          <w:b/>
          <w:bCs/>
          <w:sz w:val="24"/>
        </w:rPr>
        <w:t>CRT玻璃处理工艺流程图</w:t>
      </w:r>
    </w:p>
    <w:p>
      <w:pPr>
        <w:rPr>
          <w:rFonts w:ascii="仿宋" w:hAnsi="仿宋" w:eastAsia="仿宋" w:cs="仿宋"/>
        </w:rPr>
      </w:pPr>
    </w:p>
    <w:p>
      <w:pPr>
        <w:jc w:val="center"/>
        <w:rPr>
          <w:rFonts w:hint="eastAsia" w:ascii="仿宋" w:hAnsi="仿宋" w:eastAsia="仿宋" w:cs="仿宋"/>
          <w:sz w:val="28"/>
          <w:szCs w:val="28"/>
        </w:rPr>
      </w:pPr>
      <w:r>
        <w:rPr>
          <w:rFonts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595630</wp:posOffset>
                </wp:positionV>
                <wp:extent cx="700405" cy="396240"/>
                <wp:effectExtent l="4445" t="4445" r="19050" b="18415"/>
                <wp:wrapNone/>
                <wp:docPr id="26" name="矩形 59"/>
                <wp:cNvGraphicFramePr/>
                <a:graphic xmlns:a="http://schemas.openxmlformats.org/drawingml/2006/main">
                  <a:graphicData uri="http://schemas.microsoft.com/office/word/2010/wordprocessingShape">
                    <wps:wsp>
                      <wps:cNvSpPr/>
                      <wps:spPr>
                        <a:xfrm>
                          <a:off x="0" y="560705"/>
                          <a:ext cx="69405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cs="仿宋"/>
                              </w:rPr>
                            </w:pPr>
                            <w:r>
                              <w:rPr>
                                <w:rFonts w:hint="eastAsia" w:ascii="仿宋" w:hAnsi="仿宋" w:eastAsia="仿宋" w:cs="仿宋"/>
                              </w:rPr>
                              <w:t>CRT玻璃</w:t>
                            </w:r>
                          </w:p>
                        </w:txbxContent>
                      </wps:txbx>
                      <wps:bodyPr upright="1"/>
                    </wps:wsp>
                  </a:graphicData>
                </a:graphic>
              </wp:anchor>
            </w:drawing>
          </mc:Choice>
          <mc:Fallback>
            <w:pict>
              <v:rect id="矩形 59" o:spid="_x0000_s1026" o:spt="1" style="position:absolute;left:0pt;margin-left:-0.4pt;margin-top:46.9pt;height:31.2pt;width:55.15pt;z-index:251660288;mso-width-relative:page;mso-height-relative:page;" fillcolor="#FFFFFF" filled="t" stroked="t" coordsize="21600,21600" o:gfxdata="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KkAC1gAAAAgBAAAPAAAAAAAAAAEAIAAA&#10;ACIAAABkcnMvZG93bnJldi54bWxQSwECFAAUAAAACACHTuJAbLZTuw4CAAA9BAAADgAAAAAAAAAB&#10;ACAAAAAlAQAAZHJzL2Uyb0RvYy54bWxQSwUGAAAAAAYABgBZAQAApQUA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rPr>
                        <w:t>CRT玻璃</w:t>
                      </w:r>
                    </w:p>
                  </w:txbxContent>
                </v:textbox>
              </v:rect>
            </w:pict>
          </mc:Fallback>
        </mc:AlternateContent>
      </w:r>
      <w:r>
        <w:rPr>
          <w:rFonts w:ascii="仿宋" w:hAnsi="仿宋" w:eastAsia="仿宋" w:cs="仿宋"/>
          <w:sz w:val="28"/>
          <w:szCs w:val="28"/>
        </w:rPr>
        <mc:AlternateContent>
          <mc:Choice Requires="wpc">
            <w:drawing>
              <wp:inline distT="0" distB="0" distL="114300" distR="114300">
                <wp:extent cx="5290820" cy="3523615"/>
                <wp:effectExtent l="0" t="5080" r="0" b="0"/>
                <wp:docPr id="1" name="画布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直线 60"/>
                        <wps:cNvCnPr/>
                        <wps:spPr>
                          <a:xfrm>
                            <a:off x="695325" y="707390"/>
                            <a:ext cx="228600" cy="635"/>
                          </a:xfrm>
                          <a:prstGeom prst="line">
                            <a:avLst/>
                          </a:prstGeom>
                          <a:ln w="9525" cap="flat" cmpd="sng">
                            <a:solidFill>
                              <a:srgbClr val="000000"/>
                            </a:solidFill>
                            <a:prstDash val="solid"/>
                            <a:headEnd type="none" w="med" len="med"/>
                            <a:tailEnd type="triangle" w="med" len="med"/>
                          </a:ln>
                          <a:effectLst/>
                        </wps:spPr>
                        <wps:bodyPr upright="1"/>
                      </wps:wsp>
                      <wps:wsp>
                        <wps:cNvPr id="29" name="矩形 61"/>
                        <wps:cNvSpPr/>
                        <wps:spPr>
                          <a:xfrm>
                            <a:off x="914438" y="461478"/>
                            <a:ext cx="685829" cy="49574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cs="仿宋"/>
                                </w:rPr>
                              </w:pPr>
                              <w:r>
                                <w:rPr>
                                  <w:rFonts w:hint="eastAsia" w:ascii="仿宋" w:hAnsi="仿宋" w:eastAsia="仿宋" w:cs="仿宋"/>
                                </w:rPr>
                                <w:t>人工分拣、分类</w:t>
                              </w:r>
                            </w:p>
                          </w:txbxContent>
                        </wps:txbx>
                        <wps:bodyPr upright="1"/>
                      </wps:wsp>
                      <wps:wsp>
                        <wps:cNvPr id="31" name="直线 63"/>
                        <wps:cNvCnPr/>
                        <wps:spPr>
                          <a:xfrm flipV="1">
                            <a:off x="1713865" y="306705"/>
                            <a:ext cx="1270" cy="375920"/>
                          </a:xfrm>
                          <a:prstGeom prst="line">
                            <a:avLst/>
                          </a:prstGeom>
                          <a:ln w="9525" cap="flat" cmpd="sng">
                            <a:solidFill>
                              <a:srgbClr val="000000"/>
                            </a:solidFill>
                            <a:prstDash val="solid"/>
                            <a:headEnd type="none" w="med" len="med"/>
                            <a:tailEnd type="triangle" w="med" len="med"/>
                          </a:ln>
                          <a:effectLst/>
                        </wps:spPr>
                        <wps:bodyPr upright="1"/>
                      </wps:wsp>
                      <wps:wsp>
                        <wps:cNvPr id="32" name="矩形 64"/>
                        <wps:cNvSpPr/>
                        <wps:spPr>
                          <a:xfrm>
                            <a:off x="1362710" y="0"/>
                            <a:ext cx="70294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杂物</w:t>
                              </w:r>
                            </w:p>
                          </w:txbxContent>
                        </wps:txbx>
                        <wps:bodyPr upright="1"/>
                      </wps:wsp>
                      <wps:wsp>
                        <wps:cNvPr id="33" name="矩形 65"/>
                        <wps:cNvSpPr/>
                        <wps:spPr>
                          <a:xfrm>
                            <a:off x="1876425" y="452120"/>
                            <a:ext cx="686435" cy="4959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玻璃清洗加工</w:t>
                              </w:r>
                            </w:p>
                          </w:txbxContent>
                        </wps:txbx>
                        <wps:bodyPr upright="1"/>
                      </wps:wsp>
                      <wps:wsp>
                        <wps:cNvPr id="36" name="直线 68"/>
                        <wps:cNvCnPr/>
                        <wps:spPr>
                          <a:xfrm>
                            <a:off x="3314065" y="676275"/>
                            <a:ext cx="11430" cy="1231265"/>
                          </a:xfrm>
                          <a:prstGeom prst="line">
                            <a:avLst/>
                          </a:prstGeom>
                          <a:ln w="9525" cap="flat" cmpd="sng">
                            <a:solidFill>
                              <a:srgbClr val="000000"/>
                            </a:solidFill>
                            <a:prstDash val="solid"/>
                            <a:headEnd type="none" w="med" len="med"/>
                            <a:tailEnd type="triangle" w="med" len="med"/>
                          </a:ln>
                          <a:effectLst/>
                        </wps:spPr>
                        <wps:bodyPr upright="1"/>
                      </wps:wsp>
                      <wps:wsp>
                        <wps:cNvPr id="37" name="直线 69"/>
                        <wps:cNvCnPr/>
                        <wps:spPr>
                          <a:xfrm flipV="1">
                            <a:off x="2743200" y="1149350"/>
                            <a:ext cx="1104265" cy="5715"/>
                          </a:xfrm>
                          <a:prstGeom prst="line">
                            <a:avLst/>
                          </a:prstGeom>
                          <a:ln w="9525" cap="flat" cmpd="sng">
                            <a:solidFill>
                              <a:srgbClr val="000000"/>
                            </a:solidFill>
                            <a:prstDash val="solid"/>
                            <a:headEnd type="none" w="med" len="med"/>
                            <a:tailEnd type="none" w="med" len="med"/>
                          </a:ln>
                          <a:effectLst/>
                        </wps:spPr>
                        <wps:bodyPr upright="1"/>
                      </wps:wsp>
                      <wps:wsp>
                        <wps:cNvPr id="38" name="直线 70"/>
                        <wps:cNvCnPr/>
                        <wps:spPr>
                          <a:xfrm>
                            <a:off x="2743315" y="1154788"/>
                            <a:ext cx="0" cy="297445"/>
                          </a:xfrm>
                          <a:prstGeom prst="line">
                            <a:avLst/>
                          </a:prstGeom>
                          <a:ln w="9525" cap="flat" cmpd="sng">
                            <a:solidFill>
                              <a:srgbClr val="000000"/>
                            </a:solidFill>
                            <a:prstDash val="solid"/>
                            <a:headEnd type="none" w="med" len="med"/>
                            <a:tailEnd type="triangle" w="med" len="med"/>
                          </a:ln>
                          <a:effectLst/>
                        </wps:spPr>
                        <wps:bodyPr upright="1"/>
                      </wps:wsp>
                      <wps:wsp>
                        <wps:cNvPr id="39" name="直线 71"/>
                        <wps:cNvCnPr/>
                        <wps:spPr>
                          <a:xfrm>
                            <a:off x="3839210" y="1155065"/>
                            <a:ext cx="0" cy="297180"/>
                          </a:xfrm>
                          <a:prstGeom prst="line">
                            <a:avLst/>
                          </a:prstGeom>
                          <a:ln w="9525" cap="flat" cmpd="sng">
                            <a:solidFill>
                              <a:srgbClr val="000000"/>
                            </a:solidFill>
                            <a:prstDash val="solid"/>
                            <a:headEnd type="none" w="med" len="med"/>
                            <a:tailEnd type="triangle" w="med" len="med"/>
                          </a:ln>
                          <a:effectLst/>
                        </wps:spPr>
                        <wps:bodyPr upright="1"/>
                      </wps:wsp>
                      <wps:wsp>
                        <wps:cNvPr id="40" name="矩形 72"/>
                        <wps:cNvSpPr/>
                        <wps:spPr>
                          <a:xfrm>
                            <a:off x="2400036" y="1452233"/>
                            <a:ext cx="800499" cy="2967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ascii="仿宋" w:hAnsi="仿宋" w:eastAsia="仿宋" w:cs="仿宋"/>
                                </w:rPr>
                                <w:t>成品玻璃</w:t>
                              </w:r>
                            </w:p>
                          </w:txbxContent>
                        </wps:txbx>
                        <wps:bodyPr upright="1"/>
                      </wps:wsp>
                      <wps:wsp>
                        <wps:cNvPr id="41" name="矩形 73"/>
                        <wps:cNvSpPr/>
                        <wps:spPr>
                          <a:xfrm>
                            <a:off x="3458210" y="1452245"/>
                            <a:ext cx="742315" cy="295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废渣</w:t>
                              </w:r>
                            </w:p>
                          </w:txbxContent>
                        </wps:txbx>
                        <wps:bodyPr upright="1"/>
                      </wps:wsp>
                      <wps:wsp>
                        <wps:cNvPr id="42" name="矩形 74"/>
                        <wps:cNvSpPr/>
                        <wps:spPr>
                          <a:xfrm>
                            <a:off x="2971800" y="1908810"/>
                            <a:ext cx="76073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废水处理系统</w:t>
                              </w:r>
                            </w:p>
                          </w:txbxContent>
                        </wps:txbx>
                        <wps:bodyPr upright="1"/>
                      </wps:wsp>
                      <wps:wsp>
                        <wps:cNvPr id="44" name="矩形 80"/>
                        <wps:cNvSpPr/>
                        <wps:spPr>
                          <a:xfrm>
                            <a:off x="2992755" y="2687955"/>
                            <a:ext cx="74993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废渣</w:t>
                              </w:r>
                            </w:p>
                          </w:txbxContent>
                        </wps:txbx>
                        <wps:bodyPr upright="1"/>
                      </wps:wsp>
                      <wps:wsp>
                        <wps:cNvPr id="45" name="直线 81"/>
                        <wps:cNvCnPr>
                          <a:endCxn id="46" idx="3"/>
                        </wps:cNvCnPr>
                        <wps:spPr>
                          <a:xfrm flipH="1">
                            <a:off x="2639060" y="2153920"/>
                            <a:ext cx="332740" cy="7620"/>
                          </a:xfrm>
                          <a:prstGeom prst="line">
                            <a:avLst/>
                          </a:prstGeom>
                          <a:ln w="9525" cap="flat" cmpd="sng">
                            <a:solidFill>
                              <a:srgbClr val="000000"/>
                            </a:solidFill>
                            <a:prstDash val="solid"/>
                            <a:headEnd type="none" w="med" len="med"/>
                            <a:tailEnd type="triangle" w="med" len="med"/>
                          </a:ln>
                          <a:effectLst/>
                        </wps:spPr>
                        <wps:bodyPr upright="1"/>
                      </wps:wsp>
                      <wps:wsp>
                        <wps:cNvPr id="46" name="矩形 82"/>
                        <wps:cNvSpPr/>
                        <wps:spPr>
                          <a:xfrm>
                            <a:off x="1838325" y="1913890"/>
                            <a:ext cx="80073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处理后净水回用</w:t>
                              </w:r>
                            </w:p>
                          </w:txbxContent>
                        </wps:txbx>
                        <wps:bodyPr upright="1"/>
                      </wps:wsp>
                      <wps:wsp>
                        <wps:cNvPr id="47" name="直线 83"/>
                        <wps:cNvCnPr/>
                        <wps:spPr>
                          <a:xfrm flipH="1" flipV="1">
                            <a:off x="2199640" y="968375"/>
                            <a:ext cx="19050" cy="923925"/>
                          </a:xfrm>
                          <a:prstGeom prst="line">
                            <a:avLst/>
                          </a:prstGeom>
                          <a:ln w="9525" cap="flat" cmpd="sng">
                            <a:solidFill>
                              <a:srgbClr val="000000"/>
                            </a:solidFill>
                            <a:prstDash val="solid"/>
                            <a:headEnd type="none" w="med" len="med"/>
                            <a:tailEnd type="triangle" w="med" len="med"/>
                          </a:ln>
                          <a:effectLst/>
                        </wps:spPr>
                        <wps:bodyPr upright="1"/>
                      </wps:wsp>
                      <wps:wsp>
                        <wps:cNvPr id="48" name="直线 84"/>
                        <wps:cNvCnPr/>
                        <wps:spPr>
                          <a:xfrm>
                            <a:off x="4209415" y="1596390"/>
                            <a:ext cx="467995" cy="3175"/>
                          </a:xfrm>
                          <a:prstGeom prst="line">
                            <a:avLst/>
                          </a:prstGeom>
                          <a:ln w="9525" cap="flat" cmpd="sng">
                            <a:solidFill>
                              <a:srgbClr val="000000"/>
                            </a:solidFill>
                            <a:prstDash val="solid"/>
                            <a:headEnd type="none" w="med" len="med"/>
                            <a:tailEnd type="triangle" w="med" len="med"/>
                          </a:ln>
                          <a:effectLst/>
                        </wps:spPr>
                        <wps:bodyPr upright="1"/>
                      </wps:wsp>
                      <wps:wsp>
                        <wps:cNvPr id="49" name="直线 85"/>
                        <wps:cNvCnPr/>
                        <wps:spPr>
                          <a:xfrm>
                            <a:off x="3752215" y="2835275"/>
                            <a:ext cx="942975" cy="3175"/>
                          </a:xfrm>
                          <a:prstGeom prst="line">
                            <a:avLst/>
                          </a:prstGeom>
                          <a:ln w="9525" cap="flat" cmpd="sng">
                            <a:solidFill>
                              <a:srgbClr val="000000"/>
                            </a:solidFill>
                            <a:prstDash val="solid"/>
                            <a:headEnd type="none" w="med" len="med"/>
                            <a:tailEnd type="triangle" w="med" len="med"/>
                          </a:ln>
                          <a:effectLst/>
                        </wps:spPr>
                        <wps:bodyPr upright="1"/>
                      </wps:wsp>
                      <wps:wsp>
                        <wps:cNvPr id="50" name="矩形 87"/>
                        <wps:cNvSpPr/>
                        <wps:spPr>
                          <a:xfrm>
                            <a:off x="4686935" y="1377315"/>
                            <a:ext cx="478790" cy="1636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天津合佳威立雅环境服务有限公司</w:t>
                              </w:r>
                            </w:p>
                          </w:txbxContent>
                        </wps:txbx>
                        <wps:bodyPr upright="1"/>
                      </wps:wsp>
                      <wps:wsp>
                        <wps:cNvPr id="53" name="直线 66"/>
                        <wps:cNvCnPr/>
                        <wps:spPr>
                          <a:xfrm flipV="1">
                            <a:off x="1617980" y="682625"/>
                            <a:ext cx="248285" cy="5715"/>
                          </a:xfrm>
                          <a:prstGeom prst="line">
                            <a:avLst/>
                          </a:prstGeom>
                          <a:ln w="9525" cap="flat" cmpd="sng">
                            <a:solidFill>
                              <a:srgbClr val="000000"/>
                            </a:solidFill>
                            <a:prstDash val="solid"/>
                            <a:headEnd type="none" w="med" len="med"/>
                            <a:tailEnd type="triangle" w="med" len="med"/>
                          </a:ln>
                          <a:effectLst/>
                        </wps:spPr>
                        <wps:bodyPr upright="1"/>
                      </wps:wsp>
                      <wps:wsp>
                        <wps:cNvPr id="54" name="直线 70"/>
                        <wps:cNvCnPr/>
                        <wps:spPr>
                          <a:xfrm>
                            <a:off x="3361055" y="2418080"/>
                            <a:ext cx="0" cy="297180"/>
                          </a:xfrm>
                          <a:prstGeom prst="line">
                            <a:avLst/>
                          </a:prstGeom>
                          <a:ln w="9525" cap="flat" cmpd="sng">
                            <a:solidFill>
                              <a:srgbClr val="000000"/>
                            </a:solidFill>
                            <a:prstDash val="solid"/>
                            <a:headEnd type="none" w="med" len="med"/>
                            <a:tailEnd type="triangle" w="med" len="med"/>
                          </a:ln>
                          <a:effectLst/>
                        </wps:spPr>
                        <wps:bodyPr upright="1"/>
                      </wps:wsp>
                      <wps:wsp>
                        <wps:cNvPr id="55" name="直线 69"/>
                        <wps:cNvCnPr/>
                        <wps:spPr>
                          <a:xfrm flipV="1">
                            <a:off x="2570480" y="676275"/>
                            <a:ext cx="743585" cy="4445"/>
                          </a:xfrm>
                          <a:prstGeom prst="line">
                            <a:avLst/>
                          </a:prstGeom>
                          <a:ln w="9525" cap="flat" cmpd="sng">
                            <a:solidFill>
                              <a:srgbClr val="000000"/>
                            </a:solidFill>
                            <a:prstDash val="solid"/>
                            <a:headEnd type="none" w="med" len="med"/>
                            <a:tailEnd type="none" w="med" len="med"/>
                          </a:ln>
                          <a:effectLst/>
                        </wps:spPr>
                        <wps:bodyPr upright="1"/>
                      </wps:wsp>
                    </wpc:wpc>
                  </a:graphicData>
                </a:graphic>
              </wp:inline>
            </w:drawing>
          </mc:Choice>
          <mc:Fallback>
            <w:pict>
              <v:group id="画布 57" o:spid="_x0000_s1026" o:spt="203" style="height:277.45pt;width:416.6pt;" coordsize="5290820,3523615" editas="canvas" o:gfxdata="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">
                <o:lock v:ext="edit" aspectratio="f"/>
                <v:shape id="画布 57" o:spid="_x0000_s1026" style="position:absolute;left:0;top:0;height:3523615;width:5290820;" filled="f" stroked="f" coordsize="21600,21600" o:gfxdata="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">
                  <v:fill on="f" focussize="0,0"/>
                  <v:stroke on="f"/>
                  <v:imagedata o:title=""/>
                  <o:lock v:ext="edit" aspectratio="t"/>
                </v:shape>
                <v:line id="直线 60" o:spid="_x0000_s1026" o:spt="20" style="position:absolute;left:695325;top:707390;height:635;width:22860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XrfF2AAAAAUBAAAPAAAAAAAAAAEAIAAAACIAAABkcnMvZG93&#10;bnJldi54bWxQSwECFAAUAAAACACHTuJA3ZoetQACAAD6AwAADgAAAAAAAAABACAAAAAnAQAAZHJz&#10;L2Uyb0RvYy54bWxQSwUGAAAAAAYABgBZAQAAmQUAAAAA&#10;">
                  <v:fill on="f" focussize="0,0"/>
                  <v:stroke color="#000000" joinstyle="round" endarrow="block"/>
                  <v:imagedata o:title=""/>
                  <o:lock v:ext="edit" aspectratio="f"/>
                </v:line>
                <v:rect id="矩形 61" o:spid="_x0000_s1026" o:spt="1" style="position:absolute;left:914438;top:461478;height:495742;width:685829;"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9OMA/VAAAABQEAAA8AAAAAAAAAAQAg&#10;AAAAIgAAAGRycy9kb3ducmV2LnhtbFBLAQIUABQAAAAIAIdO4kCoUpZfEQIAAEIEAAAOAAAAAAAA&#10;AAEAIAAAACQBAABkcnMvZTJvRG9jLnhtbFBLBQYAAAAABgAGAFkBAACnBQA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rPr>
                          <w:t>人工分拣、分类</w:t>
                        </w:r>
                      </w:p>
                    </w:txbxContent>
                  </v:textbox>
                </v:rect>
                <v:line id="直线 63" o:spid="_x0000_s1026" o:spt="20" style="position:absolute;left:1713865;top:306705;flip:y;height:375920;width:1270;"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zYiltcAAAAFAQAADwAAAAAAAAABACAAAAAi&#10;AAAAZHJzL2Rvd25yZXYueG1sUEsBAhQAFAAAAAgAh07iQEwq8wILAgAABgQAAA4AAAAAAAAAAQAg&#10;AAAAJgEAAGRycy9lMm9Eb2MueG1sUEsFBgAAAAAGAAYAWQEAAKMFAAAAAA==&#10;">
                  <v:fill on="f" focussize="0,0"/>
                  <v:stroke color="#000000" joinstyle="round" endarrow="block"/>
                  <v:imagedata o:title=""/>
                  <o:lock v:ext="edit" aspectratio="f"/>
                </v:line>
                <v:rect id="矩形 64" o:spid="_x0000_s1026" o:spt="1" style="position:absolute;left:1362710;top:0;height:297180;width:70294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4wD9UAAAAFAQAADwAAAAAAAAABACAA&#10;AAAiAAAAZHJzL2Rvd25yZXYueG1sUEsBAhQAFAAAAAgAh07iQElCRGgQAgAAPgQAAA4AAAAAAAAA&#10;AQAgAAAAJAEAAGRycy9lMm9Eb2MueG1sUEsFBgAAAAAGAAYAWQEAAKYFA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杂物</w:t>
                        </w:r>
                      </w:p>
                    </w:txbxContent>
                  </v:textbox>
                </v:rect>
                <v:rect id="矩形 65" o:spid="_x0000_s1026" o:spt="1" style="position:absolute;left:1876425;top:452120;height:495935;width:6864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jAP1QAAAAUBAAAPAAAAAAAAAAEAIAAA&#10;ACIAAABkcnMvZG93bnJldi54bWxQSwECFAAUAAAACACHTuJA+PxIdQ8CAABDBAAADgAAAAAAAAAB&#10;ACAAAAAkAQAAZHJzL2Uyb0RvYy54bWxQSwUGAAAAAAYABgBZAQAApQU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玻璃清洗加工</w:t>
                        </w:r>
                      </w:p>
                    </w:txbxContent>
                  </v:textbox>
                </v:rect>
                <v:line id="直线 68" o:spid="_x0000_s1026" o:spt="20" style="position:absolute;left:3314065;top:676275;height:1231265;width:1143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et8XYAAAABQEAAA8AAAAAAAAAAQAgAAAAIgAAAGRy&#10;cy9kb3ducmV2LnhtbFBLAQIUABQAAAAIAIdO4kBIlxomBQIAAP4DAAAOAAAAAAAAAAEAIAAAACcB&#10;AABkcnMvZTJvRG9jLnhtbFBLBQYAAAAABgAGAFkBAACeBQAAAAA=&#10;">
                  <v:fill on="f" focussize="0,0"/>
                  <v:stroke color="#000000" joinstyle="round" endarrow="block"/>
                  <v:imagedata o:title=""/>
                  <o:lock v:ext="edit" aspectratio="f"/>
                </v:line>
                <v:line id="直线 69" o:spid="_x0000_s1026" o:spt="20" style="position:absolute;left:2743200;top:1149350;flip:y;height:5715;width:1104265;" filled="f" stroked="t" coordsize="21600,21600" o:gfxdata="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HBsL1QAAAAUBAAAPAAAAAAAAAAEAIAAAACIAAABkcnMvZG93&#10;bnJldi54bWxQSwECFAAUAAAACACHTuJA5dXSPgMCAAAEBAAADgAAAAAAAAABACAAAAAkAQAAZHJz&#10;L2Uyb0RvYy54bWxQSwUGAAAAAAYABgBZAQAAmQUAAAAA&#10;">
                  <v:fill on="f" focussize="0,0"/>
                  <v:stroke color="#000000" joinstyle="round"/>
                  <v:imagedata o:title=""/>
                  <o:lock v:ext="edit" aspectratio="f"/>
                </v:line>
                <v:line id="直线 70" o:spid="_x0000_s1026" o:spt="20" style="position:absolute;left:2743315;top:1154788;height:297445;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XrfF2AAAAAUBAAAPAAAAAAAAAAEAIAAAACIAAABkcnMvZG93&#10;bnJldi54bWxQSwECFAAUAAAACACHTuJA7NCyBAACAAD6AwAADgAAAAAAAAABACAAAAAnAQAAZHJz&#10;L2Uyb0RvYy54bWxQSwUGAAAAAAYABgBZAQAAmQUAAAAA&#10;">
                  <v:fill on="f" focussize="0,0"/>
                  <v:stroke color="#000000" joinstyle="round" endarrow="block"/>
                  <v:imagedata o:title=""/>
                  <o:lock v:ext="edit" aspectratio="f"/>
                </v:line>
                <v:line id="直线 71" o:spid="_x0000_s1026" o:spt="20" style="position:absolute;left:3839210;top:1155065;height:297180;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XrfF2AAAAAUBAAAPAAAAAAAAAAEAIAAAACIAAABkcnMv&#10;ZG93bnJldi54bWxQSwECFAAUAAAACACHTuJAhBYvswMCAAD6AwAADgAAAAAAAAABACAAAAAnAQAA&#10;ZHJzL2Uyb0RvYy54bWxQSwUGAAAAAAYABgBZAQAAnAUAAAAA&#10;">
                  <v:fill on="f" focussize="0,0"/>
                  <v:stroke color="#000000" joinstyle="round" endarrow="block"/>
                  <v:imagedata o:title=""/>
                  <o:lock v:ext="edit" aspectratio="f"/>
                </v:line>
                <v:rect id="矩形 72" o:spid="_x0000_s1026" o:spt="1" style="position:absolute;left:2400036;top:1452233;height:296716;width:800499;"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4wD9UAAAAFAQAADwAAAAAA&#10;AAABACAAAAAiAAAAZHJzL2Rvd25yZXYueG1sUEsBAhQAFAAAAAgAh07iQO6LJjgWAgAARAQAAA4A&#10;AAAAAAAAAQAgAAAAJAEAAGRycy9lMm9Eb2MueG1sUEsFBgAAAAAGAAYAWQEAAKwFAAAAAA==&#10;">
                  <v:fill on="t" focussize="0,0"/>
                  <v:stroke color="#000000" joinstyle="miter"/>
                  <v:imagedata o:title=""/>
                  <o:lock v:ext="edit" aspectratio="f"/>
                  <v:textbox>
                    <w:txbxContent>
                      <w:p>
                        <w:pPr>
                          <w:jc w:val="center"/>
                        </w:pPr>
                        <w:r>
                          <w:rPr>
                            <w:rFonts w:hint="eastAsia" w:ascii="仿宋" w:hAnsi="仿宋" w:eastAsia="仿宋" w:cs="仿宋"/>
                          </w:rPr>
                          <w:t>成品玻璃</w:t>
                        </w:r>
                      </w:p>
                    </w:txbxContent>
                  </v:textbox>
                </v:rect>
                <v:rect id="矩形 73" o:spid="_x0000_s1026" o:spt="1" style="position:absolute;left:3458210;top:1452245;height:295910;width:74231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4wD9UAAAAFAQAADwAAAAAAAAAB&#10;ACAAAAAiAAAAZHJzL2Rvd25yZXYueG1sUEsBAhQAFAAAAAgAh07iQKzR5OoTAgAARAQAAA4AAAAA&#10;AAAAAQAgAAAAJAEAAGRycy9lMm9Eb2MueG1sUEsFBgAAAAAGAAYAWQEAAKkFA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废渣</w:t>
                        </w:r>
                      </w:p>
                    </w:txbxContent>
                  </v:textbox>
                </v:rect>
                <v:rect id="矩形 74" o:spid="_x0000_s1026" o:spt="1" style="position:absolute;left:2971800;top:1908810;height:495300;width:760730;"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4wD9UAAAAFAQAADwAAAAAAAAAB&#10;ACAAAAAiAAAAZHJzL2Rvd25yZXYueG1sUEsBAhQAFAAAAAgAh07iQAQS6vITAgAARAQAAA4AAAAA&#10;AAAAAQAgAAAAJAEAAGRycy9lMm9Eb2MueG1sUEsFBgAAAAAGAAYAWQEAAKkFA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废水处理系统</w:t>
                        </w:r>
                      </w:p>
                    </w:txbxContent>
                  </v:textbox>
                </v:rect>
                <v:rect id="矩形 80" o:spid="_x0000_s1026" o:spt="1" style="position:absolute;left:2992755;top:2687955;height:297180;width:7499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9OMA/VAAAABQEAAA8AAAAAAAAAAQAg&#10;AAAAIgAAAGRycy9kb3ducmV2LnhtbFBLAQIUABQAAAAIAIdO4kB0Dl88EQIAAEQEAAAOAAAAAAAA&#10;AAEAIAAAACQBAABkcnMvZTJvRG9jLnhtbFBLBQYAAAAABgAGAFkBAACnBQ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废渣</w:t>
                        </w:r>
                      </w:p>
                    </w:txbxContent>
                  </v:textbox>
                </v:rect>
                <v:line id="直线 81" o:spid="_x0000_s1026" o:spt="20" style="position:absolute;left:2639060;top:2153920;flip:x;height:7620;width:332740;"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82IpbXAAAABQEA&#10;AA8AAAAAAAAAAQAgAAAAIgAAAGRycy9kb3ducmV2LnhtbFBLAQIUABQAAAAIAIdO4kDJ5E4ZGwIA&#10;AC8EAAAOAAAAAAAAAAEAIAAAACYBAABkcnMvZTJvRG9jLnhtbFBLBQYAAAAABgAGAFkBAACzBQAA&#10;AAA=&#10;">
                  <v:fill on="f" focussize="0,0"/>
                  <v:stroke color="#000000" joinstyle="round" endarrow="block"/>
                  <v:imagedata o:title=""/>
                  <o:lock v:ext="edit" aspectratio="f"/>
                </v:line>
                <v:rect id="矩形 82" o:spid="_x0000_s1026" o:spt="1" style="position:absolute;left:1838325;top:1913890;height:495300;width:8007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9OMA/VAAAABQEAAA8AAAAAAAAA&#10;AQAgAAAAIgAAAGRycy9kb3ducmV2LnhtbFBLAQIUABQAAAAIAIdO4kA+5gsQFAIAAEQEAAAOAAAA&#10;AAAAAAEAIAAAACQBAABkcnMvZTJvRG9jLnhtbFBLBQYAAAAABgAGAFkBAACqBQ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处理后净水回用</w:t>
                        </w:r>
                      </w:p>
                    </w:txbxContent>
                  </v:textbox>
                </v:rect>
                <v:line id="直线 83" o:spid="_x0000_s1026" o:spt="20" style="position:absolute;left:2199640;top:968375;flip:x y;height:923925;width:19050;" filled="f" stroked="t" coordsize="21600,21600" o:gfxdata="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eFbYNcAAAAFAQAADwAAAAAAAAAB&#10;ACAAAAAiAAAAZHJzL2Rvd25yZXYueG1sUEsBAhQAFAAAAAgAh07iQJt8RVIRAgAAEQQAAA4AAAAA&#10;AAAAAQAgAAAAJgEAAGRycy9lMm9Eb2MueG1sUEsFBgAAAAAGAAYAWQEAAKkFAAAAAA==&#10;">
                  <v:fill on="f" focussize="0,0"/>
                  <v:stroke color="#000000" joinstyle="round" endarrow="block"/>
                  <v:imagedata o:title=""/>
                  <o:lock v:ext="edit" aspectratio="f"/>
                </v:line>
                <v:line id="直线 84" o:spid="_x0000_s1026" o:spt="20" style="position:absolute;left:4209415;top:1596390;height:3175;width:467995;"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det8XYAAAABQEAAA8AAAAAAAAAAQAgAAAAIgAAAGRycy9k&#10;b3ducmV2LnhtbFBLAQIUABQAAAAIAIdO4kALV9r+AgIAAP0DAAAOAAAAAAAAAAEAIAAAACcBAABk&#10;cnMvZTJvRG9jLnhtbFBLBQYAAAAABgAGAFkBAACbBQAAAAA=&#10;">
                  <v:fill on="f" focussize="0,0"/>
                  <v:stroke color="#000000" joinstyle="round" endarrow="block"/>
                  <v:imagedata o:title=""/>
                  <o:lock v:ext="edit" aspectratio="f"/>
                </v:line>
                <v:line id="直线 85" o:spid="_x0000_s1026" o:spt="20" style="position:absolute;left:3752215;top:2835275;height:3175;width:942975;"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et8XYAAAABQEAAA8AAAAAAAAAAQAgAAAAIgAAAGRy&#10;cy9kb3ducmV2LnhtbFBLAQIUABQAAAAIAIdO4kDGLjIvBQIAAP0DAAAOAAAAAAAAAAEAIAAAACcB&#10;AABkcnMvZTJvRG9jLnhtbFBLBQYAAAAABgAGAFkBAACeBQAAAAA=&#10;">
                  <v:fill on="f" focussize="0,0"/>
                  <v:stroke color="#000000" joinstyle="round" endarrow="block"/>
                  <v:imagedata o:title=""/>
                  <o:lock v:ext="edit" aspectratio="f"/>
                </v:line>
                <v:rect id="矩形 87" o:spid="_x0000_s1026" o:spt="1" style="position:absolute;left:4686935;top:1377315;height:1636395;width:478790;"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jAP1QAAAAUBAAAPAAAAAAAA&#10;AAEAIAAAACIAAABkcnMvZG93bnJldi54bWxQSwECFAAUAAAACACHTuJA/rscVRUCAABFBAAADgAA&#10;AAAAAAABACAAAAAkAQAAZHJzL2Uyb0RvYy54bWxQSwUGAAAAAAYABgBZAQAAqwU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天津合佳威立雅环境服务有限公司</w:t>
                        </w:r>
                      </w:p>
                    </w:txbxContent>
                  </v:textbox>
                </v:rect>
                <v:line id="直线 66" o:spid="_x0000_s1026" o:spt="20" style="position:absolute;left:1617980;top:682625;flip:y;height:5715;width:248285;"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82IpbXAAAABQEAAA8AAAAAAAAAAQAgAAAA&#10;IgAAAGRycy9kb3ducmV2LnhtbFBLAQIUABQAAAAIAIdO4kDAU6UvDAIAAAYEAAAOAAAAAAAAAAEA&#10;IAAAACYBAABkcnMvZTJvRG9jLnhtbFBLBQYAAAAABgAGAFkBAACkBQAAAAA=&#10;">
                  <v:fill on="f" focussize="0,0"/>
                  <v:stroke color="#000000" joinstyle="round" endarrow="block"/>
                  <v:imagedata o:title=""/>
                  <o:lock v:ext="edit" aspectratio="f"/>
                </v:line>
                <v:line id="直线 70" o:spid="_x0000_s1026" o:spt="20" style="position:absolute;left:3361055;top:2418080;height:297180;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XrfF2AAAAAUBAAAPAAAAAAAAAAEAIAAAACIAAABkcnMvZG93&#10;bnJldi54bWxQSwECFAAUAAAACACHTuJAsfzWiwACAAD6AwAADgAAAAAAAAABACAAAAAnAQAAZHJz&#10;L2Uyb0RvYy54bWxQSwUGAAAAAAYABgBZAQAAmQUAAAAA&#10;">
                  <v:fill on="f" focussize="0,0"/>
                  <v:stroke color="#000000" joinstyle="round" endarrow="block"/>
                  <v:imagedata o:title=""/>
                  <o:lock v:ext="edit" aspectratio="f"/>
                </v:line>
                <v:line id="直线 69" o:spid="_x0000_s1026" o:spt="20" style="position:absolute;left:2570480;top:676275;flip:y;height:4445;width:743585;" filled="f" stroked="t" coordsize="21600,21600" o:gfxdata="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gcGwvVAAAABQEAAA8AAAAAAAAAAQAgAAAAIgAAAGRycy9k&#10;b3ducmV2LnhtbFBLAQIUABQAAAAIAIdO4kC5p0pbBQIAAAIEAAAOAAAAAAAAAAEAIAAAACQBAABk&#10;cnMvZTJvRG9jLnhtbFBLBQYAAAAABgAGAFkBAACbBQAAAAA=&#10;">
                  <v:fill on="f" focussize="0,0"/>
                  <v:stroke color="#000000" joinstyle="round"/>
                  <v:imagedata o:title=""/>
                  <o:lock v:ext="edit" aspectratio="f"/>
                </v:line>
                <w10:wrap type="none"/>
                <w10:anchorlock/>
              </v:group>
            </w:pict>
          </mc:Fallback>
        </mc:AlternateContent>
      </w:r>
    </w:p>
    <w:p>
      <w:pPr>
        <w:jc w:val="center"/>
        <w:rPr>
          <w:rFonts w:hint="eastAsia" w:ascii="仿宋" w:hAnsi="仿宋" w:eastAsia="仿宋" w:cs="仿宋"/>
          <w:sz w:val="28"/>
          <w:szCs w:val="28"/>
        </w:rPr>
      </w:pPr>
      <w:r>
        <w:rPr>
          <w:rFonts w:hint="eastAsia" w:ascii="仿宋" w:hAnsi="仿宋" w:eastAsia="仿宋" w:cs="仿宋"/>
          <w:sz w:val="28"/>
          <w:szCs w:val="28"/>
        </w:rPr>
        <w:t xml:space="preserve">                             天津仁新玻璃材料有限公司</w:t>
      </w:r>
    </w:p>
    <w:p>
      <w:pPr>
        <w:jc w:val="both"/>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tbl>
      <w:tblPr>
        <w:tblStyle w:val="7"/>
        <w:tblpPr w:leftFromText="180" w:rightFromText="180" w:vertAnchor="text" w:horzAnchor="page" w:tblpX="712" w:tblpY="884"/>
        <w:tblOverlap w:val="never"/>
        <w:tblW w:w="16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0"/>
        <w:gridCol w:w="334"/>
        <w:gridCol w:w="1315"/>
        <w:gridCol w:w="1710"/>
        <w:gridCol w:w="1861"/>
        <w:gridCol w:w="1260"/>
        <w:gridCol w:w="2483"/>
        <w:gridCol w:w="1297"/>
        <w:gridCol w:w="27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beforeAutospacing="0" w:line="240" w:lineRule="auto"/>
              <w:jc w:val="center"/>
              <w:rPr>
                <w:rFonts w:ascii="Times New Roman" w:hAnsi="Times New Roman"/>
                <w:kern w:val="0"/>
                <w:szCs w:val="21"/>
              </w:rPr>
            </w:pPr>
            <w:r>
              <w:rPr>
                <w:rFonts w:ascii="Times New Roman" w:hAnsi="宋体"/>
                <w:kern w:val="0"/>
                <w:szCs w:val="21"/>
              </w:rPr>
              <w:t>出厂日期</w:t>
            </w:r>
          </w:p>
        </w:tc>
        <w:tc>
          <w:tcPr>
            <w:tcW w:w="72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转移批次</w:t>
            </w:r>
          </w:p>
        </w:tc>
        <w:tc>
          <w:tcPr>
            <w:tcW w:w="1649" w:type="dxa"/>
            <w:gridSpan w:val="2"/>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联单编号</w:t>
            </w:r>
          </w:p>
        </w:tc>
        <w:tc>
          <w:tcPr>
            <w:tcW w:w="171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废物名称</w:t>
            </w:r>
          </w:p>
        </w:tc>
        <w:tc>
          <w:tcPr>
            <w:tcW w:w="1861"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类别</w:t>
            </w:r>
            <w:r>
              <w:rPr>
                <w:rFonts w:ascii="Times New Roman" w:hAnsi="Times New Roman"/>
                <w:kern w:val="0"/>
                <w:szCs w:val="21"/>
              </w:rPr>
              <w:t>/</w:t>
            </w:r>
            <w:r>
              <w:rPr>
                <w:rFonts w:ascii="Times New Roman" w:hAnsi="宋体"/>
                <w:kern w:val="0"/>
                <w:szCs w:val="21"/>
              </w:rPr>
              <w:t>代码</w:t>
            </w:r>
          </w:p>
        </w:tc>
        <w:tc>
          <w:tcPr>
            <w:tcW w:w="126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转移量（吨）</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kern w:val="0"/>
                <w:szCs w:val="21"/>
                <w:lang w:val="en-US" w:eastAsia="zh-CN"/>
              </w:rPr>
            </w:pPr>
            <w:r>
              <w:rPr>
                <w:rFonts w:ascii="Times New Roman" w:hAnsi="宋体"/>
                <w:kern w:val="0"/>
                <w:szCs w:val="21"/>
              </w:rPr>
              <w:t>运输单位</w:t>
            </w:r>
            <w:r>
              <w:rPr>
                <w:rFonts w:hint="eastAsia" w:hAnsi="宋体"/>
                <w:kern w:val="0"/>
                <w:szCs w:val="21"/>
                <w:lang w:val="en-US" w:eastAsia="zh-CN"/>
              </w:rPr>
              <w:t xml:space="preserve"> </w:t>
            </w:r>
          </w:p>
        </w:tc>
        <w:tc>
          <w:tcPr>
            <w:tcW w:w="1297"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车号</w:t>
            </w:r>
          </w:p>
        </w:tc>
        <w:tc>
          <w:tcPr>
            <w:tcW w:w="270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接收单位</w:t>
            </w:r>
          </w:p>
        </w:tc>
        <w:tc>
          <w:tcPr>
            <w:tcW w:w="126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接收日期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2022.07.30</w:t>
            </w:r>
          </w:p>
        </w:tc>
        <w:tc>
          <w:tcPr>
            <w:tcW w:w="72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20223204028443</w:t>
            </w:r>
          </w:p>
        </w:tc>
        <w:tc>
          <w:tcPr>
            <w:tcW w:w="1710" w:type="dxa"/>
            <w:tcBorders>
              <w:tl2br w:val="nil"/>
              <w:tr2bl w:val="nil"/>
            </w:tcBorders>
            <w:noWrap w:val="0"/>
            <w:vAlign w:val="center"/>
          </w:tcPr>
          <w:p>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34.167</w:t>
            </w:r>
          </w:p>
        </w:tc>
        <w:tc>
          <w:tcPr>
            <w:tcW w:w="2483" w:type="dxa"/>
            <w:tcBorders>
              <w:tl2br w:val="nil"/>
              <w:tr2bl w:val="nil"/>
            </w:tcBorders>
            <w:noWrap w:val="0"/>
            <w:vAlign w:val="center"/>
          </w:tcPr>
          <w:p>
            <w:pPr>
              <w:widowControl/>
              <w:spacing w:line="240" w:lineRule="auto"/>
              <w:jc w:val="center"/>
              <w:rPr>
                <w:rFonts w:hint="eastAsia"/>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鲁DC1695</w:t>
            </w:r>
          </w:p>
        </w:tc>
        <w:tc>
          <w:tcPr>
            <w:tcW w:w="2700" w:type="dxa"/>
            <w:tcBorders>
              <w:tl2br w:val="nil"/>
              <w:tr2bl w:val="nil"/>
            </w:tcBorders>
            <w:noWrap w:val="0"/>
            <w:vAlign w:val="center"/>
          </w:tcPr>
          <w:p>
            <w:pPr>
              <w:widowControl/>
              <w:spacing w:line="240" w:lineRule="auto"/>
              <w:jc w:val="center"/>
              <w:rPr>
                <w:rFonts w:hint="eastAsia" w:hAnsi="宋体"/>
                <w:kern w:val="0"/>
                <w:sz w:val="20"/>
                <w:szCs w:val="20"/>
                <w:lang w:eastAsia="zh-CN"/>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2022.07.30</w:t>
            </w:r>
          </w:p>
        </w:tc>
        <w:tc>
          <w:tcPr>
            <w:tcW w:w="72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20223204028455</w:t>
            </w:r>
          </w:p>
        </w:tc>
        <w:tc>
          <w:tcPr>
            <w:tcW w:w="1710" w:type="dxa"/>
            <w:tcBorders>
              <w:tl2br w:val="nil"/>
              <w:tr2bl w:val="nil"/>
            </w:tcBorders>
            <w:noWrap w:val="0"/>
            <w:vAlign w:val="center"/>
          </w:tcPr>
          <w:p>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33.904</w:t>
            </w:r>
          </w:p>
        </w:tc>
        <w:tc>
          <w:tcPr>
            <w:tcW w:w="2483" w:type="dxa"/>
            <w:tcBorders>
              <w:tl2br w:val="nil"/>
              <w:tr2bl w:val="nil"/>
            </w:tcBorders>
            <w:noWrap w:val="0"/>
            <w:vAlign w:val="center"/>
          </w:tcPr>
          <w:p>
            <w:pPr>
              <w:widowControl/>
              <w:spacing w:line="240" w:lineRule="auto"/>
              <w:jc w:val="center"/>
              <w:rPr>
                <w:rFonts w:hint="eastAsia"/>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鲁DC3825</w:t>
            </w:r>
          </w:p>
        </w:tc>
        <w:tc>
          <w:tcPr>
            <w:tcW w:w="2700" w:type="dxa"/>
            <w:tcBorders>
              <w:tl2br w:val="nil"/>
              <w:tr2bl w:val="nil"/>
            </w:tcBorders>
            <w:noWrap w:val="0"/>
            <w:vAlign w:val="center"/>
          </w:tcPr>
          <w:p>
            <w:pPr>
              <w:widowControl/>
              <w:spacing w:line="240" w:lineRule="auto"/>
              <w:jc w:val="center"/>
              <w:rPr>
                <w:rFonts w:hint="eastAsia" w:hAnsi="宋体"/>
                <w:kern w:val="0"/>
                <w:sz w:val="20"/>
                <w:szCs w:val="20"/>
                <w:lang w:eastAsia="zh-CN"/>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2022.07.30</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20223204028489</w:t>
            </w:r>
          </w:p>
        </w:tc>
        <w:tc>
          <w:tcPr>
            <w:tcW w:w="171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33.134</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皖P2D751</w:t>
            </w:r>
          </w:p>
        </w:tc>
        <w:tc>
          <w:tcPr>
            <w:tcW w:w="2700" w:type="dxa"/>
            <w:tcBorders>
              <w:tl2br w:val="nil"/>
              <w:tr2bl w:val="nil"/>
            </w:tcBorders>
            <w:noWrap w:val="0"/>
            <w:vAlign w:val="center"/>
          </w:tcPr>
          <w:p>
            <w:pPr>
              <w:widowControl/>
              <w:spacing w:line="240" w:lineRule="auto"/>
              <w:jc w:val="center"/>
              <w:rPr>
                <w:rFonts w:hint="eastAsia" w:ascii="Times New Roman" w:hAnsi="Times New Roman" w:eastAsia="宋体"/>
                <w:kern w:val="0"/>
                <w:sz w:val="20"/>
                <w:szCs w:val="20"/>
                <w:lang w:eastAsia="zh-CN"/>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2022.07.30</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20223204028490</w:t>
            </w:r>
          </w:p>
        </w:tc>
        <w:tc>
          <w:tcPr>
            <w:tcW w:w="171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33.001</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bidi="ar-SA"/>
              </w:rPr>
            </w:pPr>
            <w:r>
              <w:rPr>
                <w:rFonts w:hint="eastAsia" w:ascii="STSong-Light" w:hAnsi="STSong-Light" w:eastAsia="STSong-Light" w:cs="STSong-Light"/>
                <w:color w:val="000000"/>
                <w:kern w:val="0"/>
                <w:sz w:val="20"/>
                <w:szCs w:val="20"/>
                <w:lang w:val="en-US" w:eastAsia="zh-CN" w:bidi="ar"/>
              </w:rPr>
              <w:t>皖P2D747</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2022.07.30</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20223204028494</w:t>
            </w:r>
          </w:p>
        </w:tc>
        <w:tc>
          <w:tcPr>
            <w:tcW w:w="171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33.056</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皖PB9511</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2022.07.30</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20223204028496</w:t>
            </w:r>
          </w:p>
        </w:tc>
        <w:tc>
          <w:tcPr>
            <w:tcW w:w="171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34.803</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rPr>
            </w:pPr>
            <w:r>
              <w:rPr>
                <w:rFonts w:hint="eastAsia" w:ascii="STSong-Light" w:hAnsi="STSong-Light" w:eastAsia="STSong-Light" w:cs="STSong-Light"/>
                <w:color w:val="000000"/>
                <w:kern w:val="0"/>
                <w:sz w:val="20"/>
                <w:szCs w:val="20"/>
                <w:lang w:val="en-US" w:eastAsia="zh-CN" w:bidi="ar"/>
              </w:rPr>
              <w:t>冀B1311L</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2022.07.30</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20223204028497</w:t>
            </w:r>
          </w:p>
        </w:tc>
        <w:tc>
          <w:tcPr>
            <w:tcW w:w="171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34.715</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冀B7985M</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2022.07.30</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20223204028491</w:t>
            </w:r>
          </w:p>
        </w:tc>
        <w:tc>
          <w:tcPr>
            <w:tcW w:w="171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34.036</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rPr>
            </w:pPr>
            <w:r>
              <w:rPr>
                <w:rFonts w:hint="eastAsia" w:ascii="STSong-Light" w:hAnsi="STSong-Light" w:eastAsia="STSong-Light" w:cs="STSong-Light"/>
                <w:color w:val="000000"/>
                <w:kern w:val="0"/>
                <w:sz w:val="20"/>
                <w:szCs w:val="20"/>
                <w:lang w:val="en-US" w:eastAsia="zh-CN" w:bidi="ar"/>
              </w:rPr>
              <w:t>皖KV1306</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2022.07.30</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20223204028476</w:t>
            </w:r>
          </w:p>
        </w:tc>
        <w:tc>
          <w:tcPr>
            <w:tcW w:w="171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33.035</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皖P2E736</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2022.07.30</w:t>
            </w:r>
          </w:p>
        </w:tc>
        <w:tc>
          <w:tcPr>
            <w:tcW w:w="720"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val="en-US" w:eastAsia="zh-CN"/>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20223204028459</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33.496</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皖PB8580</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2022.08.02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2022.07.30</w:t>
            </w:r>
          </w:p>
        </w:tc>
        <w:tc>
          <w:tcPr>
            <w:tcW w:w="72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20223204028457</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33.017</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皖P2D070</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2022.08.01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2022.07.30</w:t>
            </w:r>
          </w:p>
        </w:tc>
        <w:tc>
          <w:tcPr>
            <w:tcW w:w="72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20223204028482</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highlight w:val="none"/>
                <w:lang w:val="en-US" w:eastAsia="zh-CN"/>
              </w:rPr>
            </w:pPr>
            <w:r>
              <w:rPr>
                <w:rFonts w:hint="eastAsia"/>
                <w:kern w:val="0"/>
                <w:sz w:val="20"/>
                <w:szCs w:val="20"/>
                <w:highlight w:val="none"/>
                <w:lang w:val="en-US" w:eastAsia="zh-CN"/>
              </w:rPr>
              <w:t>33.338</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kern w:val="0"/>
                <w:sz w:val="20"/>
                <w:szCs w:val="20"/>
                <w:lang w:val="en-US" w:eastAsia="zh-CN"/>
              </w:rPr>
              <w:t>鲁DD6863</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2022.08.02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2022.7.31</w:t>
            </w:r>
          </w:p>
        </w:tc>
        <w:tc>
          <w:tcPr>
            <w:tcW w:w="72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20223204028512</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lang w:val="en-US" w:eastAsia="zh-CN"/>
              </w:rPr>
              <w:t>34.182</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皖PB4002</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2022.08.03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2022.07.31</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20223204028515</w:t>
            </w:r>
          </w:p>
        </w:tc>
        <w:tc>
          <w:tcPr>
            <w:tcW w:w="171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lang w:val="en-US" w:eastAsia="zh-CN"/>
              </w:rPr>
              <w:t>34.334</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kern w:val="0"/>
                <w:sz w:val="20"/>
                <w:szCs w:val="20"/>
                <w:lang w:val="en-US" w:eastAsia="zh-CN" w:bidi="ar-SA"/>
              </w:rPr>
            </w:pPr>
            <w:r>
              <w:rPr>
                <w:rFonts w:hint="eastAsia" w:ascii="STSong-Light" w:hAnsi="STSong-Light" w:eastAsia="STSong-Light" w:cs="STSong-Light"/>
                <w:color w:val="000000"/>
                <w:kern w:val="0"/>
                <w:sz w:val="20"/>
                <w:szCs w:val="20"/>
                <w:lang w:val="en-US" w:eastAsia="zh-CN" w:bidi="ar"/>
              </w:rPr>
              <w:t>皖PC1466</w:t>
            </w:r>
          </w:p>
        </w:tc>
        <w:tc>
          <w:tcPr>
            <w:tcW w:w="270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2022.08.03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2022.07.31</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2022324028517</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34.42</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皖PC0563</w:t>
            </w:r>
          </w:p>
        </w:tc>
        <w:tc>
          <w:tcPr>
            <w:tcW w:w="270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tbl>
            <w:tblPr>
              <w:tblStyle w:val="7"/>
              <w:tblW w:w="16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2022.08.03</w:t>
                  </w:r>
                </w:p>
              </w:tc>
            </w:tr>
          </w:tbl>
          <w:p>
            <w:pPr>
              <w:widowControl/>
              <w:spacing w:line="240" w:lineRule="auto"/>
              <w:jc w:val="center"/>
              <w:rPr>
                <w:rFonts w:hint="default"/>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2022.07.31</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20223204028525</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33.234</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皖PB4571</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2022.07.31</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20223204028533</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34.125</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皖PA8289</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2022.07.31</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20223204028534</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34.297</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皖P15077</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2022.07.31</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ascii="Times New Roman" w:hAnsi="Times New Roman"/>
                <w:kern w:val="0"/>
                <w:sz w:val="20"/>
                <w:szCs w:val="20"/>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20223204028541</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33.828</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皖P2E157</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2022.07.31</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ascii="Times New Roman" w:hAnsi="Times New Roman"/>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20223204028511</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34.11</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kern w:val="0"/>
                <w:sz w:val="20"/>
                <w:szCs w:val="20"/>
                <w:lang w:val="en-US" w:eastAsia="zh-CN"/>
              </w:rPr>
              <w:t>鲁DC6751</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2022.08.25</w:t>
            </w:r>
          </w:p>
        </w:tc>
        <w:tc>
          <w:tcPr>
            <w:tcW w:w="720" w:type="dxa"/>
            <w:tcBorders>
              <w:tl2br w:val="nil"/>
              <w:tr2bl w:val="nil"/>
            </w:tcBorders>
            <w:noWrap w:val="0"/>
            <w:vAlign w:val="center"/>
          </w:tcPr>
          <w:p>
            <w:pPr>
              <w:widowControl/>
              <w:spacing w:line="240" w:lineRule="auto"/>
              <w:jc w:val="center"/>
              <w:rPr>
                <w:rFonts w:hint="default"/>
                <w:lang w:val="en-US" w:eastAsia="zh-CN"/>
              </w:rPr>
            </w:pPr>
            <w:r>
              <w:rPr>
                <w:rFonts w:hint="eastAsia"/>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20223204032470</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34.261</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kern w:val="0"/>
                <w:sz w:val="20"/>
                <w:szCs w:val="20"/>
                <w:lang w:val="en-US" w:eastAsia="zh-CN"/>
              </w:rPr>
              <w:t>鲁DE0820</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2022.09.08</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20223204034703</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highlight w:val="none"/>
                <w:lang w:val="en-US" w:eastAsia="zh-CN"/>
              </w:rPr>
            </w:pPr>
            <w:r>
              <w:rPr>
                <w:rFonts w:hint="eastAsia"/>
                <w:kern w:val="0"/>
                <w:sz w:val="20"/>
                <w:szCs w:val="20"/>
                <w:highlight w:val="none"/>
                <w:lang w:val="en-US" w:eastAsia="zh-CN"/>
              </w:rPr>
              <w:t>33.645</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皖KU3985</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hint="eastAsia" w:hAnsi="宋体"/>
                <w:kern w:val="0"/>
                <w:sz w:val="20"/>
                <w:szCs w:val="20"/>
                <w:lang w:eastAsia="zh-CN"/>
              </w:rPr>
              <w:t>湖南恒晟环保科技有限公司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2022.09.21</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649"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20223204036728</w:t>
            </w:r>
          </w:p>
        </w:tc>
        <w:tc>
          <w:tcPr>
            <w:tcW w:w="171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861"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33.361</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郴州市宏顺物流有限公司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hint="eastAsia" w:ascii="STSong-Light" w:hAnsi="STSong-Light" w:eastAsia="STSong-Light" w:cs="STSong-Light"/>
                <w:color w:val="000000"/>
                <w:kern w:val="0"/>
                <w:sz w:val="20"/>
                <w:szCs w:val="20"/>
                <w:lang w:val="en-US" w:eastAsia="zh-CN" w:bidi="ar"/>
              </w:rPr>
              <w:t>豫ND6509</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2022.09.23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14" w:type="dxa"/>
            <w:gridSpan w:val="3"/>
            <w:tcBorders>
              <w:tl2br w:val="nil"/>
              <w:tr2bl w:val="nil"/>
            </w:tcBorders>
            <w:noWrap w:val="0"/>
            <w:vAlign w:val="center"/>
          </w:tcPr>
          <w:p>
            <w:pPr>
              <w:widowControl/>
              <w:spacing w:line="240" w:lineRule="auto"/>
              <w:jc w:val="center"/>
              <w:rPr>
                <w:rFonts w:hint="eastAsia" w:ascii="Times New Roman" w:hAnsi="Times New Roman" w:eastAsia="宋体"/>
                <w:kern w:val="0"/>
                <w:sz w:val="20"/>
                <w:szCs w:val="20"/>
                <w:lang w:val="en-US" w:eastAsia="zh-CN"/>
              </w:rPr>
            </w:pPr>
            <w:r>
              <w:rPr>
                <w:rFonts w:hint="eastAsia" w:ascii="Times New Roman" w:hAnsi="Times New Roman"/>
                <w:kern w:val="0"/>
                <w:sz w:val="24"/>
                <w:szCs w:val="24"/>
                <w:lang w:val="en-US" w:eastAsia="zh-CN"/>
              </w:rPr>
              <w:t>合计</w:t>
            </w:r>
          </w:p>
        </w:tc>
        <w:tc>
          <w:tcPr>
            <w:tcW w:w="13886" w:type="dxa"/>
            <w:gridSpan w:val="8"/>
            <w:tcBorders>
              <w:tl2br w:val="nil"/>
              <w:tr2bl w:val="nil"/>
            </w:tcBorders>
            <w:noWrap w:val="0"/>
            <w:vAlign w:val="center"/>
          </w:tcPr>
          <w:p>
            <w:pPr>
              <w:widowControl/>
              <w:spacing w:line="240" w:lineRule="auto"/>
              <w:jc w:val="both"/>
              <w:rPr>
                <w:rFonts w:hint="eastAsia" w:ascii="Times New Roman" w:hAnsi="Times New Roman" w:eastAsia="宋体"/>
                <w:kern w:val="0"/>
                <w:sz w:val="20"/>
                <w:szCs w:val="20"/>
                <w:lang w:val="en-US" w:eastAsia="zh-CN"/>
              </w:rPr>
            </w:pPr>
            <w:r>
              <w:rPr>
                <w:rFonts w:hint="eastAsia"/>
                <w:kern w:val="0"/>
                <w:sz w:val="24"/>
                <w:szCs w:val="24"/>
                <w:lang w:val="en-US" w:eastAsia="zh-CN"/>
              </w:rPr>
              <w:t>777.499</w:t>
            </w:r>
            <w:r>
              <w:rPr>
                <w:rFonts w:hint="eastAsia" w:ascii="Times New Roman" w:hAnsi="Times New Roman"/>
                <w:kern w:val="0"/>
                <w:sz w:val="24"/>
                <w:szCs w:val="24"/>
                <w:lang w:val="en-US" w:eastAsia="zh-CN"/>
              </w:rPr>
              <w:t>吨</w:t>
            </w:r>
          </w:p>
        </w:tc>
      </w:tr>
    </w:tbl>
    <w:p>
      <w:pPr>
        <w:jc w:val="both"/>
        <w:rPr>
          <w:rFonts w:hint="default" w:ascii="仿宋" w:hAnsi="仿宋" w:eastAsia="仿宋" w:cs="仿宋"/>
          <w:sz w:val="28"/>
          <w:szCs w:val="28"/>
          <w:lang w:val="en-US" w:eastAsia="zh-CN"/>
        </w:rPr>
      </w:pPr>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TSong-Ligh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352B9"/>
    <w:multiLevelType w:val="singleLevel"/>
    <w:tmpl w:val="52B352B9"/>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ZTcxY2QxMzQ3NzQ4ZjAxMWJhYjg4YzVmNmNiNzMifQ=="/>
  </w:docVars>
  <w:rsids>
    <w:rsidRoot w:val="04756B72"/>
    <w:rsid w:val="0006128D"/>
    <w:rsid w:val="003E1C5A"/>
    <w:rsid w:val="005508BE"/>
    <w:rsid w:val="005C31ED"/>
    <w:rsid w:val="0073326B"/>
    <w:rsid w:val="007523FB"/>
    <w:rsid w:val="00AC03E2"/>
    <w:rsid w:val="00C63AE0"/>
    <w:rsid w:val="00FA5924"/>
    <w:rsid w:val="03247F3B"/>
    <w:rsid w:val="04756B72"/>
    <w:rsid w:val="06DA3641"/>
    <w:rsid w:val="07396746"/>
    <w:rsid w:val="0CF0360C"/>
    <w:rsid w:val="0E690C2A"/>
    <w:rsid w:val="0F544CF5"/>
    <w:rsid w:val="0F8029B9"/>
    <w:rsid w:val="10ED70FC"/>
    <w:rsid w:val="12BA5F53"/>
    <w:rsid w:val="12CF725E"/>
    <w:rsid w:val="16267AE6"/>
    <w:rsid w:val="166D0D4D"/>
    <w:rsid w:val="181C7EB0"/>
    <w:rsid w:val="19937568"/>
    <w:rsid w:val="1BA84239"/>
    <w:rsid w:val="1C3113DD"/>
    <w:rsid w:val="1CA36348"/>
    <w:rsid w:val="1CF97575"/>
    <w:rsid w:val="1F795A10"/>
    <w:rsid w:val="21F55AD8"/>
    <w:rsid w:val="22C476F8"/>
    <w:rsid w:val="22CA6BC3"/>
    <w:rsid w:val="231E6C11"/>
    <w:rsid w:val="25370166"/>
    <w:rsid w:val="27E83BEA"/>
    <w:rsid w:val="283D2E8F"/>
    <w:rsid w:val="2929699F"/>
    <w:rsid w:val="29560B50"/>
    <w:rsid w:val="298C1387"/>
    <w:rsid w:val="29AD69CC"/>
    <w:rsid w:val="2E6E589E"/>
    <w:rsid w:val="2E8F645A"/>
    <w:rsid w:val="2E9E1974"/>
    <w:rsid w:val="3079418D"/>
    <w:rsid w:val="326C0D7B"/>
    <w:rsid w:val="33B20AA0"/>
    <w:rsid w:val="39B24AAF"/>
    <w:rsid w:val="3C875F3D"/>
    <w:rsid w:val="3DC403E9"/>
    <w:rsid w:val="3E2F3CEF"/>
    <w:rsid w:val="426917C9"/>
    <w:rsid w:val="428125F9"/>
    <w:rsid w:val="46976F25"/>
    <w:rsid w:val="49A61DE1"/>
    <w:rsid w:val="4ABE3A2A"/>
    <w:rsid w:val="4B8E5AAC"/>
    <w:rsid w:val="4C1B08D1"/>
    <w:rsid w:val="4C8B0C0C"/>
    <w:rsid w:val="4EF126BD"/>
    <w:rsid w:val="4F2563AE"/>
    <w:rsid w:val="4F345FE1"/>
    <w:rsid w:val="50643684"/>
    <w:rsid w:val="50764699"/>
    <w:rsid w:val="523F083A"/>
    <w:rsid w:val="525A7E58"/>
    <w:rsid w:val="532C2C75"/>
    <w:rsid w:val="54274100"/>
    <w:rsid w:val="57572CFE"/>
    <w:rsid w:val="59435E9B"/>
    <w:rsid w:val="62311865"/>
    <w:rsid w:val="663233F9"/>
    <w:rsid w:val="68773C97"/>
    <w:rsid w:val="68943CA6"/>
    <w:rsid w:val="6B7417B4"/>
    <w:rsid w:val="74E77319"/>
    <w:rsid w:val="75B02C1B"/>
    <w:rsid w:val="7C1B6626"/>
    <w:rsid w:val="7FAD57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Plain Text"/>
    <w:basedOn w:val="1"/>
    <w:unhideWhenUsed/>
    <w:qFormat/>
    <w:uiPriority w:val="99"/>
    <w:pPr>
      <w:spacing w:line="240" w:lineRule="auto"/>
    </w:pPr>
    <w:rPr>
      <w:rFonts w:ascii="宋体" w:hAnsi="Courier New" w:cs="Courier New"/>
      <w:szCs w:val="21"/>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宋体" w:cs="Times New Roman"/>
      <w:kern w:val="2"/>
      <w:sz w:val="18"/>
      <w:szCs w:val="18"/>
    </w:rPr>
  </w:style>
  <w:style w:type="character" w:customStyle="1" w:styleId="10">
    <w:name w:val="页脚 Char"/>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4977</Words>
  <Characters>6980</Characters>
  <Lines>2</Lines>
  <Paragraphs>1</Paragraphs>
  <TotalTime>0</TotalTime>
  <ScaleCrop>false</ScaleCrop>
  <LinksUpToDate>false</LinksUpToDate>
  <CharactersWithSpaces>7376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2017-06-26T03:19:00Z</dcterms:created>
  <dc:creator>xuejianhua</dc:creator>
  <cp:lastModifiedBy>常州翔宇资源再生科技有限公司</cp:lastModifiedBy>
  <dcterms:modified xsi:type="dcterms:W3CDTF">2023-01-09T02:49:20Z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6C49DA4E4F5D4AE89EF60309573B4BAE</vt:lpwstr>
  </property>
</Properties>
</file>