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721C8E">
        <w:trPr>
          <w:trHeight w:val="1548"/>
        </w:trPr>
        <w:tc>
          <w:tcPr>
            <w:tcW w:w="10402" w:type="dxa"/>
            <w:tcBorders>
              <w:top w:val="nil"/>
              <w:left w:val="nil"/>
              <w:bottom w:val="nil"/>
              <w:right w:val="nil"/>
            </w:tcBorders>
          </w:tcPr>
          <w:p w:rsidR="00721C8E" w:rsidRDefault="00721C8E">
            <w:pPr>
              <w:pStyle w:val="a4"/>
              <w:spacing w:line="550" w:lineRule="exact"/>
              <w:rPr>
                <w:rFonts w:ascii="仿宋" w:eastAsia="仿宋" w:hAnsi="仿宋" w:cs="仿宋"/>
                <w:b/>
                <w:bCs/>
                <w:color w:val="FF0000"/>
                <w:sz w:val="22"/>
                <w:szCs w:val="22"/>
              </w:rPr>
            </w:pPr>
            <w:bookmarkStart w:id="0" w:name="_GoBack"/>
            <w:bookmarkEnd w:id="0"/>
          </w:p>
        </w:tc>
      </w:tr>
      <w:tr w:rsidR="00721C8E">
        <w:trPr>
          <w:trHeight w:val="4945"/>
        </w:trPr>
        <w:tc>
          <w:tcPr>
            <w:tcW w:w="10402" w:type="dxa"/>
            <w:tcBorders>
              <w:top w:val="nil"/>
              <w:left w:val="nil"/>
              <w:bottom w:val="nil"/>
              <w:right w:val="nil"/>
            </w:tcBorders>
            <w:vAlign w:val="center"/>
          </w:tcPr>
          <w:p w:rsidR="00721C8E" w:rsidRDefault="00455134">
            <w:pPr>
              <w:ind w:rightChars="129" w:right="284"/>
              <w:jc w:val="center"/>
              <w:rPr>
                <w:rFonts w:ascii="仿宋" w:eastAsia="仿宋" w:hAnsi="仿宋" w:cs="仿宋"/>
                <w:b/>
                <w:bCs/>
                <w:color w:val="FF0000"/>
              </w:rPr>
            </w:pPr>
            <w:r>
              <w:rPr>
                <w:rFonts w:ascii="宋体" w:eastAsia="宋体" w:hAnsi="宋体" w:cs="宋体"/>
                <w:b/>
                <w:sz w:val="52"/>
              </w:rPr>
              <w:t>2023</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常州市武进区工业和信息化局</w:t>
            </w:r>
            <w:r>
              <w:rPr>
                <w:rFonts w:ascii="宋体" w:eastAsia="宋体" w:hAnsi="宋体" w:cs="宋体"/>
                <w:b/>
                <w:sz w:val="52"/>
              </w:rPr>
              <w:br/>
            </w:r>
            <w:r>
              <w:rPr>
                <w:rFonts w:ascii="宋体" w:eastAsia="宋体" w:hAnsi="宋体" w:cs="宋体"/>
                <w:b/>
                <w:sz w:val="52"/>
              </w:rPr>
              <w:t>部门预算公开</w:t>
            </w:r>
          </w:p>
        </w:tc>
      </w:tr>
    </w:tbl>
    <w:p w:rsidR="00721C8E" w:rsidRDefault="00721C8E">
      <w:pPr>
        <w:ind w:rightChars="129" w:right="284"/>
        <w:jc w:val="both"/>
        <w:rPr>
          <w:rFonts w:ascii="宋体" w:eastAsia="宋体" w:hAnsi="宋体" w:cs="宋体"/>
          <w:b/>
          <w:bCs/>
          <w:sz w:val="52"/>
          <w:szCs w:val="52"/>
        </w:rPr>
        <w:sectPr w:rsidR="00721C8E">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721C8E" w:rsidRDefault="00721C8E">
      <w:pPr>
        <w:pStyle w:val="a4"/>
        <w:spacing w:before="4"/>
        <w:rPr>
          <w:rFonts w:ascii="华文仿宋" w:eastAsia="华文仿宋" w:hAnsi="华文仿宋" w:cs="仿宋"/>
          <w:sz w:val="10"/>
        </w:rPr>
      </w:pPr>
    </w:p>
    <w:p w:rsidR="00721C8E" w:rsidRDefault="00455134">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721C8E" w:rsidRDefault="00721C8E">
      <w:pPr>
        <w:pStyle w:val="a4"/>
        <w:snapToGrid w:val="0"/>
        <w:spacing w:before="7"/>
        <w:rPr>
          <w:rFonts w:ascii="仿宋" w:eastAsia="仿宋" w:hAnsi="仿宋" w:cs="仿宋"/>
          <w:sz w:val="27"/>
        </w:rPr>
      </w:pP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721C8E" w:rsidRDefault="0045513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721C8E" w:rsidRDefault="0045513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721C8E" w:rsidRDefault="00455134">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721C8E" w:rsidRDefault="00455134">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721C8E" w:rsidRDefault="00455134">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721C8E" w:rsidRDefault="00455134">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w:t>
      </w:r>
      <w:r>
        <w:rPr>
          <w:rFonts w:ascii="仿宋" w:eastAsia="仿宋" w:hAnsi="仿宋" w:cs="仿宋" w:hint="eastAsia"/>
          <w:b/>
          <w:bCs/>
          <w:color w:val="000000"/>
          <w:sz w:val="30"/>
          <w:szCs w:val="30"/>
          <w:lang w:val="en-US"/>
        </w:rPr>
        <w:t>情况说明</w:t>
      </w:r>
    </w:p>
    <w:p w:rsidR="00721C8E" w:rsidRDefault="00455134">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w:t>
      </w:r>
      <w:r>
        <w:rPr>
          <w:rFonts w:ascii="仿宋" w:eastAsia="仿宋" w:hAnsi="仿宋" w:cs="仿宋" w:hint="eastAsia"/>
          <w:b/>
          <w:bCs/>
          <w:lang w:val="en-US"/>
        </w:rPr>
        <w:t>四</w:t>
      </w:r>
      <w:r>
        <w:rPr>
          <w:rFonts w:ascii="仿宋" w:eastAsia="仿宋" w:hAnsi="仿宋" w:cs="仿宋" w:hint="eastAsia"/>
          <w:b/>
          <w:bCs/>
          <w:lang w:val="en-US"/>
        </w:rPr>
        <w:t>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721C8E" w:rsidRDefault="00721C8E">
      <w:pPr>
        <w:pStyle w:val="a4"/>
        <w:snapToGrid w:val="0"/>
        <w:spacing w:line="312" w:lineRule="auto"/>
        <w:ind w:leftChars="300" w:left="669" w:right="2414" w:hanging="9"/>
        <w:jc w:val="both"/>
        <w:rPr>
          <w:rFonts w:ascii="仿宋" w:eastAsia="仿宋" w:hAnsi="仿宋" w:cs="仿宋"/>
        </w:rPr>
        <w:sectPr w:rsidR="00721C8E">
          <w:footerReference w:type="default" r:id="rId13"/>
          <w:pgSz w:w="11906" w:h="16838"/>
          <w:pgMar w:top="1580" w:right="1020" w:bottom="770" w:left="1020" w:header="170" w:footer="280" w:gutter="0"/>
          <w:pgNumType w:fmt="numberInDash" w:start="1"/>
          <w:cols w:space="720"/>
          <w:formProt w:val="0"/>
          <w:docGrid w:linePitch="100"/>
        </w:sectPr>
      </w:pPr>
    </w:p>
    <w:p w:rsidR="00721C8E" w:rsidRDefault="00721C8E">
      <w:pPr>
        <w:pStyle w:val="a4"/>
        <w:spacing w:before="1"/>
        <w:rPr>
          <w:rFonts w:ascii="华文仿宋" w:eastAsia="华文仿宋" w:hAnsi="华文仿宋" w:cs="仿宋"/>
          <w:sz w:val="14"/>
        </w:rPr>
      </w:pPr>
    </w:p>
    <w:p w:rsidR="00721C8E" w:rsidRDefault="00455134">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rPr>
        <w:t>部门概况</w:t>
      </w:r>
    </w:p>
    <w:p w:rsidR="00721C8E" w:rsidRDefault="00721C8E">
      <w:pPr>
        <w:ind w:rightChars="229" w:right="504"/>
        <w:jc w:val="both"/>
      </w:pPr>
    </w:p>
    <w:p w:rsidR="00721C8E" w:rsidRDefault="0045513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武进区工业和信息化局负责贯彻落实中央关于工业和信息化工作的方针政策和省委、市委、区委的决策部署，在履行职责过程中坚持和加强党对工业和信息化工作的集中统一领导。主要职责是：</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（一）贯彻执行党和国家有关工业和信息化工作的方针政策、法律法规以及省、市、区决策部署，统筹协调全区工业和信息化工作，对工业和信息化发展的重大问题进行研究分析并提出意见和建议。</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推进全区工业和信息化高质量发展。根据全区经济社会发展总体规划，制定实施工业和信息化高质量发展的产业政策、发展规划，提出优化产业布局、调整产业结构、推动产业转型升级的政策建议，推进信息化与工业化深度融合。按分工承担供给侧结构性改革任务。</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推进制造强区建设。贯彻实施新型工业化发展战略，统筹推进制造强区建设，培育先进制造业集群。推动全区工业和信息化领域的战略性新兴产业发展，牵头推进重大项目建设，培育新产业、新技术、新业态、新模式。</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（四）负责全区工业和信息化运行监测协调。制订并实施</w:t>
      </w:r>
      <w:r>
        <w:rPr>
          <w:rFonts w:ascii="仿宋" w:eastAsia="仿宋" w:hAnsi="仿宋" w:cs="仿宋"/>
        </w:rPr>
        <w:lastRenderedPageBreak/>
        <w:t>近期工业、信息化运行</w:t>
      </w:r>
      <w:r>
        <w:rPr>
          <w:rFonts w:ascii="仿宋" w:eastAsia="仿宋" w:hAnsi="仿宋" w:cs="仿宋"/>
        </w:rPr>
        <w:t>调控目标、政策措施，开展企业信息采集、行业分析和产业发展报告等工作，进行监测预警、预期引导，协调解决运行发展中的重大问题。</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全区工业和信息化领域的投资和技术改造相关工作。提出全区工业和信息化领域固定资产投资方向和规模，按规定权限管理工业和信息化领域固定资产投资项目。制订并实施推进企业技术改造的有关政策，按规定配合做好企业技术改造项目的核准备案等工作。</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（六）负责全区自主可控的先进制造业体系建设。推动提升关键技术的控制力、产业集群的带动力、产业链条的整合力、信息化的引领力和标准的主导力。推动工业和信</w:t>
      </w:r>
      <w:r>
        <w:rPr>
          <w:rFonts w:ascii="仿宋" w:eastAsia="仿宋" w:hAnsi="仿宋" w:cs="仿宋"/>
        </w:rPr>
        <w:t>息化领域技术创新，推进产业创新体系和能力建设。组织实施重大技术装备攻关。推广应用新技术、新材料、新工艺，促进产学研用结合和技术成果转化。协同推进工业和信息化领域品牌、质量、标准、知识产权等工作。</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推进全区有关生产性服务业发展。制订并实施服务型制造、工业和信息化领域生产性服务业发展政策，推动先进制造业和现代服务业深度融合。推动工业设计、现代物流、会展业等发展，负责工业遗产保护、工业文化建设和工业、信息产品市场建设。</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（八）负责全区工业和信息化领域的行业发展管理。研究提出推动行业发展、加强行业管理的政策建</w:t>
      </w:r>
      <w:r>
        <w:rPr>
          <w:rFonts w:ascii="仿宋" w:eastAsia="仿宋" w:hAnsi="仿宋" w:cs="仿宋"/>
        </w:rPr>
        <w:t>议，制订并实施行业发展规划、准入标准，协调解决行业发展中重大问题。指导民爆、船舶行业安全生产工作。负责工业和信息化应急管理、产业安全和国防动员有关工作。指导工业和信息化领域的对外交流与合作。</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统筹推进全区信息化发展。协调推进经济社会信息化发展，深化信息技术应用。协调重大信息基础设施建设，协调信息服务业领域涉及公共社会利益的重大事项，推动跨行业、跨部门的互连互通。配合做好全区无线电管理工作。</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（十）负责推进工业化和信息化融合发展。指导推进</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先进制造业</w:t>
      </w:r>
      <w:r>
        <w:rPr>
          <w:rFonts w:ascii="仿宋" w:eastAsia="仿宋" w:hAnsi="仿宋" w:cs="仿宋"/>
        </w:rPr>
        <w:t>”</w:t>
      </w:r>
      <w:r>
        <w:rPr>
          <w:rFonts w:ascii="仿宋" w:eastAsia="仿宋" w:hAnsi="仿宋" w:cs="仿宋"/>
        </w:rPr>
        <w:t>、人工智能与制造业融合创新应用、智能制造发展</w:t>
      </w:r>
      <w:r>
        <w:rPr>
          <w:rFonts w:ascii="仿宋" w:eastAsia="仿宋" w:hAnsi="仿宋" w:cs="仿宋"/>
        </w:rPr>
        <w:t>和产业数字化转型。指导推进工业信息安全保障工作。</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综合协调全社会节能工作。制订并实施全社会工业节能规划与工业和信息化领域循环经济发展、清洁生产、资源综合利用规划及促进政策，实施能耗强度管理，承担节能监督管理工作。组织协调节能改造和绿色制造示范工程，指导节能环保产业发展。</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培育发展全区大企业大集团和龙头骨干企业。制订并实施培育发展大企业大集团、龙头骨干企业的政策措施。推动企业管理创新和建立现代企业制度，推动企业家队伍建设和产业人才开发，组织指导企业经营管理人才教育培训。协调企业重大资产重组项目</w:t>
      </w:r>
      <w:r>
        <w:rPr>
          <w:rFonts w:ascii="仿宋" w:eastAsia="仿宋" w:hAnsi="仿宋" w:cs="仿宋"/>
        </w:rPr>
        <w:t>。牵头推进企业减负降本。</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负责全区中小企业和民营经济发展的宏观指导和服务。会同有关部门制订并组织实施促进中小企业和民营经济发展政策，协调解决发展中的有关重大问题。负责中小企业公共服务平台和社会化服务体系建设。开展中小企业梯次培育，推进中小企业专精特新发展，培育制造业单项冠军和</w:t>
      </w:r>
      <w:r>
        <w:rPr>
          <w:rFonts w:ascii="仿宋" w:eastAsia="仿宋" w:hAnsi="仿宋" w:cs="仿宋"/>
        </w:rPr>
        <w:t>“</w:t>
      </w:r>
      <w:r>
        <w:rPr>
          <w:rFonts w:ascii="仿宋" w:eastAsia="仿宋" w:hAnsi="仿宋" w:cs="仿宋"/>
        </w:rPr>
        <w:t>隐形冠军</w:t>
      </w:r>
      <w:r>
        <w:rPr>
          <w:rFonts w:ascii="仿宋" w:eastAsia="仿宋" w:hAnsi="仿宋" w:cs="仿宋"/>
        </w:rPr>
        <w:t>”</w:t>
      </w:r>
      <w:r>
        <w:rPr>
          <w:rFonts w:ascii="仿宋" w:eastAsia="仿宋" w:hAnsi="仿宋" w:cs="仿宋"/>
        </w:rPr>
        <w:t>企业，促进中小企业与大企业融通发展。</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（十四）协助省、市国防科技工业办公室做好有关国防科技工业、军品科研生产、武器装备科研生产许可、保密认证以及军工统计等相关工作，负责军工系统安全生产标准化达标建设推进工作和全区国防</w:t>
      </w:r>
      <w:r>
        <w:rPr>
          <w:rFonts w:ascii="仿宋" w:eastAsia="仿宋" w:hAnsi="仿宋" w:cs="仿宋"/>
        </w:rPr>
        <w:t>科技工业保密监督管理工作。负责全区船舶行业管理。</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（十五）完成区委、区政府交办的其他任务。</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六）职能转变。深化供给侧结构性改革，推动信息化和工业化、先进制造业和现代服务业深度融合发展，打造自主可控的先进制造业体系，建设制造强区、网络强区。提升工业和信息化运行监测、预测预警和预期引导能力，推动工业和信息化高质量发展。优化产行业管理，逐步减少微观管理事务，最大程度减少对工业和信息化领域市场资源的直接配置，进一步激发市场活力，创造良好营商环境。</w:t>
      </w:r>
    </w:p>
    <w:p w:rsidR="00721C8E" w:rsidRDefault="0045513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办公室（财务科）、组织人事科、运行监测协调科（区减轻企业负担工作办公室）、产业政策与产业投资科、行业发展服务科、中小企业科（民营经济促进科）、信息化发展科、安全生产监督管理科、节能与综合利用科以及机关党委。本部门无下属单位。</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w:t>
      </w:r>
      <w:r>
        <w:rPr>
          <w:rFonts w:ascii="仿宋" w:eastAsia="仿宋" w:hAnsi="仿宋" w:cs="仿宋" w:hint="eastAsia"/>
        </w:rPr>
        <w:t>预算</w:t>
      </w:r>
      <w:r>
        <w:rPr>
          <w:rFonts w:ascii="仿宋" w:eastAsia="仿宋" w:hAnsi="仿宋" w:cs="仿宋" w:hint="eastAsia"/>
        </w:rPr>
        <w:t>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w:t>
      </w:r>
      <w:r>
        <w:rPr>
          <w:rFonts w:ascii="仿宋" w:eastAsia="仿宋" w:hAnsi="仿宋" w:cs="仿宋" w:hint="eastAsia"/>
        </w:rPr>
        <w:t>预算</w:t>
      </w:r>
      <w:r>
        <w:rPr>
          <w:rFonts w:ascii="仿宋" w:eastAsia="仿宋" w:hAnsi="仿宋" w:cs="仿宋" w:hint="eastAsia"/>
        </w:rPr>
        <w:t>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常州市武进区工业和信息化局（本级）。</w:t>
      </w:r>
    </w:p>
    <w:p w:rsidR="00721C8E" w:rsidRDefault="00455134">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2023</w:t>
      </w:r>
      <w:r>
        <w:rPr>
          <w:rFonts w:ascii="仿宋" w:eastAsia="仿宋" w:hAnsi="仿宋" w:cs="仿宋"/>
        </w:rPr>
        <w:t>年是全面贯彻落实党的二十大精神的开局之年</w:t>
      </w:r>
      <w:r>
        <w:rPr>
          <w:rFonts w:ascii="仿宋" w:eastAsia="仿宋" w:hAnsi="仿宋" w:cs="仿宋"/>
        </w:rPr>
        <w:t>,</w:t>
      </w:r>
      <w:r>
        <w:rPr>
          <w:rFonts w:ascii="仿宋" w:eastAsia="仿宋" w:hAnsi="仿宋" w:cs="仿宋"/>
        </w:rPr>
        <w:t>也是实施</w:t>
      </w:r>
      <w:r>
        <w:rPr>
          <w:rFonts w:ascii="仿宋" w:eastAsia="仿宋" w:hAnsi="仿宋" w:cs="仿宋"/>
        </w:rPr>
        <w:t>“</w:t>
      </w:r>
      <w:r>
        <w:rPr>
          <w:rFonts w:ascii="仿宋" w:eastAsia="仿宋" w:hAnsi="仿宋" w:cs="仿宋"/>
        </w:rPr>
        <w:t>十四五</w:t>
      </w:r>
      <w:r>
        <w:rPr>
          <w:rFonts w:ascii="仿宋" w:eastAsia="仿宋" w:hAnsi="仿宋" w:cs="仿宋"/>
        </w:rPr>
        <w:t>”</w:t>
      </w:r>
      <w:r>
        <w:rPr>
          <w:rFonts w:ascii="仿宋" w:eastAsia="仿宋" w:hAnsi="仿宋" w:cs="仿宋"/>
        </w:rPr>
        <w:t>规划承上启下的关键一年，区工</w:t>
      </w:r>
      <w:r>
        <w:rPr>
          <w:rFonts w:ascii="仿宋" w:eastAsia="仿宋" w:hAnsi="仿宋" w:cs="仿宋"/>
        </w:rPr>
        <w:t>信局将坚持稳中求进工作总基调，完整、准确、全面贯彻新发展理念，坚持改革创新，统筹发展和安全，坚持不懈走绿色发展之路，向着产业高端强链补链，聚力智能升级推进企业深耕转型，推进产业质态不断提升，奋力建设国际化智造名城、打造长三角产业中轴。</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（一）抓好</w:t>
      </w:r>
      <w:r>
        <w:rPr>
          <w:rFonts w:ascii="仿宋" w:eastAsia="仿宋" w:hAnsi="仿宋" w:cs="仿宋"/>
        </w:rPr>
        <w:t>“</w:t>
      </w:r>
      <w:r>
        <w:rPr>
          <w:rFonts w:ascii="仿宋" w:eastAsia="仿宋" w:hAnsi="仿宋" w:cs="仿宋"/>
        </w:rPr>
        <w:t>项目建设</w:t>
      </w:r>
      <w:r>
        <w:rPr>
          <w:rFonts w:ascii="仿宋" w:eastAsia="仿宋" w:hAnsi="仿宋" w:cs="仿宋"/>
        </w:rPr>
        <w:t>”</w:t>
      </w:r>
      <w:r>
        <w:rPr>
          <w:rFonts w:ascii="仿宋" w:eastAsia="仿宋" w:hAnsi="仿宋" w:cs="仿宋"/>
        </w:rPr>
        <w:t>，发展后劲不断夯实。一是运行监测</w:t>
      </w:r>
      <w:r>
        <w:rPr>
          <w:rFonts w:ascii="仿宋" w:eastAsia="仿宋" w:hAnsi="仿宋" w:cs="仿宋"/>
        </w:rPr>
        <w:t>“</w:t>
      </w:r>
      <w:r>
        <w:rPr>
          <w:rFonts w:ascii="仿宋" w:eastAsia="仿宋" w:hAnsi="仿宋" w:cs="仿宋"/>
        </w:rPr>
        <w:t>再加强</w:t>
      </w:r>
      <w:r>
        <w:rPr>
          <w:rFonts w:ascii="仿宋" w:eastAsia="仿宋" w:hAnsi="仿宋" w:cs="仿宋"/>
        </w:rPr>
        <w:t>”</w:t>
      </w:r>
      <w:r>
        <w:rPr>
          <w:rFonts w:ascii="仿宋" w:eastAsia="仿宋" w:hAnsi="仿宋" w:cs="仿宋"/>
        </w:rPr>
        <w:t>。紧盯主要年度工业目标，针对复杂多变的国内国际宏观经济环境，加强运行监测，做好工业经济运行和各项目标完成的跟踪、督查、预测和预警工作。围绕全区工业经济新增长点，跟踪服务一批结构优、附加值高、效益好的重点、新增长点</w:t>
      </w:r>
      <w:r>
        <w:rPr>
          <w:rFonts w:ascii="仿宋" w:eastAsia="仿宋" w:hAnsi="仿宋" w:cs="仿宋"/>
        </w:rPr>
        <w:t>企业，保障全区工业经济平稳健康运行。二是有效投资</w:t>
      </w:r>
      <w:r>
        <w:rPr>
          <w:rFonts w:ascii="仿宋" w:eastAsia="仿宋" w:hAnsi="仿宋" w:cs="仿宋"/>
        </w:rPr>
        <w:t>“</w:t>
      </w:r>
      <w:r>
        <w:rPr>
          <w:rFonts w:ascii="仿宋" w:eastAsia="仿宋" w:hAnsi="仿宋" w:cs="仿宋"/>
        </w:rPr>
        <w:t>再扩大</w:t>
      </w:r>
      <w:r>
        <w:rPr>
          <w:rFonts w:ascii="仿宋" w:eastAsia="仿宋" w:hAnsi="仿宋" w:cs="仿宋"/>
        </w:rPr>
        <w:t>”</w:t>
      </w:r>
      <w:r>
        <w:rPr>
          <w:rFonts w:ascii="仿宋" w:eastAsia="仿宋" w:hAnsi="仿宋" w:cs="仿宋"/>
        </w:rPr>
        <w:t>。做好工业投资分析研判，帮助企业把握企业政策导向，协调要素保障，发挥投资对优化供给结构的关键性作用，确保投资稳定增长，力争</w:t>
      </w:r>
      <w:r>
        <w:rPr>
          <w:rFonts w:ascii="仿宋" w:eastAsia="仿宋" w:hAnsi="仿宋" w:cs="仿宋"/>
        </w:rPr>
        <w:t>2023</w:t>
      </w:r>
      <w:r>
        <w:rPr>
          <w:rFonts w:ascii="仿宋" w:eastAsia="仿宋" w:hAnsi="仿宋" w:cs="仿宋"/>
        </w:rPr>
        <w:t>年度全区工业投资增长</w:t>
      </w:r>
      <w:r>
        <w:rPr>
          <w:rFonts w:ascii="仿宋" w:eastAsia="仿宋" w:hAnsi="仿宋" w:cs="仿宋"/>
        </w:rPr>
        <w:t>8.0%</w:t>
      </w:r>
      <w:r>
        <w:rPr>
          <w:rFonts w:ascii="仿宋" w:eastAsia="仿宋" w:hAnsi="仿宋" w:cs="仿宋"/>
        </w:rPr>
        <w:t>以上，重点亿元技改项目完成</w:t>
      </w:r>
      <w:r>
        <w:rPr>
          <w:rFonts w:ascii="仿宋" w:eastAsia="仿宋" w:hAnsi="仿宋" w:cs="仿宋"/>
        </w:rPr>
        <w:t>6</w:t>
      </w:r>
      <w:r>
        <w:rPr>
          <w:rFonts w:ascii="仿宋" w:eastAsia="仿宋" w:hAnsi="仿宋" w:cs="仿宋"/>
        </w:rPr>
        <w:t>个以上，推进</w:t>
      </w:r>
      <w:r>
        <w:rPr>
          <w:rFonts w:ascii="仿宋" w:eastAsia="仿宋" w:hAnsi="仿宋" w:cs="仿宋"/>
        </w:rPr>
        <w:t>150</w:t>
      </w:r>
      <w:r>
        <w:rPr>
          <w:rFonts w:ascii="仿宋" w:eastAsia="仿宋" w:hAnsi="仿宋" w:cs="仿宋"/>
        </w:rPr>
        <w:t>个以上区重点项目建设。三是项目推进</w:t>
      </w:r>
      <w:r>
        <w:rPr>
          <w:rFonts w:ascii="仿宋" w:eastAsia="仿宋" w:hAnsi="仿宋" w:cs="仿宋"/>
        </w:rPr>
        <w:t>“</w:t>
      </w:r>
      <w:r>
        <w:rPr>
          <w:rFonts w:ascii="仿宋" w:eastAsia="仿宋" w:hAnsi="仿宋" w:cs="仿宋"/>
        </w:rPr>
        <w:t>再加力</w:t>
      </w:r>
      <w:r>
        <w:rPr>
          <w:rFonts w:ascii="仿宋" w:eastAsia="仿宋" w:hAnsi="仿宋" w:cs="仿宋"/>
        </w:rPr>
        <w:t>”</w:t>
      </w:r>
      <w:r>
        <w:rPr>
          <w:rFonts w:ascii="仿宋" w:eastAsia="仿宋" w:hAnsi="仿宋" w:cs="仿宋"/>
        </w:rPr>
        <w:t>。通过问题收集、导向计划、项目推进、政策扶持等方式，加大对区重点工业项目推进力度，力保省、市、区重点项目全年投资目标达到预定计划。启动</w:t>
      </w:r>
      <w:r>
        <w:rPr>
          <w:rFonts w:ascii="仿宋" w:eastAsia="仿宋" w:hAnsi="仿宋" w:cs="仿宋"/>
        </w:rPr>
        <w:t>2023</w:t>
      </w:r>
      <w:r>
        <w:rPr>
          <w:rFonts w:ascii="仿宋" w:eastAsia="仿宋" w:hAnsi="仿宋" w:cs="仿宋"/>
        </w:rPr>
        <w:t>年区重点工业项目摸排，争取</w:t>
      </w:r>
      <w:r>
        <w:rPr>
          <w:rFonts w:ascii="仿宋" w:eastAsia="仿宋" w:hAnsi="仿宋" w:cs="仿宋"/>
        </w:rPr>
        <w:t>2023</w:t>
      </w:r>
      <w:r>
        <w:rPr>
          <w:rFonts w:ascii="仿宋" w:eastAsia="仿宋" w:hAnsi="仿宋" w:cs="仿宋"/>
        </w:rPr>
        <w:t>年实施</w:t>
      </w:r>
      <w:r>
        <w:rPr>
          <w:rFonts w:ascii="仿宋" w:eastAsia="仿宋" w:hAnsi="仿宋" w:cs="仿宋"/>
        </w:rPr>
        <w:t>200</w:t>
      </w:r>
      <w:r>
        <w:rPr>
          <w:rFonts w:ascii="仿宋" w:eastAsia="仿宋" w:hAnsi="仿宋" w:cs="仿宋"/>
        </w:rPr>
        <w:t>个以上投资超</w:t>
      </w:r>
      <w:r>
        <w:rPr>
          <w:rFonts w:ascii="仿宋" w:eastAsia="仿宋" w:hAnsi="仿宋" w:cs="仿宋"/>
        </w:rPr>
        <w:t>500</w:t>
      </w:r>
      <w:r>
        <w:rPr>
          <w:rFonts w:ascii="仿宋" w:eastAsia="仿宋" w:hAnsi="仿宋" w:cs="仿宋"/>
        </w:rPr>
        <w:t>0</w:t>
      </w:r>
      <w:r>
        <w:rPr>
          <w:rFonts w:ascii="仿宋" w:eastAsia="仿宋" w:hAnsi="仿宋" w:cs="仿宋"/>
        </w:rPr>
        <w:t>万元的工业项目，总投资和当年投资分别超过</w:t>
      </w:r>
      <w:r>
        <w:rPr>
          <w:rFonts w:ascii="仿宋" w:eastAsia="仿宋" w:hAnsi="仿宋" w:cs="仿宋"/>
        </w:rPr>
        <w:t>800</w:t>
      </w:r>
      <w:r>
        <w:rPr>
          <w:rFonts w:ascii="仿宋" w:eastAsia="仿宋" w:hAnsi="仿宋" w:cs="仿宋"/>
        </w:rPr>
        <w:t>亿元和</w:t>
      </w:r>
      <w:r>
        <w:rPr>
          <w:rFonts w:ascii="仿宋" w:eastAsia="仿宋" w:hAnsi="仿宋" w:cs="仿宋"/>
        </w:rPr>
        <w:t>200</w:t>
      </w:r>
      <w:r>
        <w:rPr>
          <w:rFonts w:ascii="仿宋" w:eastAsia="仿宋" w:hAnsi="仿宋" w:cs="仿宋"/>
        </w:rPr>
        <w:t>亿元，新建项目开工率力争达</w:t>
      </w:r>
      <w:r>
        <w:rPr>
          <w:rFonts w:ascii="仿宋" w:eastAsia="仿宋" w:hAnsi="仿宋" w:cs="仿宋"/>
        </w:rPr>
        <w:t>80%</w:t>
      </w:r>
      <w:r>
        <w:rPr>
          <w:rFonts w:ascii="仿宋" w:eastAsia="仿宋" w:hAnsi="仿宋" w:cs="仿宋"/>
        </w:rPr>
        <w:t>以上。</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（二）抓好</w:t>
      </w:r>
      <w:r>
        <w:rPr>
          <w:rFonts w:ascii="仿宋" w:eastAsia="仿宋" w:hAnsi="仿宋" w:cs="仿宋"/>
        </w:rPr>
        <w:t>“</w:t>
      </w:r>
      <w:r>
        <w:rPr>
          <w:rFonts w:ascii="仿宋" w:eastAsia="仿宋" w:hAnsi="仿宋" w:cs="仿宋"/>
        </w:rPr>
        <w:t>创新驱动</w:t>
      </w:r>
      <w:r>
        <w:rPr>
          <w:rFonts w:ascii="仿宋" w:eastAsia="仿宋" w:hAnsi="仿宋" w:cs="仿宋"/>
        </w:rPr>
        <w:t>”</w:t>
      </w:r>
      <w:r>
        <w:rPr>
          <w:rFonts w:ascii="仿宋" w:eastAsia="仿宋" w:hAnsi="仿宋" w:cs="仿宋"/>
        </w:rPr>
        <w:t>，内生动力不断增强。一是制造业创新中心建设</w:t>
      </w:r>
      <w:r>
        <w:rPr>
          <w:rFonts w:ascii="仿宋" w:eastAsia="仿宋" w:hAnsi="仿宋" w:cs="仿宋"/>
        </w:rPr>
        <w:t>“</w:t>
      </w:r>
      <w:r>
        <w:rPr>
          <w:rFonts w:ascii="仿宋" w:eastAsia="仿宋" w:hAnsi="仿宋" w:cs="仿宋"/>
        </w:rPr>
        <w:t>快马加鞭</w:t>
      </w:r>
      <w:r>
        <w:rPr>
          <w:rFonts w:ascii="仿宋" w:eastAsia="仿宋" w:hAnsi="仿宋" w:cs="仿宋"/>
        </w:rPr>
        <w:t>”</w:t>
      </w:r>
      <w:r>
        <w:rPr>
          <w:rFonts w:ascii="仿宋" w:eastAsia="仿宋" w:hAnsi="仿宋" w:cs="仿宋"/>
        </w:rPr>
        <w:t>。推动国家级制造业创新中心创建步伐，加快完善运营机制、制定发展规划、整合高端资源、研发共性关键技术、加快知识产权和标准布局，引领行业发展，</w:t>
      </w:r>
      <w:r>
        <w:rPr>
          <w:rFonts w:ascii="仿宋" w:eastAsia="仿宋" w:hAnsi="仿宋" w:cs="仿宋"/>
        </w:rPr>
        <w:t>“</w:t>
      </w:r>
      <w:r>
        <w:rPr>
          <w:rFonts w:ascii="仿宋" w:eastAsia="仿宋" w:hAnsi="仿宋" w:cs="仿宋"/>
        </w:rPr>
        <w:t>新能源汽车能源与信息创新中心</w:t>
      </w:r>
      <w:r>
        <w:rPr>
          <w:rFonts w:ascii="仿宋" w:eastAsia="仿宋" w:hAnsi="仿宋" w:cs="仿宋"/>
        </w:rPr>
        <w:t>”</w:t>
      </w:r>
      <w:r>
        <w:rPr>
          <w:rFonts w:ascii="仿宋" w:eastAsia="仿宋" w:hAnsi="仿宋" w:cs="仿宋"/>
        </w:rPr>
        <w:t>在目前省级试点基础上冲刺国家制造业创新中心。围绕</w:t>
      </w:r>
      <w:r>
        <w:rPr>
          <w:rFonts w:ascii="仿宋" w:eastAsia="仿宋" w:hAnsi="仿宋" w:cs="仿宋"/>
        </w:rPr>
        <w:t>“95X”</w:t>
      </w:r>
      <w:r>
        <w:rPr>
          <w:rFonts w:ascii="仿宋" w:eastAsia="仿宋" w:hAnsi="仿宋" w:cs="仿宋"/>
        </w:rPr>
        <w:t>产业体系，组织我区轨道交通、工业互联网、机器人等行业企业来了解创新中心，力争再牵头建设</w:t>
      </w:r>
      <w:r>
        <w:rPr>
          <w:rFonts w:ascii="仿宋" w:eastAsia="仿宋" w:hAnsi="仿宋" w:cs="仿宋"/>
        </w:rPr>
        <w:t>1</w:t>
      </w:r>
      <w:r>
        <w:rPr>
          <w:rFonts w:ascii="仿宋" w:eastAsia="仿宋" w:hAnsi="仿宋" w:cs="仿宋"/>
        </w:rPr>
        <w:t>家创新中心、参与建设</w:t>
      </w:r>
      <w:r>
        <w:rPr>
          <w:rFonts w:ascii="仿宋" w:eastAsia="仿宋" w:hAnsi="仿宋" w:cs="仿宋"/>
        </w:rPr>
        <w:t>2</w:t>
      </w:r>
      <w:r>
        <w:rPr>
          <w:rFonts w:ascii="仿宋" w:eastAsia="仿宋" w:hAnsi="仿宋" w:cs="仿宋"/>
        </w:rPr>
        <w:t>家创新中心。力争</w:t>
      </w:r>
      <w:r>
        <w:rPr>
          <w:rFonts w:ascii="仿宋" w:eastAsia="仿宋" w:hAnsi="仿宋" w:cs="仿宋"/>
        </w:rPr>
        <w:t>2023</w:t>
      </w:r>
      <w:r>
        <w:rPr>
          <w:rFonts w:ascii="仿宋" w:eastAsia="仿宋" w:hAnsi="仿宋" w:cs="仿宋"/>
        </w:rPr>
        <w:t>年我区获得</w:t>
      </w:r>
      <w:r>
        <w:rPr>
          <w:rFonts w:ascii="仿宋" w:eastAsia="仿宋" w:hAnsi="仿宋" w:cs="仿宋"/>
        </w:rPr>
        <w:t>3</w:t>
      </w:r>
      <w:r>
        <w:rPr>
          <w:rFonts w:ascii="仿宋" w:eastAsia="仿宋" w:hAnsi="仿宋" w:cs="仿宋"/>
        </w:rPr>
        <w:t>个以上核心关键技术攻关省级项目。二是企业技术中心培育</w:t>
      </w:r>
      <w:r>
        <w:rPr>
          <w:rFonts w:ascii="仿宋" w:eastAsia="仿宋" w:hAnsi="仿宋" w:cs="仿宋"/>
        </w:rPr>
        <w:t>“</w:t>
      </w:r>
      <w:r>
        <w:rPr>
          <w:rFonts w:ascii="仿宋" w:eastAsia="仿宋" w:hAnsi="仿宋" w:cs="仿宋"/>
        </w:rPr>
        <w:t>再接再厉</w:t>
      </w:r>
      <w:r>
        <w:rPr>
          <w:rFonts w:ascii="仿宋" w:eastAsia="仿宋" w:hAnsi="仿宋" w:cs="仿宋"/>
        </w:rPr>
        <w:t>”</w:t>
      </w:r>
      <w:r>
        <w:rPr>
          <w:rFonts w:ascii="仿宋" w:eastAsia="仿宋" w:hAnsi="仿宋" w:cs="仿宋"/>
        </w:rPr>
        <w:t>。争取国家级企业技术中心创建工作取得新突破，力争启动培育</w:t>
      </w:r>
      <w:r>
        <w:rPr>
          <w:rFonts w:ascii="仿宋" w:eastAsia="仿宋" w:hAnsi="仿宋" w:cs="仿宋"/>
        </w:rPr>
        <w:t>1</w:t>
      </w:r>
      <w:r>
        <w:rPr>
          <w:rFonts w:ascii="仿宋" w:eastAsia="仿宋" w:hAnsi="仿宋" w:cs="仿宋"/>
        </w:rPr>
        <w:t>家国家级企业技术中心。稳步推进省级、市级企业技术中心培育，提前制定好培育计划，开展申报培训辅导，及时关注省市申报通知，全面组织好申报工作。督促企业软实力提升和硬件建设，指导企业迎接现场考核与答辩，</w:t>
      </w:r>
      <w:r>
        <w:rPr>
          <w:rFonts w:ascii="仿宋" w:eastAsia="仿宋" w:hAnsi="仿宋" w:cs="仿宋"/>
        </w:rPr>
        <w:t>2023</w:t>
      </w:r>
      <w:r>
        <w:rPr>
          <w:rFonts w:ascii="仿宋" w:eastAsia="仿宋" w:hAnsi="仿宋" w:cs="仿宋"/>
        </w:rPr>
        <w:t>年争取新认定省级企业技术中心</w:t>
      </w:r>
      <w:r>
        <w:rPr>
          <w:rFonts w:ascii="仿宋" w:eastAsia="仿宋" w:hAnsi="仿宋" w:cs="仿宋"/>
        </w:rPr>
        <w:t>6</w:t>
      </w:r>
      <w:r>
        <w:rPr>
          <w:rFonts w:ascii="仿宋" w:eastAsia="仿宋" w:hAnsi="仿宋" w:cs="仿宋"/>
        </w:rPr>
        <w:t>家、市级企业技术中心</w:t>
      </w:r>
      <w:r>
        <w:rPr>
          <w:rFonts w:ascii="仿宋" w:eastAsia="仿宋" w:hAnsi="仿宋" w:cs="仿宋"/>
        </w:rPr>
        <w:t>20</w:t>
      </w:r>
      <w:r>
        <w:rPr>
          <w:rFonts w:ascii="仿宋" w:eastAsia="仿宋" w:hAnsi="仿宋" w:cs="仿宋"/>
        </w:rPr>
        <w:t>家以上。做好两年一度的省级、市级企业技术中心评价工作。三是新技术新产品应用</w:t>
      </w:r>
      <w:r>
        <w:rPr>
          <w:rFonts w:ascii="仿宋" w:eastAsia="仿宋" w:hAnsi="仿宋" w:cs="仿宋"/>
        </w:rPr>
        <w:t>“</w:t>
      </w:r>
      <w:r>
        <w:rPr>
          <w:rFonts w:ascii="仿宋" w:eastAsia="仿宋" w:hAnsi="仿宋" w:cs="仿宋"/>
        </w:rPr>
        <w:t>力争上游</w:t>
      </w:r>
      <w:r>
        <w:rPr>
          <w:rFonts w:ascii="仿宋" w:eastAsia="仿宋" w:hAnsi="仿宋" w:cs="仿宋"/>
        </w:rPr>
        <w:t>”</w:t>
      </w:r>
      <w:r>
        <w:rPr>
          <w:rFonts w:ascii="仿宋" w:eastAsia="仿宋" w:hAnsi="仿宋" w:cs="仿宋"/>
        </w:rPr>
        <w:t>。引导鼓</w:t>
      </w:r>
      <w:r>
        <w:rPr>
          <w:rFonts w:ascii="仿宋" w:eastAsia="仿宋" w:hAnsi="仿宋" w:cs="仿宋"/>
        </w:rPr>
        <w:t>励企业积极研发新产品，组织好新技术新产品鉴定。做好省重点推广应用的新技术新产品上目录的宣传和申报工作，提高该项工作在企业中的影响力，切实引导企业开发、使用新技术新产品，促进技术进步，实现产业升级。加力推进高端装备制造业发展，鼓励企业开展首台（套）重大装备、关键核心装备研发制造，重点加大首台（套）智能化成套设备和关键部件的应用推广。四是生产服务两业融合</w:t>
      </w:r>
      <w:r>
        <w:rPr>
          <w:rFonts w:ascii="仿宋" w:eastAsia="仿宋" w:hAnsi="仿宋" w:cs="仿宋"/>
        </w:rPr>
        <w:t>“</w:t>
      </w:r>
      <w:r>
        <w:rPr>
          <w:rFonts w:ascii="仿宋" w:eastAsia="仿宋" w:hAnsi="仿宋" w:cs="仿宋"/>
        </w:rPr>
        <w:t>全面深化</w:t>
      </w:r>
      <w:r>
        <w:rPr>
          <w:rFonts w:ascii="仿宋" w:eastAsia="仿宋" w:hAnsi="仿宋" w:cs="仿宋"/>
        </w:rPr>
        <w:t>”</w:t>
      </w:r>
      <w:r>
        <w:rPr>
          <w:rFonts w:ascii="仿宋" w:eastAsia="仿宋" w:hAnsi="仿宋" w:cs="仿宋"/>
        </w:rPr>
        <w:t>。加快先进制造业和现代服务业深度融合，大力推广工业设计、服务型制造等新型制造模式和产业形态，有效助力我区广大企业创新增效。</w:t>
      </w:r>
      <w:r>
        <w:rPr>
          <w:rFonts w:ascii="仿宋" w:eastAsia="仿宋" w:hAnsi="仿宋" w:cs="仿宋"/>
        </w:rPr>
        <w:t>2023</w:t>
      </w:r>
      <w:r>
        <w:rPr>
          <w:rFonts w:ascii="仿宋" w:eastAsia="仿宋" w:hAnsi="仿宋" w:cs="仿宋"/>
        </w:rPr>
        <w:t>年争取新增认定省级</w:t>
      </w:r>
      <w:r>
        <w:rPr>
          <w:rFonts w:ascii="仿宋" w:eastAsia="仿宋" w:hAnsi="仿宋" w:cs="仿宋"/>
        </w:rPr>
        <w:t>以上工业设计中心和服务型制造示范企业（平台）</w:t>
      </w:r>
      <w:r>
        <w:rPr>
          <w:rFonts w:ascii="仿宋" w:eastAsia="仿宋" w:hAnsi="仿宋" w:cs="仿宋"/>
        </w:rPr>
        <w:t>6</w:t>
      </w:r>
      <w:r>
        <w:rPr>
          <w:rFonts w:ascii="仿宋" w:eastAsia="仿宋" w:hAnsi="仿宋" w:cs="仿宋"/>
        </w:rPr>
        <w:t>家以上，国家级服务型制造示范企业（平台）实现零突破。</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（三）抓好</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，转型升级不断加快。一是全力推进入企诊断。全力支持各镇、开发区和诊断服务商推进入企诊断工作，面向各板块开展诊断讲解、政策答疑、方案宣讲等一系列活动，以更大力度营造</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全覆盖的工作氛围。对诊断结论严格把控，鼓励服务商通过回访和后续服务，详细讲解诊断结论应用方向，在输出诊断能力的同时，输出</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理念，同步推进思维和行为改造。二是完善培育企业名单。围绕市政府最新的</w:t>
      </w:r>
      <w:r>
        <w:rPr>
          <w:rFonts w:ascii="仿宋" w:eastAsia="仿宋" w:hAnsi="仿宋" w:cs="仿宋"/>
        </w:rPr>
        <w:t>“</w:t>
      </w:r>
      <w:r>
        <w:rPr>
          <w:rFonts w:ascii="仿宋" w:eastAsia="仿宋" w:hAnsi="仿宋" w:cs="仿宋"/>
        </w:rPr>
        <w:t>十链突破</w:t>
      </w:r>
      <w:r>
        <w:rPr>
          <w:rFonts w:ascii="仿宋" w:eastAsia="仿宋" w:hAnsi="仿宋" w:cs="仿宋"/>
        </w:rPr>
        <w:t>”“</w:t>
      </w:r>
      <w:r>
        <w:rPr>
          <w:rFonts w:ascii="仿宋" w:eastAsia="仿宋" w:hAnsi="仿宋" w:cs="仿宋"/>
        </w:rPr>
        <w:t>百</w:t>
      </w:r>
      <w:r>
        <w:rPr>
          <w:rFonts w:ascii="仿宋" w:eastAsia="仿宋" w:hAnsi="仿宋" w:cs="仿宋"/>
        </w:rPr>
        <w:t>企领航</w:t>
      </w:r>
      <w:r>
        <w:rPr>
          <w:rFonts w:ascii="仿宋" w:eastAsia="仿宋" w:hAnsi="仿宋" w:cs="仿宋"/>
        </w:rPr>
        <w:t>”“</w:t>
      </w:r>
      <w:r>
        <w:rPr>
          <w:rFonts w:ascii="仿宋" w:eastAsia="仿宋" w:hAnsi="仿宋" w:cs="仿宋"/>
        </w:rPr>
        <w:t>千景应用</w:t>
      </w:r>
      <w:r>
        <w:rPr>
          <w:rFonts w:ascii="仿宋" w:eastAsia="仿宋" w:hAnsi="仿宋" w:cs="仿宋"/>
        </w:rPr>
        <w:t>”</w:t>
      </w:r>
      <w:r>
        <w:rPr>
          <w:rFonts w:ascii="仿宋" w:eastAsia="仿宋" w:hAnsi="仿宋" w:cs="仿宋"/>
        </w:rPr>
        <w:t>三大工程，形成武进企业培育库，构建高效稳定、安全可控、富有韧性的产业链、供应链，围绕</w:t>
      </w:r>
      <w:r>
        <w:rPr>
          <w:rFonts w:ascii="仿宋" w:eastAsia="仿宋" w:hAnsi="仿宋" w:cs="仿宋"/>
        </w:rPr>
        <w:t>“</w:t>
      </w:r>
      <w:r>
        <w:rPr>
          <w:rFonts w:ascii="仿宋" w:eastAsia="仿宋" w:hAnsi="仿宋" w:cs="仿宋"/>
        </w:rPr>
        <w:t>专精特新</w:t>
      </w:r>
      <w:r>
        <w:rPr>
          <w:rFonts w:ascii="仿宋" w:eastAsia="仿宋" w:hAnsi="仿宋" w:cs="仿宋"/>
        </w:rPr>
        <w:t>”</w:t>
      </w:r>
      <w:r>
        <w:rPr>
          <w:rFonts w:ascii="仿宋" w:eastAsia="仿宋" w:hAnsi="仿宋" w:cs="仿宋"/>
        </w:rPr>
        <w:t>、上市（后备）等重点领域企业，结合武进机器人十条，全面推广</w:t>
      </w:r>
      <w:r>
        <w:rPr>
          <w:rFonts w:ascii="仿宋" w:eastAsia="仿宋" w:hAnsi="仿宋" w:cs="仿宋"/>
        </w:rPr>
        <w:t>“</w:t>
      </w:r>
      <w:r>
        <w:rPr>
          <w:rFonts w:ascii="仿宋" w:eastAsia="仿宋" w:hAnsi="仿宋" w:cs="仿宋"/>
        </w:rPr>
        <w:t>机器人</w:t>
      </w:r>
      <w:r>
        <w:rPr>
          <w:rFonts w:ascii="仿宋" w:eastAsia="仿宋" w:hAnsi="仿宋" w:cs="仿宋"/>
        </w:rPr>
        <w:t>+”</w:t>
      </w:r>
      <w:r>
        <w:rPr>
          <w:rFonts w:ascii="仿宋" w:eastAsia="仿宋" w:hAnsi="仿宋" w:cs="仿宋"/>
        </w:rPr>
        <w:t>各类场景改造，助力传统产业和中小微企业体验式、步进式</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升级。三是全面加强案例推广。依托常州市建设的</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案例库数字化平台，将全区智能工厂、智能车间、工业互联网标杆工厂、工业互联网示范平台等建设的成功案例按行业领域、企业类型、应用阶段、工段工序等进行整理和推介。一方面，以图表化的方式展现案例的改造路径、基本设备</w:t>
      </w:r>
      <w:r>
        <w:rPr>
          <w:rFonts w:ascii="仿宋" w:eastAsia="仿宋" w:hAnsi="仿宋" w:cs="仿宋"/>
        </w:rPr>
        <w:t>（软件）、效益分析等信息，赋能同行企业</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，另一方面，通过宏量</w:t>
      </w:r>
      <w:r>
        <w:rPr>
          <w:rFonts w:ascii="仿宋" w:eastAsia="仿宋" w:hAnsi="仿宋" w:cs="仿宋"/>
        </w:rPr>
        <w:t>“</w:t>
      </w:r>
      <w:r>
        <w:rPr>
          <w:rFonts w:ascii="仿宋" w:eastAsia="仿宋" w:hAnsi="仿宋" w:cs="仿宋"/>
        </w:rPr>
        <w:t>易查易懂易推广</w:t>
      </w:r>
      <w:r>
        <w:rPr>
          <w:rFonts w:ascii="仿宋" w:eastAsia="仿宋" w:hAnsi="仿宋" w:cs="仿宋"/>
        </w:rPr>
        <w:t>”</w:t>
      </w:r>
      <w:r>
        <w:rPr>
          <w:rFonts w:ascii="仿宋" w:eastAsia="仿宋" w:hAnsi="仿宋" w:cs="仿宋"/>
        </w:rPr>
        <w:t>案例，体现武进</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发展水平。</w:t>
      </w:r>
      <w:r>
        <w:rPr>
          <w:rFonts w:ascii="仿宋" w:eastAsia="仿宋" w:hAnsi="仿宋" w:cs="仿宋"/>
        </w:rPr>
        <w:t>2023</w:t>
      </w:r>
      <w:r>
        <w:rPr>
          <w:rFonts w:ascii="仿宋" w:eastAsia="仿宋" w:hAnsi="仿宋" w:cs="仿宋"/>
        </w:rPr>
        <w:t>年争取市级智能车间</w:t>
      </w:r>
      <w:r>
        <w:rPr>
          <w:rFonts w:ascii="仿宋" w:eastAsia="仿宋" w:hAnsi="仿宋" w:cs="仿宋"/>
        </w:rPr>
        <w:t>10</w:t>
      </w:r>
      <w:r>
        <w:rPr>
          <w:rFonts w:ascii="仿宋" w:eastAsia="仿宋" w:hAnsi="仿宋" w:cs="仿宋"/>
        </w:rPr>
        <w:t>家以上、省级智能车间</w:t>
      </w:r>
      <w:r>
        <w:rPr>
          <w:rFonts w:ascii="仿宋" w:eastAsia="仿宋" w:hAnsi="仿宋" w:cs="仿宋"/>
        </w:rPr>
        <w:t>8</w:t>
      </w:r>
      <w:r>
        <w:rPr>
          <w:rFonts w:ascii="仿宋" w:eastAsia="仿宋" w:hAnsi="仿宋" w:cs="仿宋"/>
        </w:rPr>
        <w:t>家以上。四是全力推进标杆创建。在</w:t>
      </w:r>
      <w:r>
        <w:rPr>
          <w:rFonts w:ascii="仿宋" w:eastAsia="仿宋" w:hAnsi="仿宋" w:cs="仿宋"/>
        </w:rPr>
        <w:t>2022</w:t>
      </w:r>
      <w:r>
        <w:rPr>
          <w:rFonts w:ascii="仿宋" w:eastAsia="仿宋" w:hAnsi="仿宋" w:cs="仿宋"/>
        </w:rPr>
        <w:t>年市标</w:t>
      </w:r>
      <w:r>
        <w:rPr>
          <w:rFonts w:ascii="仿宋" w:eastAsia="仿宋" w:hAnsi="仿宋" w:cs="仿宋"/>
        </w:rPr>
        <w:t>“</w:t>
      </w:r>
      <w:r>
        <w:rPr>
          <w:rFonts w:ascii="仿宋" w:eastAsia="仿宋" w:hAnsi="仿宋" w:cs="仿宋"/>
        </w:rPr>
        <w:t>十大先进制造业集群壮大工程</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重点项目库基础上，健全全区</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项目库，将</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诊断、案例与标杆项目创建进行有机结合，创建</w:t>
      </w:r>
      <w:r>
        <w:rPr>
          <w:rFonts w:ascii="仿宋" w:eastAsia="仿宋" w:hAnsi="仿宋" w:cs="仿宋"/>
        </w:rPr>
        <w:t>20</w:t>
      </w:r>
      <w:r>
        <w:rPr>
          <w:rFonts w:ascii="仿宋" w:eastAsia="仿宋" w:hAnsi="仿宋" w:cs="仿宋"/>
        </w:rPr>
        <w:t>个</w:t>
      </w:r>
      <w:r>
        <w:rPr>
          <w:rFonts w:ascii="仿宋" w:eastAsia="仿宋" w:hAnsi="仿宋" w:cs="仿宋"/>
        </w:rPr>
        <w:t>“</w:t>
      </w:r>
      <w:r>
        <w:rPr>
          <w:rFonts w:ascii="仿宋" w:eastAsia="仿宋" w:hAnsi="仿宋" w:cs="仿宋"/>
        </w:rPr>
        <w:t>智改数转</w:t>
      </w:r>
      <w:r>
        <w:rPr>
          <w:rFonts w:ascii="仿宋" w:eastAsia="仿宋" w:hAnsi="仿宋" w:cs="仿宋"/>
        </w:rPr>
        <w:t>”</w:t>
      </w:r>
      <w:r>
        <w:rPr>
          <w:rFonts w:ascii="仿宋" w:eastAsia="仿宋" w:hAnsi="仿宋" w:cs="仿宋"/>
        </w:rPr>
        <w:t>标杆项目。同时，与世界接轨，与全球制造业领域智能制造和数字化最高水平对标，鼓励恒立液压、万帮股份、理想汽车、汇川新能源等智能制造</w:t>
      </w:r>
      <w:r>
        <w:rPr>
          <w:rFonts w:ascii="仿宋" w:eastAsia="仿宋" w:hAnsi="仿宋" w:cs="仿宋"/>
        </w:rPr>
        <w:t>前列企业创建</w:t>
      </w:r>
      <w:r>
        <w:rPr>
          <w:rFonts w:ascii="仿宋" w:eastAsia="仿宋" w:hAnsi="仿宋" w:cs="仿宋"/>
        </w:rPr>
        <w:t>“</w:t>
      </w:r>
      <w:r>
        <w:rPr>
          <w:rFonts w:ascii="仿宋" w:eastAsia="仿宋" w:hAnsi="仿宋" w:cs="仿宋"/>
        </w:rPr>
        <w:t>灯塔工厂</w:t>
      </w:r>
      <w:r>
        <w:rPr>
          <w:rFonts w:ascii="仿宋" w:eastAsia="仿宋" w:hAnsi="仿宋" w:cs="仿宋"/>
        </w:rPr>
        <w:t>”</w:t>
      </w:r>
      <w:r>
        <w:rPr>
          <w:rFonts w:ascii="仿宋" w:eastAsia="仿宋" w:hAnsi="仿宋" w:cs="仿宋"/>
        </w:rPr>
        <w:t>，进一步擦亮武进智造名片。</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（四）抓好</w:t>
      </w:r>
      <w:r>
        <w:rPr>
          <w:rFonts w:ascii="仿宋" w:eastAsia="仿宋" w:hAnsi="仿宋" w:cs="仿宋"/>
        </w:rPr>
        <w:t>“</w:t>
      </w:r>
      <w:r>
        <w:rPr>
          <w:rFonts w:ascii="仿宋" w:eastAsia="仿宋" w:hAnsi="仿宋" w:cs="仿宋"/>
        </w:rPr>
        <w:t>专精特新</w:t>
      </w:r>
      <w:r>
        <w:rPr>
          <w:rFonts w:ascii="仿宋" w:eastAsia="仿宋" w:hAnsi="仿宋" w:cs="仿宋"/>
        </w:rPr>
        <w:t>”</w:t>
      </w:r>
      <w:r>
        <w:rPr>
          <w:rFonts w:ascii="仿宋" w:eastAsia="仿宋" w:hAnsi="仿宋" w:cs="仿宋"/>
        </w:rPr>
        <w:t>，产业能级不断提升。一是立足常态化。强化日常走访服务意识，有效扩容全区专精特新培育库，争取将培育库企业从</w:t>
      </w:r>
      <w:r>
        <w:rPr>
          <w:rFonts w:ascii="仿宋" w:eastAsia="仿宋" w:hAnsi="仿宋" w:cs="仿宋"/>
        </w:rPr>
        <w:t>800</w:t>
      </w:r>
      <w:r>
        <w:rPr>
          <w:rFonts w:ascii="仿宋" w:eastAsia="仿宋" w:hAnsi="仿宋" w:cs="仿宋"/>
        </w:rPr>
        <w:t>家提升至</w:t>
      </w:r>
      <w:r>
        <w:rPr>
          <w:rFonts w:ascii="仿宋" w:eastAsia="仿宋" w:hAnsi="仿宋" w:cs="仿宋"/>
        </w:rPr>
        <w:t>1000</w:t>
      </w:r>
      <w:r>
        <w:rPr>
          <w:rFonts w:ascii="仿宋" w:eastAsia="仿宋" w:hAnsi="仿宋" w:cs="仿宋"/>
        </w:rPr>
        <w:t>家以上。二是立足精准化。精准开展专精特新诊断提升服务工作，对专注细分领域、成长性好、有自主创新能力和核心竞争力的工业企业进行走访、调研，提前筛选当年度预申报国家和省、市专精特新企业名单，提前介入并指导企业完善申报指标，补齐短板，提高申报认定率。三是立足引领化。以提升产业高质量发展水平和创新力，助推优势特色产业量</w:t>
      </w:r>
      <w:r>
        <w:rPr>
          <w:rFonts w:ascii="仿宋" w:eastAsia="仿宋" w:hAnsi="仿宋" w:cs="仿宋"/>
        </w:rPr>
        <w:t>质并举，能级跃升为目标，鼓励并支持制造业单项冠军、专精特新</w:t>
      </w:r>
      <w:r>
        <w:rPr>
          <w:rFonts w:ascii="仿宋" w:eastAsia="仿宋" w:hAnsi="仿宋" w:cs="仿宋"/>
        </w:rPr>
        <w:t>“</w:t>
      </w:r>
      <w:r>
        <w:rPr>
          <w:rFonts w:ascii="仿宋" w:eastAsia="仿宋" w:hAnsi="仿宋" w:cs="仿宋"/>
        </w:rPr>
        <w:t>小巨人</w:t>
      </w:r>
      <w:r>
        <w:rPr>
          <w:rFonts w:ascii="仿宋" w:eastAsia="仿宋" w:hAnsi="仿宋" w:cs="仿宋"/>
        </w:rPr>
        <w:t>”</w:t>
      </w:r>
      <w:r>
        <w:rPr>
          <w:rFonts w:ascii="仿宋" w:eastAsia="仿宋" w:hAnsi="仿宋" w:cs="仿宋"/>
        </w:rPr>
        <w:t>企业发挥引领带动作用，支持各类企业与</w:t>
      </w:r>
      <w:r>
        <w:rPr>
          <w:rFonts w:ascii="仿宋" w:eastAsia="仿宋" w:hAnsi="仿宋" w:cs="仿宋"/>
        </w:rPr>
        <w:t>“</w:t>
      </w:r>
      <w:r>
        <w:rPr>
          <w:rFonts w:ascii="仿宋" w:eastAsia="仿宋" w:hAnsi="仿宋" w:cs="仿宋"/>
        </w:rPr>
        <w:t>小巨人</w:t>
      </w:r>
      <w:r>
        <w:rPr>
          <w:rFonts w:ascii="仿宋" w:eastAsia="仿宋" w:hAnsi="仿宋" w:cs="仿宋"/>
        </w:rPr>
        <w:t>”</w:t>
      </w:r>
      <w:r>
        <w:rPr>
          <w:rFonts w:ascii="仿宋" w:eastAsia="仿宋" w:hAnsi="仿宋" w:cs="仿宋"/>
        </w:rPr>
        <w:t>企业协同创新、产业链上下游协作配套，支撑产业链补链延链固链、提升产业链供应链稳定性和竞争力。四是立足长效化。出台全区专精特新企业发展扶持奖励政策体系。一方面，完善</w:t>
      </w:r>
      <w:r>
        <w:rPr>
          <w:rFonts w:ascii="仿宋" w:eastAsia="仿宋" w:hAnsi="仿宋" w:cs="仿宋"/>
        </w:rPr>
        <w:t>“</w:t>
      </w:r>
      <w:r>
        <w:rPr>
          <w:rFonts w:ascii="仿宋" w:eastAsia="仿宋" w:hAnsi="仿宋" w:cs="仿宋"/>
        </w:rPr>
        <w:t>专精特新</w:t>
      </w:r>
      <w:r>
        <w:rPr>
          <w:rFonts w:ascii="仿宋" w:eastAsia="仿宋" w:hAnsi="仿宋" w:cs="仿宋"/>
        </w:rPr>
        <w:t>”</w:t>
      </w:r>
      <w:r>
        <w:rPr>
          <w:rFonts w:ascii="仿宋" w:eastAsia="仿宋" w:hAnsi="仿宋" w:cs="仿宋"/>
        </w:rPr>
        <w:t>中小企业服务体系，建立部门协同配合、共同推动的工作机制。另一方面，出台区级层面资金奖补政策，重点出台针对市、区级专精特新类企业的奖补政策，有效激发企业走专精特新发展之路的内生动力。</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五）抓好</w:t>
      </w:r>
      <w:r>
        <w:rPr>
          <w:rFonts w:ascii="仿宋" w:eastAsia="仿宋" w:hAnsi="仿宋" w:cs="仿宋"/>
        </w:rPr>
        <w:t>“</w:t>
      </w:r>
      <w:r>
        <w:rPr>
          <w:rFonts w:ascii="仿宋" w:eastAsia="仿宋" w:hAnsi="仿宋" w:cs="仿宋"/>
        </w:rPr>
        <w:t>绿色安全</w:t>
      </w:r>
      <w:r>
        <w:rPr>
          <w:rFonts w:ascii="仿宋" w:eastAsia="仿宋" w:hAnsi="仿宋" w:cs="仿宋"/>
        </w:rPr>
        <w:t>”</w:t>
      </w:r>
      <w:r>
        <w:rPr>
          <w:rFonts w:ascii="仿宋" w:eastAsia="仿宋" w:hAnsi="仿宋" w:cs="仿宋"/>
        </w:rPr>
        <w:t>，发展理念不断更新。一是全力淘汰落后产能。持续推进化工、电镀、铸造、印染、钢铁、铁合金、铝熔炼、有色金属冶炼和稀土等重点行业的管理与服务工作，坚决贯彻落实产业政策，配合有关部门开展专项整治，促进行业安全、绿色高质量发展。二是全力抓好安全生产。综合指导工业和信息化领域加强安全生产管理，深入贯彻上级关于安全生产的各项工作部署。指导船舶企业安全风险摸排，进一步完善船舶企业风险报告制度；加强船舶修造行业安全生产监督检查，确保隐患见底、措施到底、治理彻底。三是全力推进园区提升。按照市、区</w:t>
      </w:r>
      <w:r>
        <w:rPr>
          <w:rFonts w:ascii="仿宋" w:eastAsia="仿宋" w:hAnsi="仿宋" w:cs="仿宋"/>
        </w:rPr>
        <w:t>“</w:t>
      </w:r>
      <w:r>
        <w:rPr>
          <w:rFonts w:ascii="仿宋" w:eastAsia="仿宋" w:hAnsi="仿宋" w:cs="仿宋"/>
        </w:rPr>
        <w:t>危污乱</w:t>
      </w:r>
      <w:r>
        <w:rPr>
          <w:rFonts w:ascii="仿宋" w:eastAsia="仿宋" w:hAnsi="仿宋" w:cs="仿宋"/>
        </w:rPr>
        <w:t>散低</w:t>
      </w:r>
      <w:r>
        <w:rPr>
          <w:rFonts w:ascii="仿宋" w:eastAsia="仿宋" w:hAnsi="仿宋" w:cs="仿宋"/>
        </w:rPr>
        <w:t>”</w:t>
      </w:r>
      <w:r>
        <w:rPr>
          <w:rFonts w:ascii="仿宋" w:eastAsia="仿宋" w:hAnsi="仿宋" w:cs="仿宋"/>
        </w:rPr>
        <w:t>专项行动年度工作部署，依托区工业经济高质量发展平台，全面应用工业企业效益综合评价结果，坚持</w:t>
      </w:r>
      <w:r>
        <w:rPr>
          <w:rFonts w:ascii="仿宋" w:eastAsia="仿宋" w:hAnsi="仿宋" w:cs="仿宋"/>
        </w:rPr>
        <w:t>“</w:t>
      </w:r>
      <w:r>
        <w:rPr>
          <w:rFonts w:ascii="仿宋" w:eastAsia="仿宋" w:hAnsi="仿宋" w:cs="仿宋"/>
        </w:rPr>
        <w:t>以亩均论英雄</w:t>
      </w:r>
      <w:r>
        <w:rPr>
          <w:rFonts w:ascii="仿宋" w:eastAsia="仿宋" w:hAnsi="仿宋" w:cs="仿宋"/>
        </w:rPr>
        <w:t>”</w:t>
      </w:r>
      <w:r>
        <w:rPr>
          <w:rFonts w:ascii="仿宋" w:eastAsia="仿宋" w:hAnsi="仿宋" w:cs="仿宋"/>
        </w:rPr>
        <w:t>鲜明政策导向，全力牵头湖塘沟南工业园等</w:t>
      </w:r>
      <w:r>
        <w:rPr>
          <w:rFonts w:ascii="仿宋" w:eastAsia="仿宋" w:hAnsi="仿宋" w:cs="仿宋"/>
        </w:rPr>
        <w:t>9</w:t>
      </w:r>
      <w:r>
        <w:rPr>
          <w:rFonts w:ascii="仿宋" w:eastAsia="仿宋" w:hAnsi="仿宋" w:cs="仿宋"/>
        </w:rPr>
        <w:t>个园区（工业片区）整治提升工作。加强园区整治提升模式创新应用，统筹推进工业园区形态更新、产业创新升级、发展活力再造，全面提升资源利用效率，加快推进优势产业集聚。四是全力推行绿色制造。组织企业开展节能诊断服务，为节能技改挖掘更大空间。加强重点用能单位能源管理负责人备案，持续开展能源管理人员培训、不断提升队伍素质、提升企业节能工作水平。推进万吨以上标煤企业的能耗</w:t>
      </w:r>
      <w:r>
        <w:rPr>
          <w:rFonts w:ascii="仿宋" w:eastAsia="仿宋" w:hAnsi="仿宋" w:cs="仿宋"/>
        </w:rPr>
        <w:t>在线监测系统安装、运行和维护，通过加强管理，倒逼节能技术改造、压降能源消耗。充分利用省、市扶持政策，加强节能与循环经济项目培育，积极帮助企业争取扶持资金。开展项目管控，加强节能审查，坚决遏制高能耗项目盲目发展。打造绿色制造先进典型，引领绿色低碳发展，积极创建国家级绿色园区、国家级绿色供应链、国家级绿色产品，培育国家级、省级、市级绿色工厂。</w:t>
      </w:r>
    </w:p>
    <w:p w:rsidR="00721C8E" w:rsidRDefault="0045513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（六）抓好</w:t>
      </w:r>
      <w:r>
        <w:rPr>
          <w:rFonts w:ascii="仿宋" w:eastAsia="仿宋" w:hAnsi="仿宋" w:cs="仿宋"/>
        </w:rPr>
        <w:t>“</w:t>
      </w:r>
      <w:r>
        <w:rPr>
          <w:rFonts w:ascii="仿宋" w:eastAsia="仿宋" w:hAnsi="仿宋" w:cs="仿宋"/>
        </w:rPr>
        <w:t>贴心服务</w:t>
      </w:r>
      <w:r>
        <w:rPr>
          <w:rFonts w:ascii="仿宋" w:eastAsia="仿宋" w:hAnsi="仿宋" w:cs="仿宋"/>
        </w:rPr>
        <w:t>”</w:t>
      </w:r>
      <w:r>
        <w:rPr>
          <w:rFonts w:ascii="仿宋" w:eastAsia="仿宋" w:hAnsi="仿宋" w:cs="仿宋"/>
        </w:rPr>
        <w:t>，发展生态不断向优。一是提升服务效率。以深入贯彻</w:t>
      </w:r>
      <w:r>
        <w:rPr>
          <w:rFonts w:ascii="仿宋" w:eastAsia="仿宋" w:hAnsi="仿宋" w:cs="仿宋"/>
        </w:rPr>
        <w:t>“</w:t>
      </w:r>
      <w:r>
        <w:rPr>
          <w:rFonts w:ascii="仿宋" w:eastAsia="仿宋" w:hAnsi="仿宋" w:cs="仿宋"/>
        </w:rPr>
        <w:t>六保</w:t>
      </w:r>
      <w:r>
        <w:rPr>
          <w:rFonts w:ascii="仿宋" w:eastAsia="仿宋" w:hAnsi="仿宋" w:cs="仿宋"/>
        </w:rPr>
        <w:t>”</w:t>
      </w:r>
      <w:r>
        <w:rPr>
          <w:rFonts w:ascii="仿宋" w:eastAsia="仿宋" w:hAnsi="仿宋" w:cs="仿宋"/>
        </w:rPr>
        <w:t>工作部署为重点，及时牵头落实上级各类减负惠企政策和出台区级相关配套措施，全力帮助广大企业减负</w:t>
      </w:r>
      <w:r>
        <w:rPr>
          <w:rFonts w:ascii="仿宋" w:eastAsia="仿宋" w:hAnsi="仿宋" w:cs="仿宋"/>
        </w:rPr>
        <w:t>脱困。突出项目申报引领，积极帮助区内企业争取上级政策支持，加强宣传指导，提升工作成效。鼓励优质产品参加各类市场推广活动，不断提升武进制造业品牌。积极协调重点企业、高成长企业纾困解难，促进全区工业经济基本面稳定向好。二是完善服务体系。做强中小企业公共服务平台，提升其多样化、精准化、便捷化服务和需求快速响应能力。鼓励各类机构利用</w:t>
      </w:r>
      <w:r>
        <w:rPr>
          <w:rFonts w:ascii="仿宋" w:eastAsia="仿宋" w:hAnsi="仿宋" w:cs="仿宋"/>
        </w:rPr>
        <w:t>“</w:t>
      </w:r>
      <w:r>
        <w:rPr>
          <w:rFonts w:ascii="仿宋" w:eastAsia="仿宋" w:hAnsi="仿宋" w:cs="仿宋"/>
        </w:rPr>
        <w:t>互联网</w:t>
      </w:r>
      <w:r>
        <w:rPr>
          <w:rFonts w:ascii="仿宋" w:eastAsia="仿宋" w:hAnsi="仿宋" w:cs="仿宋"/>
        </w:rPr>
        <w:t>+”</w:t>
      </w:r>
      <w:r>
        <w:rPr>
          <w:rFonts w:ascii="仿宋" w:eastAsia="仿宋" w:hAnsi="仿宋" w:cs="仿宋"/>
        </w:rPr>
        <w:t>手段为小微企业提供全方位、深层次、专业化的创新创业服务，瞄准企业技术创新、数字化转型、管理咨询等需求优化服务，推进创新创业项目快速落地、高效转化。三是优化发展环境。营造市场化</w:t>
      </w:r>
      <w:r>
        <w:rPr>
          <w:rFonts w:ascii="仿宋" w:eastAsia="仿宋" w:hAnsi="仿宋" w:cs="仿宋"/>
        </w:rPr>
        <w:t>、法治化、国际化营商环境，保障民营企业依法平等使用资源要素、公开公平公正参与竞争。构建完善中小企业融资服务体系，降低民营企业融资成本，加大对重点行业和中小企业帮扶力度，推动政策跑在疫情受困企业前面。清理拖欠民营企业账款清偿进度达到</w:t>
      </w:r>
      <w:r>
        <w:rPr>
          <w:rFonts w:ascii="仿宋" w:eastAsia="仿宋" w:hAnsi="仿宋" w:cs="仿宋"/>
        </w:rPr>
        <w:t>100%</w:t>
      </w:r>
      <w:r>
        <w:rPr>
          <w:rFonts w:ascii="仿宋" w:eastAsia="仿宋" w:hAnsi="仿宋" w:cs="仿宋"/>
        </w:rPr>
        <w:t>，实现民营实体经济降本减负。</w:t>
      </w:r>
    </w:p>
    <w:p w:rsidR="00721C8E" w:rsidRDefault="00721C8E">
      <w:pPr>
        <w:pStyle w:val="a4"/>
        <w:spacing w:line="235" w:lineRule="auto"/>
        <w:ind w:leftChars="300" w:left="669" w:right="2414" w:hanging="9"/>
        <w:jc w:val="both"/>
        <w:rPr>
          <w:rFonts w:ascii="仿宋" w:eastAsia="仿宋" w:hAnsi="仿宋" w:cs="仿宋"/>
        </w:rPr>
        <w:sectPr w:rsidR="00721C8E">
          <w:footerReference w:type="default" r:id="rId14"/>
          <w:pgSz w:w="11906" w:h="16838"/>
          <w:pgMar w:top="1580" w:right="1020" w:bottom="770" w:left="1020" w:header="170" w:footer="280" w:gutter="0"/>
          <w:pgNumType w:fmt="numberInDash"/>
          <w:cols w:space="720"/>
          <w:formProt w:val="0"/>
          <w:docGrid w:linePitch="100"/>
        </w:sectPr>
      </w:pPr>
    </w:p>
    <w:p w:rsidR="00721C8E" w:rsidRDefault="00721C8E">
      <w:pPr>
        <w:pStyle w:val="a4"/>
        <w:spacing w:line="360" w:lineRule="auto"/>
        <w:ind w:leftChars="200" w:left="440" w:rightChars="229" w:right="504" w:firstLine="658"/>
        <w:jc w:val="both"/>
        <w:rPr>
          <w:rFonts w:ascii="仿宋" w:eastAsia="仿宋" w:hAnsi="仿宋" w:cs="仿宋"/>
          <w:lang w:val="en-US"/>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721C8E">
      <w:pPr>
        <w:pStyle w:val="10"/>
        <w:tabs>
          <w:tab w:val="left" w:pos="1609"/>
        </w:tabs>
        <w:spacing w:before="12" w:line="300" w:lineRule="auto"/>
        <w:ind w:left="340" w:right="567" w:firstLine="0"/>
        <w:jc w:val="center"/>
        <w:rPr>
          <w:rFonts w:ascii="仿宋" w:eastAsia="仿宋" w:hAnsi="仿宋" w:cs="仿宋"/>
          <w:b/>
          <w:bCs/>
          <w:sz w:val="44"/>
          <w:szCs w:val="44"/>
        </w:rPr>
      </w:pPr>
    </w:p>
    <w:p w:rsidR="00721C8E" w:rsidRDefault="0045513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721C8E" w:rsidRDefault="0045513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721C8E" w:rsidRDefault="00455134">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常州市武进区工业和信息化局</w:t>
      </w:r>
    </w:p>
    <w:p w:rsidR="00721C8E" w:rsidRDefault="00455134">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721C8E">
        <w:trPr>
          <w:cantSplit/>
          <w:trHeight w:val="116"/>
          <w:jc w:val="center"/>
        </w:trPr>
        <w:tc>
          <w:tcPr>
            <w:tcW w:w="11329" w:type="dxa"/>
            <w:gridSpan w:val="5"/>
            <w:vAlign w:val="center"/>
          </w:tcPr>
          <w:p w:rsidR="00721C8E" w:rsidRDefault="00455134">
            <w:pPr>
              <w:pageBreakBefore/>
              <w:jc w:val="both"/>
              <w:rPr>
                <w:rFonts w:ascii="仿宋" w:eastAsia="仿宋" w:hAnsi="仿宋" w:cs="仿宋"/>
                <w:color w:val="000000"/>
                <w:lang w:eastAsia="ar-SA"/>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721C8E">
        <w:trPr>
          <w:cantSplit/>
          <w:trHeight w:val="348"/>
          <w:jc w:val="center"/>
        </w:trPr>
        <w:tc>
          <w:tcPr>
            <w:tcW w:w="11329" w:type="dxa"/>
            <w:gridSpan w:val="5"/>
          </w:tcPr>
          <w:p w:rsidR="00721C8E" w:rsidRDefault="00455134">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721C8E">
        <w:trPr>
          <w:cantSplit/>
          <w:trHeight w:val="333"/>
          <w:jc w:val="center"/>
        </w:trPr>
        <w:tc>
          <w:tcPr>
            <w:tcW w:w="9481" w:type="dxa"/>
            <w:gridSpan w:val="3"/>
            <w:tcBorders>
              <w:bottom w:val="single" w:sz="4" w:space="0" w:color="000000"/>
            </w:tcBorders>
            <w:vAlign w:val="center"/>
          </w:tcPr>
          <w:p w:rsidR="00721C8E" w:rsidRDefault="00455134">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常州市武进区工业和信息化局</w:t>
            </w:r>
          </w:p>
        </w:tc>
        <w:tc>
          <w:tcPr>
            <w:tcW w:w="1848" w:type="dxa"/>
            <w:gridSpan w:val="2"/>
            <w:tcBorders>
              <w:bottom w:val="single" w:sz="4" w:space="0" w:color="000000"/>
            </w:tcBorders>
            <w:vAlign w:val="center"/>
          </w:tcPr>
          <w:p w:rsidR="00721C8E" w:rsidRDefault="00455134">
            <w:pPr>
              <w:jc w:val="right"/>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hint="eastAsia"/>
                <w:color w:val="000000"/>
              </w:rPr>
              <w:t>：万元</w:t>
            </w:r>
          </w:p>
        </w:tc>
      </w:tr>
      <w:tr w:rsidR="00721C8E">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721C8E">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2,843.03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1,677.97</w:t>
            </w: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266.30</w:t>
            </w: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47.99</w:t>
            </w: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850.77</w:t>
            </w: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721C8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keepNext/>
              <w:keepLines/>
              <w:jc w:val="right"/>
              <w:rPr>
                <w:rFonts w:ascii="仿宋" w:eastAsia="仿宋" w:hAnsi="仿宋" w:cs="仿宋"/>
                <w:color w:val="000000"/>
                <w:lang w:eastAsia="ar-SA"/>
              </w:rPr>
            </w:pPr>
          </w:p>
        </w:tc>
      </w:tr>
      <w:tr w:rsidR="00721C8E">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right"/>
              <w:rPr>
                <w:rFonts w:ascii="仿宋" w:eastAsia="仿宋" w:hAnsi="仿宋" w:cs="仿宋"/>
                <w:b/>
                <w:bCs/>
                <w:color w:val="000000"/>
                <w:lang w:val="en-US"/>
              </w:rPr>
            </w:pPr>
            <w:r>
              <w:rPr>
                <w:rFonts w:ascii="仿宋" w:eastAsia="仿宋" w:hAnsi="仿宋" w:cs="仿宋" w:hint="eastAsia"/>
                <w:b/>
                <w:bCs/>
                <w:color w:val="000000"/>
                <w:lang w:val="en-US"/>
              </w:rPr>
              <w:t>2,843.03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right"/>
              <w:rPr>
                <w:rFonts w:ascii="仿宋" w:eastAsia="仿宋" w:hAnsi="仿宋" w:cs="仿宋"/>
                <w:b/>
                <w:bCs/>
                <w:color w:val="000000"/>
                <w:lang w:val="en-US"/>
              </w:rPr>
            </w:pPr>
            <w:r>
              <w:rPr>
                <w:rFonts w:ascii="仿宋" w:eastAsia="仿宋" w:hAnsi="仿宋" w:cs="仿宋" w:hint="eastAsia"/>
                <w:b/>
                <w:bCs/>
                <w:color w:val="000000"/>
                <w:lang w:val="en-US"/>
              </w:rPr>
              <w:t>2,843.03</w:t>
            </w:r>
          </w:p>
        </w:tc>
      </w:tr>
      <w:tr w:rsidR="00721C8E">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721C8E">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721C8E">
            <w:pPr>
              <w:jc w:val="right"/>
              <w:rPr>
                <w:rFonts w:ascii="仿宋" w:eastAsia="仿宋" w:hAnsi="仿宋" w:cs="仿宋"/>
                <w:b/>
                <w:bCs/>
                <w:color w:val="000000"/>
                <w:lang w:val="en-US"/>
              </w:rPr>
            </w:pPr>
          </w:p>
        </w:tc>
      </w:tr>
      <w:tr w:rsidR="00721C8E">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2,843.03</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721C8E" w:rsidRDefault="00455134">
            <w:pPr>
              <w:jc w:val="right"/>
              <w:rPr>
                <w:rFonts w:ascii="仿宋" w:eastAsia="仿宋" w:hAnsi="仿宋" w:cs="仿宋"/>
                <w:b/>
                <w:bCs/>
                <w:color w:val="000000"/>
                <w:lang w:val="en-US"/>
              </w:rPr>
            </w:pPr>
            <w:r>
              <w:rPr>
                <w:rFonts w:ascii="仿宋" w:eastAsia="仿宋" w:hAnsi="仿宋" w:cs="仿宋" w:hint="eastAsia"/>
                <w:b/>
                <w:bCs/>
                <w:color w:val="000000"/>
                <w:lang w:val="en-US"/>
              </w:rPr>
              <w:t>2,843.03</w:t>
            </w:r>
          </w:p>
        </w:tc>
      </w:tr>
    </w:tbl>
    <w:p w:rsidR="00721C8E" w:rsidRDefault="00721C8E">
      <w:pPr>
        <w:spacing w:before="66"/>
        <w:rPr>
          <w:rFonts w:ascii="仿宋" w:eastAsia="仿宋" w:hAnsi="仿宋" w:cs="仿宋"/>
          <w:b/>
          <w:bCs/>
          <w:color w:val="000000"/>
        </w:rPr>
        <w:sectPr w:rsidR="00721C8E">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721C8E">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21C8E" w:rsidRDefault="00455134">
            <w:pPr>
              <w:pStyle w:val="TableParagraph"/>
              <w:rPr>
                <w:rFonts w:ascii="仿宋" w:eastAsia="仿宋" w:hAnsi="仿宋" w:cs="仿宋"/>
                <w:lang w:val="en-US"/>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721C8E">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721C8E" w:rsidRDefault="00455134">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21C8E">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721C8E" w:rsidRDefault="00455134">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单位</w:t>
            </w:r>
            <w:r>
              <w:rPr>
                <w:rFonts w:ascii="仿宋" w:eastAsia="仿宋" w:hAnsi="仿宋" w:cs="仿宋" w:hint="eastAsia"/>
              </w:rPr>
              <w:t>：万元</w:t>
            </w:r>
          </w:p>
        </w:tc>
      </w:tr>
      <w:tr w:rsidR="00721C8E">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721C8E">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721C8E" w:rsidRDefault="00455134">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721C8E">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2,843.03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2,843.03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2,843.03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val="en-US"/>
              </w:rPr>
            </w:pPr>
          </w:p>
        </w:tc>
      </w:tr>
      <w:tr w:rsidR="00721C8E">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常州市武进区工业和信息化局</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r>
      <w:tr w:rsidR="00721C8E">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402001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常州市武进区工业和信息化局（本级）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2,843.03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pacing w:line="34" w:lineRule="atLeast"/>
              <w:ind w:right="45"/>
              <w:jc w:val="right"/>
              <w:rPr>
                <w:rFonts w:ascii="仿宋" w:eastAsia="仿宋" w:hAnsi="仿宋" w:cs="仿宋"/>
                <w:color w:val="000000"/>
                <w:sz w:val="15"/>
                <w:szCs w:val="15"/>
                <w:lang w:eastAsia="ar-SA"/>
              </w:rPr>
            </w:pPr>
          </w:p>
        </w:tc>
      </w:tr>
    </w:tbl>
    <w:p w:rsidR="00721C8E" w:rsidRDefault="00721C8E">
      <w:pPr>
        <w:spacing w:before="66"/>
        <w:rPr>
          <w:rFonts w:ascii="仿宋" w:eastAsia="仿宋" w:hAnsi="仿宋" w:cs="仿宋"/>
          <w:b/>
          <w:bCs/>
        </w:rPr>
        <w:sectPr w:rsidR="00721C8E">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721C8E">
        <w:trPr>
          <w:cantSplit/>
          <w:trHeight w:val="341"/>
        </w:trPr>
        <w:tc>
          <w:tcPr>
            <w:tcW w:w="15347" w:type="dxa"/>
            <w:gridSpan w:val="8"/>
            <w:vAlign w:val="center"/>
          </w:tcPr>
          <w:p w:rsidR="00721C8E" w:rsidRDefault="00455134">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721C8E">
        <w:trPr>
          <w:cantSplit/>
          <w:trHeight w:val="321"/>
        </w:trPr>
        <w:tc>
          <w:tcPr>
            <w:tcW w:w="15347" w:type="dxa"/>
            <w:gridSpan w:val="8"/>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721C8E">
        <w:trPr>
          <w:cantSplit/>
          <w:trHeight w:val="218"/>
        </w:trPr>
        <w:tc>
          <w:tcPr>
            <w:tcW w:w="12030" w:type="dxa"/>
            <w:gridSpan w:val="6"/>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3317" w:type="dxa"/>
            <w:gridSpan w:val="2"/>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21C8E">
        <w:trPr>
          <w:cantSplit/>
          <w:trHeight w:val="533"/>
        </w:trPr>
        <w:tc>
          <w:tcPr>
            <w:tcW w:w="1556"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721C8E">
        <w:trPr>
          <w:cantSplit/>
          <w:trHeight w:hRule="exact" w:val="375"/>
        </w:trPr>
        <w:tc>
          <w:tcPr>
            <w:tcW w:w="4779" w:type="dxa"/>
            <w:gridSpan w:val="2"/>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2,843.03</w:t>
            </w:r>
          </w:p>
        </w:tc>
        <w:tc>
          <w:tcPr>
            <w:tcW w:w="1714"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2,325.67</w:t>
            </w:r>
          </w:p>
        </w:tc>
        <w:tc>
          <w:tcPr>
            <w:tcW w:w="1749"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868" w:type="dxa"/>
            <w:tcBorders>
              <w:left w:val="single" w:sz="4" w:space="0" w:color="000000"/>
              <w:bottom w:val="single" w:sz="4" w:space="0" w:color="000000"/>
            </w:tcBorders>
            <w:vAlign w:val="center"/>
          </w:tcPr>
          <w:p w:rsidR="00721C8E" w:rsidRDefault="00721C8E">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721C8E" w:rsidRDefault="00721C8E">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1,677.97</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749"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20113</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商贸事务</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1,677.97</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749"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2011301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2011302</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714"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99.53</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99.53</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21011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2101101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26.32</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26.32</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2101102</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10.47</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10.47</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2101103</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公务员医疗补助</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549.39</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549.39</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r w:rsidR="00721C8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2210203</w:t>
            </w:r>
          </w:p>
        </w:tc>
        <w:tc>
          <w:tcPr>
            <w:tcW w:w="3223"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127.62</w:t>
            </w:r>
          </w:p>
        </w:tc>
        <w:tc>
          <w:tcPr>
            <w:tcW w:w="1714" w:type="dxa"/>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127.62</w:t>
            </w:r>
          </w:p>
        </w:tc>
        <w:tc>
          <w:tcPr>
            <w:tcW w:w="1749"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721C8E" w:rsidRDefault="00721C8E">
            <w:pPr>
              <w:pStyle w:val="TableParagraph"/>
              <w:jc w:val="right"/>
              <w:rPr>
                <w:rFonts w:ascii="仿宋" w:eastAsia="仿宋" w:hAnsi="仿宋" w:cs="仿宋"/>
              </w:rPr>
            </w:pPr>
          </w:p>
        </w:tc>
      </w:tr>
    </w:tbl>
    <w:p w:rsidR="00721C8E" w:rsidRDefault="00721C8E">
      <w:pPr>
        <w:spacing w:before="59"/>
        <w:ind w:left="57"/>
        <w:rPr>
          <w:rFonts w:ascii="仿宋" w:eastAsia="仿宋" w:hAnsi="仿宋" w:cs="仿宋"/>
          <w:b/>
          <w:bCs/>
        </w:rPr>
        <w:sectPr w:rsidR="00721C8E">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721C8E">
        <w:trPr>
          <w:cantSplit/>
          <w:trHeight w:val="319"/>
        </w:trPr>
        <w:tc>
          <w:tcPr>
            <w:tcW w:w="15789" w:type="dxa"/>
            <w:gridSpan w:val="4"/>
          </w:tcPr>
          <w:p w:rsidR="00721C8E" w:rsidRDefault="0045513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721C8E">
        <w:trPr>
          <w:cantSplit/>
          <w:trHeight w:val="319"/>
        </w:trPr>
        <w:tc>
          <w:tcPr>
            <w:tcW w:w="15789" w:type="dxa"/>
            <w:gridSpan w:val="4"/>
          </w:tcPr>
          <w:p w:rsidR="00721C8E" w:rsidRDefault="00455134">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721C8E">
        <w:trPr>
          <w:cantSplit/>
          <w:trHeight w:val="319"/>
        </w:trPr>
        <w:tc>
          <w:tcPr>
            <w:tcW w:w="11890" w:type="dxa"/>
            <w:gridSpan w:val="3"/>
          </w:tcPr>
          <w:p w:rsidR="00721C8E" w:rsidRDefault="0045513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3899" w:type="dxa"/>
            <w:vAlign w:val="center"/>
          </w:tcPr>
          <w:p w:rsidR="00721C8E" w:rsidRDefault="00455134">
            <w:pPr>
              <w:pStyle w:val="TableParagraph"/>
              <w:jc w:val="right"/>
              <w:rPr>
                <w:rFonts w:ascii="仿宋" w:eastAsia="仿宋" w:hAnsi="仿宋" w:cs="仿宋"/>
              </w:rPr>
            </w:pPr>
            <w:r>
              <w:rPr>
                <w:rFonts w:ascii="仿宋" w:eastAsia="仿宋" w:hAnsi="仿宋" w:cs="仿宋" w:hint="eastAsia"/>
              </w:rPr>
              <w:t>单位</w:t>
            </w:r>
            <w:r>
              <w:rPr>
                <w:rFonts w:ascii="仿宋" w:eastAsia="仿宋" w:hAnsi="仿宋" w:cs="仿宋" w:hint="eastAsia"/>
              </w:rPr>
              <w:t>：万元</w:t>
            </w:r>
          </w:p>
        </w:tc>
      </w:tr>
      <w:tr w:rsidR="00721C8E">
        <w:trPr>
          <w:cantSplit/>
          <w:trHeight w:val="196"/>
        </w:trPr>
        <w:tc>
          <w:tcPr>
            <w:tcW w:w="7947" w:type="dxa"/>
            <w:gridSpan w:val="2"/>
            <w:tcBorders>
              <w:top w:val="single" w:sz="4" w:space="0" w:color="000000"/>
              <w:left w:val="single" w:sz="4" w:space="0" w:color="000000"/>
              <w:bottom w:val="single" w:sz="4" w:space="0" w:color="000000"/>
            </w:tcBorders>
          </w:tcPr>
          <w:p w:rsidR="00721C8E" w:rsidRDefault="00455134">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721C8E" w:rsidRDefault="00455134">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721C8E">
        <w:trPr>
          <w:cantSplit/>
          <w:trHeight w:val="468"/>
        </w:trPr>
        <w:tc>
          <w:tcPr>
            <w:tcW w:w="3987"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c>
          <w:tcPr>
            <w:tcW w:w="3943" w:type="dxa"/>
            <w:tcBorders>
              <w:left w:val="single" w:sz="4" w:space="0" w:color="000000"/>
              <w:bottom w:val="single" w:sz="4" w:space="0" w:color="000000"/>
            </w:tcBorders>
            <w:vAlign w:val="center"/>
          </w:tcPr>
          <w:p w:rsidR="00721C8E" w:rsidRDefault="00455134">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b/>
                <w:bCs/>
              </w:rPr>
            </w:pPr>
            <w:r>
              <w:rPr>
                <w:rFonts w:ascii="仿宋" w:eastAsia="仿宋" w:hAnsi="仿宋" w:cs="仿宋" w:hint="eastAsia"/>
                <w:b/>
                <w:bCs/>
              </w:rPr>
              <w:t>预算</w:t>
            </w:r>
            <w:r>
              <w:rPr>
                <w:rFonts w:ascii="仿宋" w:eastAsia="仿宋" w:hAnsi="仿宋" w:cs="仿宋" w:hint="eastAsia"/>
                <w:b/>
                <w:bCs/>
              </w:rPr>
              <w:t>数</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2,843.03</w:t>
            </w: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2,843.03</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2,843.03</w:t>
            </w: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1,677.97</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266.30</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47.99</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850.77</w:t>
            </w: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lang w:val="en-US"/>
              </w:rPr>
            </w:pPr>
          </w:p>
        </w:tc>
      </w:tr>
      <w:tr w:rsidR="00721C8E">
        <w:trPr>
          <w:cantSplit/>
          <w:trHeight w:hRule="exact" w:val="296"/>
        </w:trPr>
        <w:tc>
          <w:tcPr>
            <w:tcW w:w="3987"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721C8E" w:rsidRDefault="00455134">
            <w:pPr>
              <w:jc w:val="right"/>
              <w:rPr>
                <w:rFonts w:ascii="仿宋" w:eastAsia="仿宋" w:hAnsi="仿宋" w:cs="仿宋"/>
              </w:rPr>
            </w:pPr>
            <w:r>
              <w:rPr>
                <w:rFonts w:ascii="仿宋" w:eastAsia="仿宋" w:hAnsi="仿宋" w:cs="仿宋" w:hint="eastAsia"/>
              </w:rPr>
              <w:t>2,843.03</w:t>
            </w:r>
          </w:p>
        </w:tc>
        <w:tc>
          <w:tcPr>
            <w:tcW w:w="3943"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721C8E" w:rsidRDefault="00455134">
            <w:pPr>
              <w:jc w:val="right"/>
              <w:rPr>
                <w:rFonts w:ascii="仿宋" w:eastAsia="仿宋" w:hAnsi="仿宋" w:cs="仿宋"/>
              </w:rPr>
            </w:pPr>
            <w:r>
              <w:rPr>
                <w:rFonts w:ascii="仿宋" w:eastAsia="仿宋" w:hAnsi="仿宋" w:cs="仿宋" w:hint="eastAsia"/>
              </w:rPr>
              <w:t>2,843.03</w:t>
            </w:r>
          </w:p>
        </w:tc>
      </w:tr>
    </w:tbl>
    <w:p w:rsidR="00721C8E" w:rsidRDefault="00721C8E">
      <w:pPr>
        <w:ind w:leftChars="-100" w:left="-220"/>
        <w:rPr>
          <w:rFonts w:ascii="仿宋" w:eastAsia="仿宋" w:hAnsi="仿宋" w:cs="仿宋"/>
          <w:b/>
          <w:bCs/>
        </w:rPr>
        <w:sectPr w:rsidR="00721C8E">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721C8E">
        <w:trPr>
          <w:cantSplit/>
          <w:trHeight w:val="321"/>
        </w:trPr>
        <w:tc>
          <w:tcPr>
            <w:tcW w:w="15216" w:type="dxa"/>
            <w:gridSpan w:val="7"/>
            <w:vAlign w:val="center"/>
          </w:tcPr>
          <w:p w:rsidR="00721C8E" w:rsidRDefault="00455134">
            <w:pPr>
              <w:pStyle w:val="TableParagraph"/>
              <w:spacing w:after="34" w:line="34" w:lineRule="atLeast"/>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721C8E">
        <w:trPr>
          <w:cantSplit/>
          <w:trHeight w:val="321"/>
        </w:trPr>
        <w:tc>
          <w:tcPr>
            <w:tcW w:w="15216" w:type="dxa"/>
            <w:gridSpan w:val="7"/>
          </w:tcPr>
          <w:p w:rsidR="00721C8E" w:rsidRDefault="00455134">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721C8E">
        <w:trPr>
          <w:cantSplit/>
          <w:trHeight w:val="309"/>
        </w:trPr>
        <w:tc>
          <w:tcPr>
            <w:tcW w:w="13552" w:type="dxa"/>
            <w:gridSpan w:val="6"/>
          </w:tcPr>
          <w:p w:rsidR="00721C8E" w:rsidRDefault="00455134">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1664" w:type="dxa"/>
            <w:vAlign w:val="center"/>
          </w:tcPr>
          <w:p w:rsidR="00721C8E" w:rsidRDefault="00455134">
            <w:pPr>
              <w:pStyle w:val="TableParagraph"/>
              <w:spacing w:after="34" w:line="34" w:lineRule="atLeast"/>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21C8E">
        <w:trPr>
          <w:cantSplit/>
          <w:trHeight w:val="319"/>
        </w:trPr>
        <w:tc>
          <w:tcPr>
            <w:tcW w:w="1846" w:type="dxa"/>
            <w:vMerge w:val="restart"/>
            <w:tcBorders>
              <w:top w:val="single" w:sz="6" w:space="0" w:color="000000"/>
              <w:left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721C8E">
        <w:trPr>
          <w:cantSplit/>
          <w:trHeight w:val="296"/>
        </w:trPr>
        <w:tc>
          <w:tcPr>
            <w:tcW w:w="1846" w:type="dxa"/>
            <w:vMerge/>
            <w:tcBorders>
              <w:left w:val="single" w:sz="6" w:space="0" w:color="000000"/>
              <w:bottom w:val="single" w:sz="6" w:space="0" w:color="000000"/>
            </w:tcBorders>
            <w:vAlign w:val="center"/>
          </w:tcPr>
          <w:p w:rsidR="00721C8E" w:rsidRDefault="00721C8E">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721C8E" w:rsidRDefault="00721C8E">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721C8E" w:rsidRDefault="00721C8E">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721C8E" w:rsidRDefault="00455134">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721C8E" w:rsidRDefault="00455134">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721C8E" w:rsidRDefault="00455134">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721C8E" w:rsidRDefault="00721C8E">
            <w:pPr>
              <w:spacing w:after="34" w:line="34" w:lineRule="atLeast"/>
              <w:rPr>
                <w:rFonts w:ascii="仿宋" w:eastAsia="仿宋" w:hAnsi="仿宋" w:cs="仿宋"/>
              </w:rPr>
            </w:pPr>
          </w:p>
        </w:tc>
      </w:tr>
      <w:tr w:rsidR="00721C8E">
        <w:trPr>
          <w:cantSplit/>
          <w:trHeight w:hRule="exact" w:val="350"/>
        </w:trPr>
        <w:tc>
          <w:tcPr>
            <w:tcW w:w="6059" w:type="dxa"/>
            <w:gridSpan w:val="2"/>
            <w:tcBorders>
              <w:left w:val="single" w:sz="6" w:space="0" w:color="000000"/>
              <w:bottom w:val="single" w:sz="6" w:space="0" w:color="000000"/>
            </w:tcBorders>
            <w:vAlign w:val="center"/>
          </w:tcPr>
          <w:p w:rsidR="00721C8E" w:rsidRDefault="00455134">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2,843.03</w:t>
            </w:r>
          </w:p>
        </w:tc>
        <w:tc>
          <w:tcPr>
            <w:tcW w:w="1827" w:type="dxa"/>
            <w:tcBorders>
              <w:left w:val="single" w:sz="6" w:space="0" w:color="000000"/>
              <w:bottom w:val="single" w:sz="6" w:space="0" w:color="000000"/>
            </w:tcBorders>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2,325.67</w:t>
            </w:r>
          </w:p>
        </w:tc>
        <w:tc>
          <w:tcPr>
            <w:tcW w:w="1813" w:type="dxa"/>
            <w:tcBorders>
              <w:left w:val="single" w:sz="6" w:space="0" w:color="000000"/>
              <w:bottom w:val="single" w:sz="6" w:space="0" w:color="000000"/>
            </w:tcBorders>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2,243.79</w:t>
            </w:r>
          </w:p>
        </w:tc>
        <w:tc>
          <w:tcPr>
            <w:tcW w:w="1813" w:type="dxa"/>
            <w:tcBorders>
              <w:left w:val="single" w:sz="6" w:space="0" w:color="000000"/>
              <w:bottom w:val="single" w:sz="6" w:space="0" w:color="000000"/>
            </w:tcBorders>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81.88</w:t>
            </w:r>
          </w:p>
        </w:tc>
        <w:tc>
          <w:tcPr>
            <w:tcW w:w="1664" w:type="dxa"/>
            <w:tcBorders>
              <w:left w:val="single" w:sz="6" w:space="0" w:color="000000"/>
              <w:bottom w:val="single" w:sz="6" w:space="0" w:color="000000"/>
              <w:right w:val="single" w:sz="6" w:space="0" w:color="000000"/>
            </w:tcBorders>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517.36</w:t>
            </w: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1,677.97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1,160.61</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1,078.73</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81.88</w:t>
            </w: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517.36</w:t>
            </w: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20113</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商贸事务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1,677.97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1,160.61</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1,078.73</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81.88</w:t>
            </w: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517.36</w:t>
            </w: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2011301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1,160.61</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1,160.61</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1,078.73</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81.88</w:t>
            </w: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2011302</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517.36</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517.36</w:t>
            </w: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266.30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99.53</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99.53</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99.53</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111.18</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111.18</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111.18</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55.59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55.59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55.59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47.99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26.32</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26.32</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26.32</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10.47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10.47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10.47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2101103</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公务员医疗补助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11.20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11.20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11.20</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850.77</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173.76</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173.76</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173.76</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549.39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549.39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549.39</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r w:rsidR="00721C8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127.62</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127.62</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spacing w:after="34" w:line="34" w:lineRule="atLeast"/>
              <w:jc w:val="right"/>
              <w:rPr>
                <w:rFonts w:ascii="仿宋" w:eastAsia="仿宋" w:hAnsi="仿宋" w:cs="仿宋"/>
              </w:rPr>
            </w:pPr>
            <w:r>
              <w:rPr>
                <w:rFonts w:ascii="仿宋" w:eastAsia="仿宋" w:hAnsi="仿宋" w:cs="仿宋" w:hint="eastAsia"/>
              </w:rPr>
              <w:t>127.62</w:t>
            </w:r>
          </w:p>
        </w:tc>
        <w:tc>
          <w:tcPr>
            <w:tcW w:w="181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spacing w:after="34" w:line="34" w:lineRule="atLeast"/>
              <w:jc w:val="right"/>
              <w:rPr>
                <w:rFonts w:ascii="仿宋" w:eastAsia="仿宋" w:hAnsi="仿宋" w:cs="仿宋"/>
              </w:rPr>
            </w:pPr>
          </w:p>
        </w:tc>
      </w:tr>
    </w:tbl>
    <w:p w:rsidR="00721C8E" w:rsidRDefault="00721C8E">
      <w:pPr>
        <w:tabs>
          <w:tab w:val="left" w:pos="55"/>
        </w:tabs>
        <w:jc w:val="both"/>
        <w:rPr>
          <w:rFonts w:ascii="仿宋" w:eastAsia="仿宋" w:hAnsi="仿宋" w:cs="仿宋"/>
          <w:b/>
          <w:bCs/>
        </w:rPr>
        <w:sectPr w:rsidR="00721C8E">
          <w:footerReference w:type="default" r:id="rId19"/>
          <w:pgSz w:w="16838" w:h="11906" w:orient="landscape"/>
          <w:pgMar w:top="720" w:right="720" w:bottom="720" w:left="720" w:header="170" w:footer="280" w:gutter="0"/>
          <w:pgNumType w:fmt="numberInDash"/>
          <w:cols w:space="720"/>
          <w:formProt w:val="0"/>
          <w:docGrid w:linePitch="100"/>
        </w:sectPr>
      </w:pPr>
    </w:p>
    <w:p w:rsidR="00721C8E" w:rsidRDefault="00721C8E">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721C8E">
        <w:trPr>
          <w:cantSplit/>
          <w:trHeight w:val="319"/>
        </w:trPr>
        <w:tc>
          <w:tcPr>
            <w:tcW w:w="10817" w:type="dxa"/>
            <w:gridSpan w:val="5"/>
            <w:vAlign w:val="center"/>
          </w:tcPr>
          <w:p w:rsidR="00721C8E" w:rsidRDefault="0045513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721C8E">
        <w:trPr>
          <w:cantSplit/>
          <w:trHeight w:val="319"/>
        </w:trPr>
        <w:tc>
          <w:tcPr>
            <w:tcW w:w="10817" w:type="dxa"/>
            <w:gridSpan w:val="5"/>
          </w:tcPr>
          <w:p w:rsidR="00721C8E" w:rsidRDefault="00455134">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721C8E">
        <w:trPr>
          <w:cantSplit/>
          <w:trHeight w:val="319"/>
        </w:trPr>
        <w:tc>
          <w:tcPr>
            <w:tcW w:w="8760" w:type="dxa"/>
            <w:gridSpan w:val="4"/>
          </w:tcPr>
          <w:p w:rsidR="00721C8E" w:rsidRDefault="0045513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2057" w:type="dxa"/>
            <w:vAlign w:val="center"/>
          </w:tcPr>
          <w:p w:rsidR="00721C8E" w:rsidRDefault="0045513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21C8E">
        <w:trPr>
          <w:cantSplit/>
          <w:trHeight w:val="243"/>
        </w:trPr>
        <w:tc>
          <w:tcPr>
            <w:tcW w:w="4673" w:type="dxa"/>
            <w:gridSpan w:val="2"/>
            <w:tcBorders>
              <w:top w:val="single" w:sz="4" w:space="0" w:color="000000"/>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721C8E">
        <w:trPr>
          <w:cantSplit/>
          <w:trHeight w:val="267"/>
        </w:trPr>
        <w:tc>
          <w:tcPr>
            <w:tcW w:w="1131"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公用经费</w:t>
            </w:r>
          </w:p>
        </w:tc>
      </w:tr>
      <w:tr w:rsidR="00721C8E">
        <w:trPr>
          <w:cantSplit/>
          <w:trHeight w:hRule="exact" w:val="350"/>
        </w:trPr>
        <w:tc>
          <w:tcPr>
            <w:tcW w:w="4673" w:type="dxa"/>
            <w:gridSpan w:val="2"/>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2,325.67</w:t>
            </w:r>
          </w:p>
        </w:tc>
        <w:tc>
          <w:tcPr>
            <w:tcW w:w="2040"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2,243.79</w:t>
            </w:r>
          </w:p>
        </w:tc>
        <w:tc>
          <w:tcPr>
            <w:tcW w:w="2057" w:type="dxa"/>
            <w:tcBorders>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1,817.26</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1,817.26</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272.75</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272.75</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793.33</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793.33</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339.21</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339.21</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36.79</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36.79</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5.25</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5.25</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18.20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18.20</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13.00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13.00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8.00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8.00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3.60</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3.60</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13.61</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13.61</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4.51</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4.51</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24.86</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24.86</w:t>
            </w: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426.53</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426.53</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118.47</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118.47</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290.42</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290.42</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17.64</w:t>
            </w:r>
          </w:p>
        </w:tc>
        <w:tc>
          <w:tcPr>
            <w:tcW w:w="2040"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17.64</w:t>
            </w:r>
          </w:p>
        </w:tc>
        <w:tc>
          <w:tcPr>
            <w:tcW w:w="2057"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bl>
    <w:p w:rsidR="00721C8E" w:rsidRDefault="00721C8E">
      <w:pPr>
        <w:spacing w:line="255" w:lineRule="exact"/>
        <w:rPr>
          <w:rFonts w:ascii="仿宋" w:eastAsia="仿宋" w:hAnsi="仿宋" w:cs="仿宋"/>
          <w:b/>
          <w:bCs/>
        </w:rPr>
        <w:sectPr w:rsidR="00721C8E">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721C8E">
        <w:trPr>
          <w:cantSplit/>
          <w:trHeight w:val="321"/>
        </w:trPr>
        <w:tc>
          <w:tcPr>
            <w:tcW w:w="15216" w:type="dxa"/>
            <w:gridSpan w:val="7"/>
            <w:vAlign w:val="center"/>
          </w:tcPr>
          <w:p w:rsidR="00721C8E" w:rsidRDefault="0045513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721C8E">
        <w:trPr>
          <w:cantSplit/>
          <w:trHeight w:val="321"/>
        </w:trPr>
        <w:tc>
          <w:tcPr>
            <w:tcW w:w="15216" w:type="dxa"/>
            <w:gridSpan w:val="7"/>
          </w:tcPr>
          <w:p w:rsidR="00721C8E" w:rsidRDefault="00455134">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721C8E">
        <w:trPr>
          <w:cantSplit/>
          <w:trHeight w:val="288"/>
        </w:trPr>
        <w:tc>
          <w:tcPr>
            <w:tcW w:w="13566" w:type="dxa"/>
            <w:gridSpan w:val="6"/>
          </w:tcPr>
          <w:p w:rsidR="00721C8E" w:rsidRDefault="00455134">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1650" w:type="dxa"/>
            <w:vAlign w:val="center"/>
          </w:tcPr>
          <w:p w:rsidR="00721C8E" w:rsidRDefault="00455134">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21C8E">
        <w:trPr>
          <w:cantSplit/>
          <w:trHeight w:val="319"/>
        </w:trPr>
        <w:tc>
          <w:tcPr>
            <w:tcW w:w="1792" w:type="dxa"/>
            <w:vMerge w:val="restart"/>
            <w:tcBorders>
              <w:top w:val="single" w:sz="6" w:space="0" w:color="000000"/>
              <w:left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项目支出</w:t>
            </w:r>
          </w:p>
        </w:tc>
      </w:tr>
      <w:tr w:rsidR="00721C8E">
        <w:trPr>
          <w:cantSplit/>
          <w:trHeight w:val="341"/>
        </w:trPr>
        <w:tc>
          <w:tcPr>
            <w:tcW w:w="1792" w:type="dxa"/>
            <w:vMerge/>
            <w:tcBorders>
              <w:left w:val="single" w:sz="6" w:space="0" w:color="000000"/>
              <w:bottom w:val="single" w:sz="6" w:space="0" w:color="000000"/>
            </w:tcBorders>
            <w:vAlign w:val="center"/>
          </w:tcPr>
          <w:p w:rsidR="00721C8E" w:rsidRDefault="00721C8E">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721C8E" w:rsidRDefault="00721C8E">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721C8E" w:rsidRDefault="00721C8E">
            <w:pPr>
              <w:rPr>
                <w:rFonts w:ascii="仿宋" w:eastAsia="仿宋" w:hAnsi="仿宋" w:cs="仿宋"/>
              </w:rPr>
            </w:pPr>
          </w:p>
        </w:tc>
        <w:tc>
          <w:tcPr>
            <w:tcW w:w="1693" w:type="dxa"/>
            <w:tcBorders>
              <w:left w:val="single" w:sz="6" w:space="0" w:color="000000"/>
              <w:bottom w:val="single" w:sz="6" w:space="0" w:color="000000"/>
            </w:tcBorders>
            <w:vAlign w:val="center"/>
          </w:tcPr>
          <w:p w:rsidR="00721C8E" w:rsidRDefault="00455134">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721C8E" w:rsidRDefault="00455134">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721C8E" w:rsidRDefault="00455134">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721C8E" w:rsidRDefault="00721C8E">
            <w:pPr>
              <w:rPr>
                <w:rFonts w:ascii="仿宋" w:eastAsia="仿宋" w:hAnsi="仿宋" w:cs="仿宋"/>
              </w:rPr>
            </w:pPr>
          </w:p>
        </w:tc>
      </w:tr>
      <w:tr w:rsidR="00721C8E">
        <w:trPr>
          <w:cantSplit/>
          <w:trHeight w:hRule="exact" w:val="378"/>
        </w:trPr>
        <w:tc>
          <w:tcPr>
            <w:tcW w:w="6099" w:type="dxa"/>
            <w:gridSpan w:val="2"/>
            <w:tcBorders>
              <w:left w:val="single" w:sz="6" w:space="0" w:color="000000"/>
              <w:bottom w:val="single" w:sz="6"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2,843.03</w:t>
            </w:r>
          </w:p>
        </w:tc>
        <w:tc>
          <w:tcPr>
            <w:tcW w:w="1693" w:type="dxa"/>
            <w:tcBorders>
              <w:left w:val="single" w:sz="6" w:space="0" w:color="000000"/>
              <w:bottom w:val="single" w:sz="6"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2,325.67</w:t>
            </w:r>
          </w:p>
        </w:tc>
        <w:tc>
          <w:tcPr>
            <w:tcW w:w="1987" w:type="dxa"/>
            <w:tcBorders>
              <w:left w:val="single" w:sz="6" w:space="0" w:color="000000"/>
              <w:bottom w:val="single" w:sz="6"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2,243.79</w:t>
            </w:r>
          </w:p>
        </w:tc>
        <w:tc>
          <w:tcPr>
            <w:tcW w:w="1827" w:type="dxa"/>
            <w:tcBorders>
              <w:left w:val="single" w:sz="6" w:space="0" w:color="000000"/>
              <w:bottom w:val="single" w:sz="6"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1650" w:type="dxa"/>
            <w:tcBorders>
              <w:left w:val="single" w:sz="6" w:space="0" w:color="000000"/>
              <w:bottom w:val="single" w:sz="6" w:space="0" w:color="000000"/>
              <w:right w:val="single" w:sz="6" w:space="0" w:color="000000"/>
            </w:tcBorders>
          </w:tcPr>
          <w:p w:rsidR="00721C8E" w:rsidRDefault="00455134">
            <w:pPr>
              <w:pStyle w:val="TableParagraph"/>
              <w:jc w:val="right"/>
              <w:rPr>
                <w:rFonts w:ascii="仿宋" w:eastAsia="仿宋" w:hAnsi="仿宋" w:cs="仿宋"/>
              </w:rPr>
            </w:pPr>
            <w:r>
              <w:rPr>
                <w:rFonts w:ascii="仿宋" w:eastAsia="仿宋" w:hAnsi="仿宋" w:cs="仿宋" w:hint="eastAsia"/>
              </w:rPr>
              <w:t>517.36</w:t>
            </w: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1,677.97</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1,078.73</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517.36</w:t>
            </w: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20113</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商贸事务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1,677.97</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1,078.73</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517.36</w:t>
            </w: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2011301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1,160.61</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1,078.73</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2011302</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517.36</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517.36</w:t>
            </w: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266.30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99.53</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99.53</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99.53</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47.99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26.32</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26.32</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26.32</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10.47</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10.47</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10.47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2101103</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公务员医疗补助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850.77</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549.39</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549.39</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549.39</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127.62</w:t>
            </w:r>
          </w:p>
        </w:tc>
        <w:tc>
          <w:tcPr>
            <w:tcW w:w="1693"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127.62</w:t>
            </w:r>
          </w:p>
        </w:tc>
        <w:tc>
          <w:tcPr>
            <w:tcW w:w="1987" w:type="dxa"/>
            <w:tcBorders>
              <w:top w:val="single" w:sz="6" w:space="0" w:color="000000"/>
              <w:left w:val="single" w:sz="4" w:space="0" w:color="000000"/>
              <w:bottom w:val="single" w:sz="6"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127.62</w:t>
            </w:r>
          </w:p>
        </w:tc>
        <w:tc>
          <w:tcPr>
            <w:tcW w:w="1827" w:type="dxa"/>
            <w:tcBorders>
              <w:top w:val="single" w:sz="6" w:space="0" w:color="000000"/>
              <w:left w:val="single" w:sz="4" w:space="0" w:color="000000"/>
              <w:bottom w:val="single" w:sz="6"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721C8E" w:rsidRDefault="00721C8E">
            <w:pPr>
              <w:pStyle w:val="TableParagraph"/>
              <w:jc w:val="right"/>
              <w:rPr>
                <w:rFonts w:ascii="仿宋" w:eastAsia="仿宋" w:hAnsi="仿宋" w:cs="仿宋"/>
              </w:rPr>
            </w:pPr>
          </w:p>
        </w:tc>
      </w:tr>
    </w:tbl>
    <w:p w:rsidR="00721C8E" w:rsidRDefault="00721C8E">
      <w:pPr>
        <w:spacing w:before="25"/>
        <w:rPr>
          <w:rFonts w:ascii="仿宋" w:eastAsia="仿宋" w:hAnsi="仿宋" w:cs="仿宋"/>
          <w:b/>
          <w:bCs/>
        </w:rPr>
        <w:sectPr w:rsidR="00721C8E">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721C8E">
        <w:trPr>
          <w:cantSplit/>
          <w:trHeight w:val="319"/>
        </w:trPr>
        <w:tc>
          <w:tcPr>
            <w:tcW w:w="10954" w:type="dxa"/>
            <w:gridSpan w:val="5"/>
          </w:tcPr>
          <w:p w:rsidR="00721C8E" w:rsidRDefault="0045513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721C8E">
        <w:trPr>
          <w:cantSplit/>
          <w:trHeight w:val="189"/>
        </w:trPr>
        <w:tc>
          <w:tcPr>
            <w:tcW w:w="10954" w:type="dxa"/>
            <w:gridSpan w:val="5"/>
          </w:tcPr>
          <w:p w:rsidR="00721C8E" w:rsidRDefault="00455134">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721C8E">
        <w:trPr>
          <w:cantSplit/>
          <w:trHeight w:val="138"/>
        </w:trPr>
        <w:tc>
          <w:tcPr>
            <w:tcW w:w="9281" w:type="dxa"/>
            <w:gridSpan w:val="4"/>
            <w:vAlign w:val="center"/>
          </w:tcPr>
          <w:p w:rsidR="00721C8E" w:rsidRDefault="0045513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1673" w:type="dxa"/>
            <w:vAlign w:val="center"/>
          </w:tcPr>
          <w:p w:rsidR="00721C8E" w:rsidRDefault="0045513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21C8E">
        <w:trPr>
          <w:cantSplit/>
          <w:trHeight w:val="180"/>
        </w:trPr>
        <w:tc>
          <w:tcPr>
            <w:tcW w:w="4894" w:type="dxa"/>
            <w:gridSpan w:val="2"/>
            <w:tcBorders>
              <w:top w:val="single" w:sz="4" w:space="0" w:color="000000"/>
              <w:left w:val="single" w:sz="4" w:space="0" w:color="000000"/>
              <w:bottom w:val="single" w:sz="4" w:space="0" w:color="000000"/>
            </w:tcBorders>
            <w:vAlign w:val="center"/>
          </w:tcPr>
          <w:p w:rsidR="00721C8E" w:rsidRDefault="00455134">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721C8E" w:rsidRDefault="00455134">
            <w:pPr>
              <w:jc w:val="center"/>
              <w:rPr>
                <w:rFonts w:ascii="仿宋" w:eastAsia="仿宋" w:hAnsi="仿宋" w:cs="仿宋"/>
              </w:rPr>
            </w:pPr>
            <w:r>
              <w:rPr>
                <w:rFonts w:ascii="仿宋" w:eastAsia="仿宋" w:hAnsi="仿宋" w:cs="仿宋" w:hint="eastAsia"/>
              </w:rPr>
              <w:t>本年一般公共预算基本支出</w:t>
            </w:r>
          </w:p>
        </w:tc>
      </w:tr>
      <w:tr w:rsidR="00721C8E">
        <w:trPr>
          <w:cantSplit/>
          <w:trHeight w:val="190"/>
        </w:trPr>
        <w:tc>
          <w:tcPr>
            <w:tcW w:w="1227"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公用经费</w:t>
            </w:r>
          </w:p>
        </w:tc>
      </w:tr>
      <w:tr w:rsidR="00721C8E">
        <w:trPr>
          <w:cantSplit/>
          <w:trHeight w:hRule="exact" w:val="382"/>
        </w:trPr>
        <w:tc>
          <w:tcPr>
            <w:tcW w:w="4894" w:type="dxa"/>
            <w:gridSpan w:val="2"/>
            <w:tcBorders>
              <w:left w:val="single" w:sz="4" w:space="0" w:color="000000"/>
              <w:bottom w:val="single" w:sz="4" w:space="0" w:color="000000"/>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2,325.67</w:t>
            </w:r>
          </w:p>
        </w:tc>
        <w:tc>
          <w:tcPr>
            <w:tcW w:w="1974" w:type="dxa"/>
            <w:tcBorders>
              <w:left w:val="single" w:sz="4" w:space="0" w:color="000000"/>
              <w:bottom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2,243.79</w:t>
            </w:r>
          </w:p>
        </w:tc>
        <w:tc>
          <w:tcPr>
            <w:tcW w:w="1673" w:type="dxa"/>
            <w:tcBorders>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1,817.26</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1,817.26</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272.75</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272.75</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793.33</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793.33</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339.21</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339.21</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111.18</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55.59</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36.79</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36.79</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公务员医疗补助缴费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11.20</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30112</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其他社会保障缴费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5.25</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5.25</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173.76</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30114</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医疗费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18.20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18.20</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13.00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13.00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30207</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邮电费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8.00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8.00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3.60</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3.60</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13.61</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13.61</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30229</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福利费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4.51</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4.51</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24.86</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24.86</w:t>
            </w: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426.53</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426.53</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118.47</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118.47</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290.42</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290.42</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r w:rsidR="00721C8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30305</w:t>
            </w:r>
          </w:p>
        </w:tc>
        <w:tc>
          <w:tcPr>
            <w:tcW w:w="3667"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rPr>
                <w:rFonts w:ascii="仿宋" w:eastAsia="仿宋" w:hAnsi="仿宋" w:cs="仿宋"/>
              </w:rPr>
            </w:pPr>
            <w:r>
              <w:rPr>
                <w:rFonts w:ascii="仿宋" w:eastAsia="仿宋" w:hAnsi="仿宋" w:cs="仿宋" w:hint="eastAsia"/>
              </w:rPr>
              <w:t>生活补助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17.64</w:t>
            </w:r>
          </w:p>
        </w:tc>
        <w:tc>
          <w:tcPr>
            <w:tcW w:w="1974" w:type="dxa"/>
            <w:tcBorders>
              <w:top w:val="single" w:sz="4" w:space="0" w:color="000000"/>
              <w:left w:val="single" w:sz="4" w:space="0" w:color="000000"/>
              <w:bottom w:val="single" w:sz="4" w:space="0" w:color="000000"/>
              <w:right w:val="single" w:sz="4" w:space="0" w:color="000000"/>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17.64</w:t>
            </w:r>
          </w:p>
        </w:tc>
        <w:tc>
          <w:tcPr>
            <w:tcW w:w="1673" w:type="dxa"/>
            <w:tcBorders>
              <w:top w:val="single" w:sz="4" w:space="0" w:color="000000"/>
              <w:left w:val="single" w:sz="4" w:space="0" w:color="000000"/>
              <w:bottom w:val="single" w:sz="4" w:space="0" w:color="000000"/>
              <w:right w:val="single" w:sz="4" w:space="0" w:color="000000"/>
            </w:tcBorders>
            <w:vAlign w:val="center"/>
          </w:tcPr>
          <w:p w:rsidR="00721C8E" w:rsidRDefault="00721C8E">
            <w:pPr>
              <w:pStyle w:val="TableParagraph"/>
              <w:jc w:val="right"/>
              <w:rPr>
                <w:rFonts w:ascii="仿宋" w:eastAsia="仿宋" w:hAnsi="仿宋" w:cs="仿宋"/>
              </w:rPr>
            </w:pPr>
          </w:p>
        </w:tc>
      </w:tr>
    </w:tbl>
    <w:p w:rsidR="00721C8E" w:rsidRDefault="00721C8E">
      <w:pPr>
        <w:spacing w:before="25"/>
        <w:rPr>
          <w:rFonts w:ascii="仿宋" w:eastAsia="仿宋" w:hAnsi="仿宋" w:cs="仿宋"/>
          <w:b/>
          <w:bCs/>
        </w:rPr>
        <w:sectPr w:rsidR="00721C8E">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721C8E">
        <w:trPr>
          <w:cantSplit/>
          <w:trHeight w:val="321"/>
        </w:trPr>
        <w:tc>
          <w:tcPr>
            <w:tcW w:w="15909" w:type="dxa"/>
            <w:gridSpan w:val="8"/>
          </w:tcPr>
          <w:p w:rsidR="00721C8E" w:rsidRDefault="00455134">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721C8E">
        <w:trPr>
          <w:cantSplit/>
          <w:trHeight w:val="207"/>
        </w:trPr>
        <w:tc>
          <w:tcPr>
            <w:tcW w:w="15909" w:type="dxa"/>
            <w:gridSpan w:val="8"/>
          </w:tcPr>
          <w:p w:rsidR="00721C8E" w:rsidRDefault="00455134">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721C8E">
        <w:trPr>
          <w:cantSplit/>
          <w:trHeight w:val="103"/>
        </w:trPr>
        <w:tc>
          <w:tcPr>
            <w:tcW w:w="12069" w:type="dxa"/>
            <w:gridSpan w:val="6"/>
            <w:tcBorders>
              <w:bottom w:val="single" w:sz="4" w:space="0" w:color="auto"/>
            </w:tcBorders>
          </w:tcPr>
          <w:p w:rsidR="00721C8E" w:rsidRDefault="0045513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3840" w:type="dxa"/>
            <w:gridSpan w:val="2"/>
            <w:tcBorders>
              <w:bottom w:val="single" w:sz="4" w:space="0" w:color="auto"/>
            </w:tcBorders>
            <w:vAlign w:val="center"/>
          </w:tcPr>
          <w:p w:rsidR="00721C8E" w:rsidRDefault="00455134">
            <w:pPr>
              <w:pStyle w:val="TableParagraph"/>
              <w:jc w:val="right"/>
              <w:rPr>
                <w:rFonts w:ascii="仿宋" w:eastAsia="仿宋" w:hAnsi="仿宋" w:cs="仿宋"/>
                <w:sz w:val="20"/>
              </w:rPr>
            </w:pPr>
            <w:r>
              <w:rPr>
                <w:rFonts w:ascii="仿宋" w:eastAsia="仿宋" w:hAnsi="仿宋" w:cs="仿宋" w:hint="eastAsia"/>
              </w:rPr>
              <w:t>单位</w:t>
            </w:r>
            <w:r>
              <w:rPr>
                <w:rFonts w:ascii="仿宋" w:eastAsia="仿宋" w:hAnsi="仿宋" w:cs="仿宋" w:hint="eastAsia"/>
              </w:rPr>
              <w:t>：万元</w:t>
            </w:r>
          </w:p>
        </w:tc>
      </w:tr>
      <w:tr w:rsidR="00721C8E">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sz w:val="20"/>
              </w:rPr>
            </w:pPr>
            <w:r>
              <w:rPr>
                <w:rFonts w:ascii="仿宋" w:eastAsia="仿宋" w:hAnsi="仿宋" w:cs="仿宋" w:hint="eastAsia"/>
              </w:rPr>
              <w:t>培训费</w:t>
            </w:r>
          </w:p>
        </w:tc>
      </w:tr>
      <w:tr w:rsidR="00721C8E">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721C8E" w:rsidRDefault="00721C8E">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721C8E" w:rsidRDefault="00721C8E">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721C8E" w:rsidRDefault="00721C8E">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721C8E" w:rsidRDefault="00721C8E">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721C8E" w:rsidRDefault="00721C8E">
            <w:pPr>
              <w:rPr>
                <w:rFonts w:ascii="仿宋" w:eastAsia="仿宋" w:hAnsi="仿宋" w:cs="仿宋"/>
                <w:sz w:val="2"/>
                <w:szCs w:val="2"/>
              </w:rPr>
            </w:pPr>
          </w:p>
        </w:tc>
      </w:tr>
      <w:tr w:rsidR="00721C8E">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c>
          <w:tcPr>
            <w:tcW w:w="2332"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0.00</w:t>
            </w:r>
          </w:p>
        </w:tc>
        <w:tc>
          <w:tcPr>
            <w:tcW w:w="1697"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0.00</w:t>
            </w:r>
          </w:p>
        </w:tc>
        <w:tc>
          <w:tcPr>
            <w:tcW w:w="1680"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0.00</w:t>
            </w:r>
          </w:p>
        </w:tc>
        <w:tc>
          <w:tcPr>
            <w:tcW w:w="1852"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c>
          <w:tcPr>
            <w:tcW w:w="2057"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c>
          <w:tcPr>
            <w:tcW w:w="1783"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r>
    </w:tbl>
    <w:p w:rsidR="00721C8E" w:rsidRDefault="00721C8E">
      <w:pPr>
        <w:ind w:left="227" w:firstLineChars="100" w:firstLine="221"/>
        <w:rPr>
          <w:rFonts w:ascii="仿宋" w:eastAsia="仿宋" w:hAnsi="仿宋" w:cs="仿宋"/>
          <w:b/>
          <w:bCs/>
        </w:rPr>
        <w:sectPr w:rsidR="00721C8E">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721C8E">
        <w:trPr>
          <w:cantSplit/>
          <w:trHeight w:val="213"/>
        </w:trPr>
        <w:tc>
          <w:tcPr>
            <w:tcW w:w="10812" w:type="dxa"/>
            <w:gridSpan w:val="5"/>
            <w:tcBorders>
              <w:top w:val="nil"/>
              <w:left w:val="nil"/>
              <w:bottom w:val="nil"/>
              <w:right w:val="nil"/>
            </w:tcBorders>
            <w:vAlign w:val="center"/>
          </w:tcPr>
          <w:p w:rsidR="00721C8E" w:rsidRDefault="00455134">
            <w:pPr>
              <w:pStyle w:val="TableParagraph"/>
              <w:rPr>
                <w:rFonts w:ascii="仿宋" w:eastAsia="仿宋" w:hAnsi="仿宋" w:cs="仿宋"/>
              </w:rPr>
            </w:pPr>
            <w:r>
              <w:rPr>
                <w:rFonts w:ascii="仿宋" w:eastAsia="仿宋" w:hAnsi="仿宋" w:cs="仿宋" w:hint="eastAsia"/>
              </w:rPr>
              <w:t>公开</w:t>
            </w:r>
            <w:r>
              <w:rPr>
                <w:rFonts w:ascii="仿宋" w:eastAsia="仿宋" w:hAnsi="仿宋" w:cs="仿宋" w:hint="eastAsia"/>
                <w:lang w:val="en-US"/>
              </w:rPr>
              <w:t>10</w:t>
            </w:r>
            <w:r>
              <w:rPr>
                <w:rFonts w:ascii="仿宋" w:eastAsia="仿宋" w:hAnsi="仿宋" w:cs="仿宋" w:hint="eastAsia"/>
              </w:rPr>
              <w:t>表</w:t>
            </w:r>
          </w:p>
        </w:tc>
      </w:tr>
      <w:tr w:rsidR="00721C8E">
        <w:trPr>
          <w:cantSplit/>
          <w:trHeight w:val="213"/>
        </w:trPr>
        <w:tc>
          <w:tcPr>
            <w:tcW w:w="10812" w:type="dxa"/>
            <w:gridSpan w:val="5"/>
            <w:tcBorders>
              <w:top w:val="nil"/>
              <w:left w:val="nil"/>
              <w:bottom w:val="nil"/>
              <w:right w:val="nil"/>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721C8E">
        <w:trPr>
          <w:cantSplit/>
          <w:trHeight w:val="213"/>
        </w:trPr>
        <w:tc>
          <w:tcPr>
            <w:tcW w:w="8327" w:type="dxa"/>
            <w:gridSpan w:val="4"/>
            <w:tcBorders>
              <w:top w:val="nil"/>
              <w:left w:val="nil"/>
              <w:bottom w:val="single" w:sz="4" w:space="0" w:color="auto"/>
              <w:right w:val="nil"/>
            </w:tcBorders>
            <w:vAlign w:val="center"/>
          </w:tcPr>
          <w:p w:rsidR="00721C8E" w:rsidRDefault="00455134">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2485" w:type="dxa"/>
            <w:tcBorders>
              <w:top w:val="nil"/>
              <w:left w:val="nil"/>
              <w:bottom w:val="single" w:sz="4" w:space="0" w:color="auto"/>
              <w:right w:val="nil"/>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单位：万元</w:t>
            </w:r>
          </w:p>
        </w:tc>
      </w:tr>
      <w:tr w:rsidR="00721C8E">
        <w:trPr>
          <w:cantSplit/>
          <w:trHeight w:val="187"/>
        </w:trPr>
        <w:tc>
          <w:tcPr>
            <w:tcW w:w="1618" w:type="dxa"/>
            <w:vMerge w:val="restart"/>
            <w:tcBorders>
              <w:top w:val="single" w:sz="4" w:space="0" w:color="auto"/>
              <w:left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本年政府性基金预算支出</w:t>
            </w:r>
          </w:p>
        </w:tc>
      </w:tr>
      <w:tr w:rsidR="00721C8E">
        <w:trPr>
          <w:cantSplit/>
          <w:trHeight w:val="139"/>
        </w:trPr>
        <w:tc>
          <w:tcPr>
            <w:tcW w:w="1618" w:type="dxa"/>
            <w:vMerge/>
            <w:tcBorders>
              <w:left w:val="single" w:sz="4" w:space="0" w:color="auto"/>
              <w:bottom w:val="single" w:sz="4" w:space="0" w:color="auto"/>
              <w:right w:val="single" w:sz="4" w:space="0" w:color="auto"/>
            </w:tcBorders>
            <w:vAlign w:val="center"/>
          </w:tcPr>
          <w:p w:rsidR="00721C8E" w:rsidRDefault="00721C8E">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721C8E" w:rsidRDefault="00721C8E">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项目支出</w:t>
            </w:r>
          </w:p>
        </w:tc>
      </w:tr>
      <w:tr w:rsidR="00721C8E">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721C8E" w:rsidRDefault="00721C8E">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21C8E" w:rsidRDefault="00455134">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r>
      <w:tr w:rsidR="00721C8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21C8E" w:rsidRDefault="00721C8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21C8E" w:rsidRDefault="00721C8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r>
      <w:tr w:rsidR="00721C8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721C8E" w:rsidRDefault="00721C8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721C8E" w:rsidRDefault="00721C8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721C8E" w:rsidRDefault="00721C8E">
            <w:pPr>
              <w:jc w:val="right"/>
              <w:rPr>
                <w:rFonts w:ascii="仿宋" w:eastAsia="仿宋" w:hAnsi="仿宋" w:cs="仿宋"/>
              </w:rPr>
            </w:pPr>
          </w:p>
        </w:tc>
      </w:tr>
    </w:tbl>
    <w:p w:rsidR="00721C8E" w:rsidRDefault="00455134">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721C8E" w:rsidRDefault="00721C8E">
      <w:pPr>
        <w:spacing w:before="25"/>
        <w:rPr>
          <w:rFonts w:ascii="仿宋" w:eastAsia="仿宋" w:hAnsi="仿宋" w:cs="仿宋"/>
          <w:b/>
          <w:bCs/>
          <w:lang w:val="en-US"/>
        </w:rPr>
        <w:sectPr w:rsidR="00721C8E">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721C8E">
        <w:trPr>
          <w:cantSplit/>
          <w:trHeight w:val="447"/>
          <w:jc w:val="center"/>
        </w:trPr>
        <w:tc>
          <w:tcPr>
            <w:tcW w:w="14695" w:type="dxa"/>
            <w:gridSpan w:val="5"/>
            <w:tcBorders>
              <w:top w:val="nil"/>
              <w:left w:val="nil"/>
              <w:bottom w:val="nil"/>
              <w:right w:val="nil"/>
            </w:tcBorders>
            <w:shd w:val="clear" w:color="auto" w:fill="auto"/>
            <w:vAlign w:val="center"/>
          </w:tcPr>
          <w:p w:rsidR="00721C8E" w:rsidRDefault="00455134">
            <w:pPr>
              <w:widowControl/>
              <w:rPr>
                <w:rFonts w:ascii="仿宋" w:eastAsia="仿宋" w:hAnsi="仿宋" w:cs="仿宋"/>
              </w:rPr>
            </w:pPr>
            <w:r>
              <w:rPr>
                <w:rFonts w:ascii="仿宋" w:eastAsia="仿宋" w:hAnsi="仿宋" w:cs="仿宋" w:hint="eastAsia"/>
              </w:rPr>
              <w:t>公开</w:t>
            </w:r>
            <w:r>
              <w:rPr>
                <w:rFonts w:ascii="仿宋" w:eastAsia="仿宋" w:hAnsi="仿宋" w:cs="仿宋" w:hint="eastAsia"/>
              </w:rPr>
              <w:t>11</w:t>
            </w:r>
            <w:r>
              <w:rPr>
                <w:rFonts w:ascii="仿宋" w:eastAsia="仿宋" w:hAnsi="仿宋" w:cs="仿宋" w:hint="eastAsia"/>
              </w:rPr>
              <w:t>表</w:t>
            </w:r>
          </w:p>
        </w:tc>
      </w:tr>
      <w:tr w:rsidR="00721C8E">
        <w:trPr>
          <w:cantSplit/>
          <w:trHeight w:val="960"/>
          <w:jc w:val="center"/>
        </w:trPr>
        <w:tc>
          <w:tcPr>
            <w:tcW w:w="14695" w:type="dxa"/>
            <w:gridSpan w:val="5"/>
            <w:tcBorders>
              <w:top w:val="nil"/>
              <w:left w:val="nil"/>
              <w:bottom w:val="nil"/>
              <w:right w:val="nil"/>
            </w:tcBorders>
            <w:shd w:val="clear" w:color="auto" w:fill="auto"/>
            <w:vAlign w:val="center"/>
          </w:tcPr>
          <w:p w:rsidR="00721C8E" w:rsidRDefault="00455134">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721C8E">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721C8E" w:rsidRDefault="00455134">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3091" w:type="dxa"/>
            <w:tcBorders>
              <w:top w:val="nil"/>
              <w:left w:val="nil"/>
              <w:bottom w:val="nil"/>
              <w:right w:val="nil"/>
            </w:tcBorders>
            <w:shd w:val="clear" w:color="auto" w:fill="auto"/>
            <w:noWrap/>
            <w:vAlign w:val="center"/>
          </w:tcPr>
          <w:p w:rsidR="00721C8E" w:rsidRDefault="00455134">
            <w:pPr>
              <w:widowControl/>
              <w:jc w:val="right"/>
              <w:rPr>
                <w:rFonts w:ascii="仿宋" w:eastAsia="仿宋" w:hAnsi="仿宋" w:cs="仿宋"/>
              </w:rPr>
            </w:pPr>
            <w:r>
              <w:rPr>
                <w:rFonts w:ascii="仿宋" w:eastAsia="仿宋" w:hAnsi="仿宋" w:cs="仿宋" w:hint="eastAsia"/>
              </w:rPr>
              <w:t>单位：万元</w:t>
            </w:r>
          </w:p>
        </w:tc>
      </w:tr>
      <w:tr w:rsidR="00721C8E">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项目支出</w:t>
            </w:r>
          </w:p>
        </w:tc>
      </w:tr>
      <w:tr w:rsidR="00721C8E">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功能分类</w:t>
            </w:r>
          </w:p>
          <w:p w:rsidR="00721C8E" w:rsidRDefault="00455134">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721C8E" w:rsidRDefault="00721C8E">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721C8E" w:rsidRDefault="00721C8E">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721C8E" w:rsidRDefault="00721C8E">
            <w:pPr>
              <w:widowControl/>
              <w:spacing w:line="34" w:lineRule="atLeast"/>
              <w:rPr>
                <w:rFonts w:ascii="仿宋" w:eastAsia="仿宋" w:hAnsi="仿宋" w:cs="仿宋"/>
              </w:rPr>
            </w:pPr>
          </w:p>
        </w:tc>
      </w:tr>
      <w:tr w:rsidR="00721C8E">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3</w:t>
            </w:r>
          </w:p>
        </w:tc>
      </w:tr>
      <w:tr w:rsidR="00721C8E">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455134">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r>
      <w:tr w:rsidR="00721C8E">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r>
      <w:tr w:rsidR="00721C8E">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721C8E" w:rsidRDefault="00721C8E">
            <w:pPr>
              <w:widowControl/>
              <w:spacing w:line="34" w:lineRule="atLeast"/>
              <w:jc w:val="right"/>
              <w:rPr>
                <w:rFonts w:ascii="仿宋" w:eastAsia="仿宋" w:hAnsi="仿宋" w:cs="仿宋"/>
              </w:rPr>
            </w:pPr>
          </w:p>
        </w:tc>
      </w:tr>
    </w:tbl>
    <w:p w:rsidR="00721C8E" w:rsidRDefault="00455134">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721C8E" w:rsidRDefault="00721C8E">
      <w:pPr>
        <w:spacing w:before="25"/>
        <w:rPr>
          <w:rFonts w:ascii="仿宋" w:eastAsia="仿宋" w:hAnsi="仿宋" w:cs="仿宋"/>
          <w:b/>
          <w:bCs/>
          <w:lang w:val="en-US"/>
        </w:rPr>
        <w:sectPr w:rsidR="00721C8E">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721C8E">
        <w:trPr>
          <w:cantSplit/>
          <w:trHeight w:val="319"/>
        </w:trPr>
        <w:tc>
          <w:tcPr>
            <w:tcW w:w="10235" w:type="dxa"/>
            <w:gridSpan w:val="4"/>
          </w:tcPr>
          <w:p w:rsidR="00721C8E" w:rsidRDefault="00455134">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721C8E">
        <w:trPr>
          <w:cantSplit/>
          <w:trHeight w:val="90"/>
        </w:trPr>
        <w:tc>
          <w:tcPr>
            <w:tcW w:w="10235" w:type="dxa"/>
            <w:gridSpan w:val="4"/>
          </w:tcPr>
          <w:p w:rsidR="00721C8E" w:rsidRDefault="00455134">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721C8E">
        <w:trPr>
          <w:cantSplit/>
          <w:trHeight w:val="90"/>
        </w:trPr>
        <w:tc>
          <w:tcPr>
            <w:tcW w:w="7884" w:type="dxa"/>
            <w:gridSpan w:val="3"/>
            <w:tcBorders>
              <w:bottom w:val="single" w:sz="4" w:space="0" w:color="auto"/>
            </w:tcBorders>
            <w:vAlign w:val="center"/>
          </w:tcPr>
          <w:p w:rsidR="00721C8E" w:rsidRDefault="00455134">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2351" w:type="dxa"/>
            <w:tcBorders>
              <w:bottom w:val="single" w:sz="4" w:space="0" w:color="auto"/>
            </w:tcBorders>
            <w:vAlign w:val="center"/>
          </w:tcPr>
          <w:p w:rsidR="00721C8E" w:rsidRDefault="00455134">
            <w:pPr>
              <w:pStyle w:val="TableParagraph"/>
              <w:jc w:val="right"/>
              <w:rPr>
                <w:rFonts w:ascii="仿宋" w:eastAsia="仿宋" w:hAnsi="仿宋" w:cs="仿宋"/>
                <w:sz w:val="27"/>
              </w:rPr>
            </w:pPr>
            <w:r>
              <w:rPr>
                <w:rFonts w:ascii="仿宋" w:eastAsia="仿宋" w:hAnsi="仿宋" w:cs="仿宋" w:hint="eastAsia"/>
              </w:rPr>
              <w:t>单位</w:t>
            </w:r>
            <w:r>
              <w:rPr>
                <w:rFonts w:ascii="仿宋" w:eastAsia="仿宋" w:hAnsi="仿宋" w:cs="仿宋" w:hint="eastAsia"/>
              </w:rPr>
              <w:t>：万元</w:t>
            </w:r>
          </w:p>
        </w:tc>
      </w:tr>
      <w:tr w:rsidR="00721C8E">
        <w:trPr>
          <w:cantSplit/>
          <w:trHeight w:val="163"/>
        </w:trPr>
        <w:tc>
          <w:tcPr>
            <w:tcW w:w="3088" w:type="dxa"/>
            <w:tcBorders>
              <w:top w:val="single" w:sz="4" w:space="0" w:color="auto"/>
              <w:left w:val="single" w:sz="4" w:space="0" w:color="auto"/>
              <w:bottom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721C8E" w:rsidRDefault="00455134">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721C8E" w:rsidRDefault="00455134">
            <w:pPr>
              <w:jc w:val="center"/>
              <w:rPr>
                <w:rFonts w:ascii="仿宋" w:eastAsia="仿宋" w:hAnsi="仿宋" w:cs="仿宋"/>
              </w:rPr>
            </w:pPr>
            <w:r>
              <w:rPr>
                <w:rFonts w:ascii="仿宋" w:eastAsia="仿宋" w:hAnsi="仿宋" w:cs="仿宋" w:hint="eastAsia"/>
              </w:rPr>
              <w:t>机关运行经费支出</w:t>
            </w:r>
          </w:p>
        </w:tc>
      </w:tr>
      <w:tr w:rsidR="00721C8E">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721C8E" w:rsidRDefault="00455134">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81.88</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13.00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30207</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邮电费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8.00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3.20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5.00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1.60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30226</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劳务费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3.60</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13.61</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30229</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福利费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4.51</w:t>
            </w:r>
          </w:p>
        </w:tc>
      </w:tr>
      <w:tr w:rsidR="00721C8E">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721C8E" w:rsidRDefault="00455134">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721C8E" w:rsidRDefault="00455134">
            <w:pPr>
              <w:pStyle w:val="TableParagraph"/>
              <w:jc w:val="right"/>
              <w:rPr>
                <w:rFonts w:ascii="仿宋" w:eastAsia="仿宋" w:hAnsi="仿宋" w:cs="仿宋"/>
              </w:rPr>
            </w:pPr>
            <w:r>
              <w:rPr>
                <w:rFonts w:ascii="仿宋" w:eastAsia="仿宋" w:hAnsi="仿宋" w:cs="仿宋" w:hint="eastAsia"/>
              </w:rPr>
              <w:t>24.86</w:t>
            </w:r>
          </w:p>
        </w:tc>
      </w:tr>
    </w:tbl>
    <w:p w:rsidR="00721C8E" w:rsidRDefault="00455134">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721C8E" w:rsidRDefault="00721C8E">
      <w:pPr>
        <w:spacing w:before="78" w:line="290" w:lineRule="auto"/>
        <w:ind w:left="227" w:right="57"/>
        <w:jc w:val="both"/>
        <w:rPr>
          <w:rFonts w:ascii="仿宋" w:eastAsia="仿宋" w:hAnsi="仿宋" w:cs="仿宋"/>
          <w:b/>
          <w:bCs/>
        </w:rPr>
        <w:sectPr w:rsidR="00721C8E">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721C8E">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721C8E" w:rsidRDefault="00455134">
            <w:pPr>
              <w:pStyle w:val="TableParagraph"/>
              <w:rPr>
                <w:rFonts w:ascii="仿宋" w:eastAsia="仿宋" w:hAnsi="仿宋" w:cs="仿宋"/>
                <w:b/>
                <w:bCs/>
                <w:sz w:val="44"/>
                <w:szCs w:val="44"/>
                <w:lang w:val="en-US"/>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721C8E">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721C8E" w:rsidRDefault="00455134">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721C8E">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721C8E" w:rsidRDefault="00455134">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常州市武进区工业和信息化局</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721C8E" w:rsidRDefault="00721C8E">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721C8E" w:rsidRDefault="00455134">
            <w:pPr>
              <w:pStyle w:val="TableParagraph"/>
              <w:jc w:val="right"/>
              <w:rPr>
                <w:rFonts w:ascii="仿宋" w:eastAsia="仿宋" w:hAnsi="仿宋" w:cs="仿宋"/>
                <w:lang w:val="en-US"/>
              </w:rPr>
            </w:pPr>
            <w:r>
              <w:rPr>
                <w:rFonts w:ascii="仿宋" w:eastAsia="仿宋" w:hAnsi="仿宋" w:cs="仿宋" w:hint="eastAsia"/>
              </w:rPr>
              <w:t>单位：万元</w:t>
            </w:r>
          </w:p>
        </w:tc>
      </w:tr>
      <w:tr w:rsidR="00721C8E">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721C8E">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53.00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常州市武进区工业和信息化局（本级）</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日常公用支出</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办公费</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台式计算机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集中采购机构采购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3.00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服务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常州市武进区工业和信息化局（本级）</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r>
      <w:tr w:rsidR="00721C8E">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世界工业和能源互联网博览会武进分论坛经费</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其他商品和服务支出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博览会服务</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rPr>
                <w:rFonts w:ascii="仿宋" w:eastAsia="仿宋" w:hAnsi="仿宋" w:cs="仿宋"/>
                <w:lang w:val="en-US"/>
              </w:rPr>
            </w:pPr>
            <w:r>
              <w:rPr>
                <w:rFonts w:ascii="仿宋" w:eastAsia="仿宋" w:hAnsi="仿宋" w:cs="仿宋" w:hint="eastAsia"/>
                <w:lang w:val="en-US"/>
              </w:rPr>
              <w:t>分散采购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721C8E">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721C8E" w:rsidRDefault="00455134">
            <w:pPr>
              <w:snapToGrid w:val="0"/>
              <w:ind w:right="57"/>
              <w:jc w:val="right"/>
              <w:rPr>
                <w:rFonts w:ascii="仿宋" w:eastAsia="仿宋" w:hAnsi="仿宋" w:cs="仿宋"/>
                <w:lang w:val="en-US"/>
              </w:rPr>
            </w:pPr>
            <w:r>
              <w:rPr>
                <w:rFonts w:ascii="仿宋" w:eastAsia="仿宋" w:hAnsi="仿宋" w:cs="仿宋" w:hint="eastAsia"/>
                <w:lang w:val="en-US"/>
              </w:rPr>
              <w:t>50.00</w:t>
            </w:r>
          </w:p>
        </w:tc>
      </w:tr>
    </w:tbl>
    <w:p w:rsidR="00721C8E" w:rsidRDefault="00721C8E">
      <w:pPr>
        <w:rPr>
          <w:rFonts w:ascii="仿宋" w:eastAsia="仿宋" w:hAnsi="仿宋" w:cs="仿宋"/>
          <w:b/>
          <w:bCs/>
        </w:rPr>
        <w:sectPr w:rsidR="00721C8E">
          <w:footerReference w:type="default" r:id="rId26"/>
          <w:pgSz w:w="16838" w:h="11906" w:orient="landscape"/>
          <w:pgMar w:top="1320" w:right="567" w:bottom="1320" w:left="567" w:header="170" w:footer="280" w:gutter="0"/>
          <w:pgNumType w:fmt="numberInDash"/>
          <w:cols w:space="720"/>
          <w:formProt w:val="0"/>
          <w:docGrid w:linePitch="100"/>
        </w:sectPr>
      </w:pPr>
    </w:p>
    <w:p w:rsidR="00721C8E" w:rsidRDefault="00455134">
      <w:pPr>
        <w:pStyle w:val="4"/>
        <w:tabs>
          <w:tab w:val="left" w:pos="3077"/>
        </w:tabs>
        <w:spacing w:line="616" w:lineRule="exact"/>
      </w:pPr>
      <w:r>
        <w:rPr>
          <w:rFonts w:ascii="仿宋" w:eastAsia="仿宋" w:hAnsi="仿宋" w:cs="仿宋" w:hint="eastAsia"/>
          <w:b/>
          <w:bCs/>
          <w:sz w:val="44"/>
          <w:szCs w:val="44"/>
        </w:rPr>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w:t>
      </w:r>
      <w:r>
        <w:rPr>
          <w:rFonts w:ascii="仿宋" w:eastAsia="仿宋" w:hAnsi="仿宋" w:cs="仿宋" w:hint="eastAsia"/>
          <w:b/>
          <w:bCs/>
          <w:sz w:val="44"/>
          <w:szCs w:val="44"/>
        </w:rPr>
        <w:t>情况说明</w:t>
      </w:r>
    </w:p>
    <w:p w:rsidR="00721C8E" w:rsidRDefault="00721C8E">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年度收入、支出预算总计</w:t>
      </w:r>
      <w:r>
        <w:rPr>
          <w:rFonts w:ascii="仿宋" w:eastAsia="仿宋" w:hAnsi="仿宋" w:cs="仿宋"/>
        </w:rPr>
        <w:t>2,843.03</w:t>
      </w:r>
      <w:r>
        <w:rPr>
          <w:rFonts w:ascii="仿宋" w:eastAsia="仿宋" w:hAnsi="仿宋" w:cs="仿宋"/>
        </w:rPr>
        <w:t>万元，与上年相比收、支预算总计各增加</w:t>
      </w:r>
      <w:r>
        <w:rPr>
          <w:rFonts w:ascii="仿宋" w:eastAsia="仿宋" w:hAnsi="仿宋" w:cs="仿宋"/>
        </w:rPr>
        <w:t>261.69</w:t>
      </w:r>
      <w:r>
        <w:rPr>
          <w:rFonts w:ascii="仿宋" w:eastAsia="仿宋" w:hAnsi="仿宋" w:cs="仿宋"/>
        </w:rPr>
        <w:t>万元，增长</w:t>
      </w:r>
      <w:r>
        <w:rPr>
          <w:rFonts w:ascii="仿宋" w:eastAsia="仿宋" w:hAnsi="仿宋" w:cs="仿宋"/>
        </w:rPr>
        <w:t>10.14%</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b/>
        </w:rPr>
        <w:t>2,843.03</w:t>
      </w:r>
      <w:r>
        <w:rPr>
          <w:rFonts w:ascii="仿宋" w:eastAsia="仿宋" w:hAnsi="仿宋" w:cs="仿宋"/>
          <w:b/>
        </w:rPr>
        <w:t>万元。包括：</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rPr>
        <w:t>2,843.03</w:t>
      </w:r>
      <w:r>
        <w:rPr>
          <w:rFonts w:ascii="仿宋" w:eastAsia="仿宋" w:hAnsi="仿宋" w:cs="仿宋"/>
        </w:rPr>
        <w:t>万元。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rPr>
        <w:t>2,843.03</w:t>
      </w:r>
      <w:r>
        <w:rPr>
          <w:rFonts w:ascii="仿宋" w:eastAsia="仿宋" w:hAnsi="仿宋" w:cs="仿宋"/>
        </w:rPr>
        <w:t>万元，与上年相比增加</w:t>
      </w:r>
      <w:r>
        <w:rPr>
          <w:rFonts w:ascii="仿宋" w:eastAsia="仿宋" w:hAnsi="仿宋" w:cs="仿宋"/>
        </w:rPr>
        <w:t>261.69</w:t>
      </w:r>
      <w:r>
        <w:rPr>
          <w:rFonts w:ascii="仿宋" w:eastAsia="仿宋" w:hAnsi="仿宋" w:cs="仿宋"/>
        </w:rPr>
        <w:t>万元，增长</w:t>
      </w:r>
      <w:r>
        <w:rPr>
          <w:rFonts w:ascii="仿宋" w:eastAsia="仿宋" w:hAnsi="仿宋" w:cs="仿宋"/>
        </w:rPr>
        <w:t>10.14%</w:t>
      </w:r>
      <w:r>
        <w:rPr>
          <w:rFonts w:ascii="仿宋" w:eastAsia="仿宋" w:hAnsi="仿宋" w:cs="仿宋"/>
        </w:rPr>
        <w:t>。主要原因是政策性增加基础绩效。</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w:t>
      </w:r>
      <w:r>
        <w:rPr>
          <w:rFonts w:ascii="仿宋" w:eastAsia="仿宋" w:hAnsi="仿宋" w:cs="仿宋"/>
        </w:rPr>
        <w:t>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b/>
        </w:rPr>
        <w:t>2,843.03</w:t>
      </w:r>
      <w:r>
        <w:rPr>
          <w:rFonts w:ascii="仿宋" w:eastAsia="仿宋" w:hAnsi="仿宋" w:cs="仿宋"/>
          <w:b/>
        </w:rPr>
        <w:t>万元。包括：</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rPr>
        <w:t>2,843.03</w:t>
      </w:r>
      <w:r>
        <w:rPr>
          <w:rFonts w:ascii="仿宋" w:eastAsia="仿宋" w:hAnsi="仿宋" w:cs="仿宋"/>
        </w:rPr>
        <w:t>万元。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）一般公共服务支出（类）支出</w:t>
      </w:r>
      <w:r>
        <w:rPr>
          <w:rFonts w:ascii="仿宋" w:eastAsia="仿宋" w:hAnsi="仿宋" w:cs="仿宋"/>
        </w:rPr>
        <w:t>1,677.97</w:t>
      </w:r>
      <w:r>
        <w:rPr>
          <w:rFonts w:ascii="仿宋" w:eastAsia="仿宋" w:hAnsi="仿宋" w:cs="仿宋"/>
        </w:rPr>
        <w:t>万元，主要用于局机关及事业单位开展工作任务而发生的基本支出和项目支出。与上年相比增加</w:t>
      </w:r>
      <w:r>
        <w:rPr>
          <w:rFonts w:ascii="仿宋" w:eastAsia="仿宋" w:hAnsi="仿宋" w:cs="仿宋"/>
        </w:rPr>
        <w:t>377.27</w:t>
      </w:r>
      <w:r>
        <w:rPr>
          <w:rFonts w:ascii="仿宋" w:eastAsia="仿宋" w:hAnsi="仿宋" w:cs="仿宋"/>
        </w:rPr>
        <w:t>万元，增长</w:t>
      </w:r>
      <w:r>
        <w:rPr>
          <w:rFonts w:ascii="仿宋" w:eastAsia="仿宋" w:hAnsi="仿宋" w:cs="仿宋"/>
        </w:rPr>
        <w:t>29.01%</w:t>
      </w:r>
      <w:r>
        <w:rPr>
          <w:rFonts w:ascii="仿宋" w:eastAsia="仿宋" w:hAnsi="仿宋" w:cs="仿宋"/>
        </w:rPr>
        <w:t>。主要原因是政策性增加基础绩效。</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）社会保障和就业支出（类）支出</w:t>
      </w:r>
      <w:r>
        <w:rPr>
          <w:rFonts w:ascii="仿宋" w:eastAsia="仿宋" w:hAnsi="仿宋" w:cs="仿宋"/>
        </w:rPr>
        <w:t>266.3</w:t>
      </w:r>
      <w:r>
        <w:rPr>
          <w:rFonts w:ascii="仿宋" w:eastAsia="仿宋" w:hAnsi="仿宋" w:cs="仿宋"/>
        </w:rPr>
        <w:t>万元，主要用于机关事业单位养老保险及职业年金等支出。与上年相比减少</w:t>
      </w:r>
      <w:r>
        <w:rPr>
          <w:rFonts w:ascii="仿宋" w:eastAsia="仿宋" w:hAnsi="仿宋" w:cs="仿宋"/>
        </w:rPr>
        <w:t>90.58</w:t>
      </w:r>
      <w:r>
        <w:rPr>
          <w:rFonts w:ascii="仿宋" w:eastAsia="仿宋" w:hAnsi="仿宋" w:cs="仿宋"/>
        </w:rPr>
        <w:t>万元，减少</w:t>
      </w:r>
      <w:r>
        <w:rPr>
          <w:rFonts w:ascii="仿宋" w:eastAsia="仿宋" w:hAnsi="仿宋" w:cs="仿宋"/>
        </w:rPr>
        <w:t>25.38%</w:t>
      </w:r>
      <w:r>
        <w:rPr>
          <w:rFonts w:ascii="仿宋" w:eastAsia="仿宋" w:hAnsi="仿宋" w:cs="仿宋"/>
        </w:rPr>
        <w:t>。主要原因是离退休人员减少，相应费用减少。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）卫生健康支出（类）支出</w:t>
      </w:r>
      <w:r>
        <w:rPr>
          <w:rFonts w:ascii="仿宋" w:eastAsia="仿宋" w:hAnsi="仿宋" w:cs="仿宋"/>
        </w:rPr>
        <w:t>47.99</w:t>
      </w:r>
      <w:r>
        <w:rPr>
          <w:rFonts w:ascii="仿宋" w:eastAsia="仿宋" w:hAnsi="仿宋" w:cs="仿宋"/>
        </w:rPr>
        <w:t>万元，主要用于职工医疗补助经费支出。与上年相比增加</w:t>
      </w:r>
      <w:r>
        <w:rPr>
          <w:rFonts w:ascii="仿宋" w:eastAsia="仿宋" w:hAnsi="仿宋" w:cs="仿宋"/>
        </w:rPr>
        <w:t>0.73</w:t>
      </w:r>
      <w:r>
        <w:rPr>
          <w:rFonts w:ascii="仿宋" w:eastAsia="仿宋" w:hAnsi="仿宋" w:cs="仿宋"/>
        </w:rPr>
        <w:t>万元，增长</w:t>
      </w:r>
      <w:r>
        <w:rPr>
          <w:rFonts w:ascii="仿宋" w:eastAsia="仿宋" w:hAnsi="仿宋" w:cs="仿宋"/>
        </w:rPr>
        <w:t>1.54%</w:t>
      </w:r>
      <w:r>
        <w:rPr>
          <w:rFonts w:ascii="仿宋" w:eastAsia="仿宋" w:hAnsi="仿宋" w:cs="仿宋"/>
        </w:rPr>
        <w:t>。主要原因是行政事业人数微调。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）住房保障支出（类）支出</w:t>
      </w:r>
      <w:r>
        <w:rPr>
          <w:rFonts w:ascii="仿宋" w:eastAsia="仿宋" w:hAnsi="仿宋" w:cs="仿宋"/>
        </w:rPr>
        <w:t>850.77</w:t>
      </w:r>
      <w:r>
        <w:rPr>
          <w:rFonts w:ascii="仿宋" w:eastAsia="仿宋" w:hAnsi="仿宋" w:cs="仿宋"/>
        </w:rPr>
        <w:t>万元，主要用于职工住房公积金、提租补贴及购房补贴等支出。与上年相比减少</w:t>
      </w:r>
      <w:r>
        <w:rPr>
          <w:rFonts w:ascii="仿宋" w:eastAsia="仿宋" w:hAnsi="仿宋" w:cs="仿宋"/>
        </w:rPr>
        <w:t>25.73</w:t>
      </w:r>
      <w:r>
        <w:rPr>
          <w:rFonts w:ascii="仿宋" w:eastAsia="仿宋" w:hAnsi="仿宋" w:cs="仿宋"/>
        </w:rPr>
        <w:t>万元，减少</w:t>
      </w:r>
      <w:r>
        <w:rPr>
          <w:rFonts w:ascii="仿宋" w:eastAsia="仿宋" w:hAnsi="仿宋" w:cs="仿宋"/>
        </w:rPr>
        <w:t>2.94%</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w:t>
      </w:r>
      <w:r>
        <w:rPr>
          <w:rFonts w:ascii="仿宋" w:eastAsia="仿宋" w:hAnsi="仿宋" w:cs="仿宋"/>
        </w:rPr>
        <w:t>转结余为</w:t>
      </w:r>
      <w:r>
        <w:rPr>
          <w:rFonts w:ascii="仿宋" w:eastAsia="仿宋" w:hAnsi="仿宋" w:cs="仿宋"/>
        </w:rPr>
        <w:t>0</w:t>
      </w:r>
      <w:r>
        <w:rPr>
          <w:rFonts w:ascii="仿宋" w:eastAsia="仿宋" w:hAnsi="仿宋" w:cs="仿宋"/>
        </w:rPr>
        <w:t>万元。</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年收入预算合计</w:t>
      </w:r>
      <w:r>
        <w:rPr>
          <w:rFonts w:ascii="仿宋" w:eastAsia="仿宋" w:hAnsi="仿宋" w:cs="仿宋"/>
        </w:rPr>
        <w:t>2,843.03</w:t>
      </w:r>
      <w:r>
        <w:rPr>
          <w:rFonts w:ascii="仿宋" w:eastAsia="仿宋" w:hAnsi="仿宋" w:cs="仿宋"/>
        </w:rPr>
        <w:t>万元，包括本年收入</w:t>
      </w:r>
      <w:r>
        <w:rPr>
          <w:rFonts w:ascii="仿宋" w:eastAsia="仿宋" w:hAnsi="仿宋" w:cs="仿宋"/>
        </w:rPr>
        <w:t>2,843.03</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rPr>
        <w:t>2,843.03</w:t>
      </w:r>
      <w:r>
        <w:rPr>
          <w:rFonts w:ascii="仿宋" w:eastAsia="仿宋" w:hAnsi="仿宋" w:cs="仿宋"/>
        </w:rPr>
        <w:t>万元，占</w:t>
      </w:r>
      <w:r>
        <w:rPr>
          <w:rFonts w:ascii="仿宋" w:eastAsia="仿宋" w:hAnsi="仿宋" w:cs="仿宋"/>
        </w:rPr>
        <w:t>100%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年支出预算合计</w:t>
      </w:r>
      <w:r>
        <w:rPr>
          <w:rFonts w:ascii="仿宋" w:eastAsia="仿宋" w:hAnsi="仿宋" w:cs="仿宋"/>
        </w:rPr>
        <w:t>2,843.03</w:t>
      </w:r>
      <w:r>
        <w:rPr>
          <w:rFonts w:ascii="仿宋" w:eastAsia="仿宋" w:hAnsi="仿宋" w:cs="仿宋"/>
        </w:rPr>
        <w:t>万元，其中：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2,325.67</w:t>
      </w:r>
      <w:r>
        <w:rPr>
          <w:rFonts w:ascii="仿宋" w:eastAsia="仿宋" w:hAnsi="仿宋" w:cs="仿宋"/>
        </w:rPr>
        <w:t>万元，占</w:t>
      </w:r>
      <w:r>
        <w:rPr>
          <w:rFonts w:ascii="仿宋" w:eastAsia="仿宋" w:hAnsi="仿宋" w:cs="仿宋"/>
        </w:rPr>
        <w:t>81.8%</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rPr>
        <w:t>517.36</w:t>
      </w:r>
      <w:r>
        <w:rPr>
          <w:rFonts w:ascii="仿宋" w:eastAsia="仿宋" w:hAnsi="仿宋" w:cs="仿宋"/>
        </w:rPr>
        <w:t>万元，占</w:t>
      </w:r>
      <w:r>
        <w:rPr>
          <w:rFonts w:ascii="仿宋" w:eastAsia="仿宋" w:hAnsi="仿宋" w:cs="仿宋"/>
        </w:rPr>
        <w:t>18.2%</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21C8E" w:rsidRDefault="0045513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年度财政拨款收、支总预算</w:t>
      </w:r>
      <w:r>
        <w:rPr>
          <w:rFonts w:ascii="仿宋" w:eastAsia="仿宋" w:hAnsi="仿宋" w:cs="仿宋"/>
        </w:rPr>
        <w:t>2,843.03</w:t>
      </w:r>
      <w:r>
        <w:rPr>
          <w:rFonts w:ascii="仿宋" w:eastAsia="仿宋" w:hAnsi="仿宋" w:cs="仿宋"/>
        </w:rPr>
        <w:t>万元。与上年相比，财政拨款收、支总计各增加</w:t>
      </w:r>
      <w:r>
        <w:rPr>
          <w:rFonts w:ascii="仿宋" w:eastAsia="仿宋" w:hAnsi="仿宋" w:cs="仿宋"/>
        </w:rPr>
        <w:t>261.69</w:t>
      </w:r>
      <w:r>
        <w:rPr>
          <w:rFonts w:ascii="仿宋" w:eastAsia="仿宋" w:hAnsi="仿宋" w:cs="仿宋"/>
        </w:rPr>
        <w:t>万元，增长</w:t>
      </w:r>
      <w:r>
        <w:rPr>
          <w:rFonts w:ascii="仿宋" w:eastAsia="仿宋" w:hAnsi="仿宋" w:cs="仿宋"/>
        </w:rPr>
        <w:t>10.14%</w:t>
      </w:r>
      <w:r>
        <w:rPr>
          <w:rFonts w:ascii="仿宋" w:eastAsia="仿宋" w:hAnsi="仿宋" w:cs="仿宋"/>
        </w:rPr>
        <w:t>。主要原因是政策性增加基础绩效。</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年财政拨款预算支出</w:t>
      </w:r>
      <w:r>
        <w:rPr>
          <w:rFonts w:ascii="仿宋" w:eastAsia="仿宋" w:hAnsi="仿宋" w:cs="仿宋"/>
        </w:rPr>
        <w:t>2,843.03</w:t>
      </w:r>
      <w:r>
        <w:rPr>
          <w:rFonts w:ascii="仿宋" w:eastAsia="仿宋" w:hAnsi="仿宋" w:cs="仿宋"/>
        </w:rPr>
        <w:t>万元，占本年支出合计的</w:t>
      </w:r>
      <w:r>
        <w:rPr>
          <w:rFonts w:ascii="仿宋" w:eastAsia="仿宋" w:hAnsi="仿宋" w:cs="仿宋"/>
        </w:rPr>
        <w:t>100%</w:t>
      </w:r>
      <w:r>
        <w:rPr>
          <w:rFonts w:ascii="仿宋" w:eastAsia="仿宋" w:hAnsi="仿宋" w:cs="仿宋"/>
        </w:rPr>
        <w:t>。与上年相比，财政拨款支出增加</w:t>
      </w:r>
      <w:r>
        <w:rPr>
          <w:rFonts w:ascii="仿宋" w:eastAsia="仿宋" w:hAnsi="仿宋" w:cs="仿宋"/>
        </w:rPr>
        <w:t>261.69</w:t>
      </w:r>
      <w:r>
        <w:rPr>
          <w:rFonts w:ascii="仿宋" w:eastAsia="仿宋" w:hAnsi="仿宋" w:cs="仿宋"/>
        </w:rPr>
        <w:t>万元，增长</w:t>
      </w:r>
      <w:r>
        <w:rPr>
          <w:rFonts w:ascii="仿宋" w:eastAsia="仿宋" w:hAnsi="仿宋" w:cs="仿宋"/>
        </w:rPr>
        <w:t>10.14%</w:t>
      </w:r>
      <w:r>
        <w:rPr>
          <w:rFonts w:ascii="仿宋" w:eastAsia="仿宋" w:hAnsi="仿宋" w:cs="仿宋"/>
        </w:rPr>
        <w:t>。主要原因是政策性增加基础绩效。</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w:t>
      </w:r>
      <w:r>
        <w:rPr>
          <w:rFonts w:ascii="仿宋" w:eastAsia="仿宋" w:hAnsi="仿宋" w:cs="仿宋"/>
        </w:rPr>
        <w:t>出（类）</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商贸事务（款）行政运行（项）支出</w:t>
      </w:r>
      <w:r>
        <w:rPr>
          <w:rFonts w:ascii="仿宋" w:eastAsia="仿宋" w:hAnsi="仿宋" w:cs="仿宋"/>
        </w:rPr>
        <w:t>1,160.61</w:t>
      </w:r>
      <w:r>
        <w:rPr>
          <w:rFonts w:ascii="仿宋" w:eastAsia="仿宋" w:hAnsi="仿宋" w:cs="仿宋"/>
        </w:rPr>
        <w:t>万元，与上年相比增加</w:t>
      </w:r>
      <w:r>
        <w:rPr>
          <w:rFonts w:ascii="仿宋" w:eastAsia="仿宋" w:hAnsi="仿宋" w:cs="仿宋"/>
        </w:rPr>
        <w:t>361.58</w:t>
      </w:r>
      <w:r>
        <w:rPr>
          <w:rFonts w:ascii="仿宋" w:eastAsia="仿宋" w:hAnsi="仿宋" w:cs="仿宋"/>
        </w:rPr>
        <w:t>万元，增长</w:t>
      </w:r>
      <w:r>
        <w:rPr>
          <w:rFonts w:ascii="仿宋" w:eastAsia="仿宋" w:hAnsi="仿宋" w:cs="仿宋"/>
        </w:rPr>
        <w:t>45.25%</w:t>
      </w:r>
      <w:r>
        <w:rPr>
          <w:rFonts w:ascii="仿宋" w:eastAsia="仿宋" w:hAnsi="仿宋" w:cs="仿宋"/>
        </w:rPr>
        <w:t>。主要原因是政策性增加基础绩效。</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商贸事务（款）一般行政管理事务（项）支出</w:t>
      </w:r>
      <w:r>
        <w:rPr>
          <w:rFonts w:ascii="仿宋" w:eastAsia="仿宋" w:hAnsi="仿宋" w:cs="仿宋"/>
        </w:rPr>
        <w:t>517.36</w:t>
      </w:r>
      <w:r>
        <w:rPr>
          <w:rFonts w:ascii="仿宋" w:eastAsia="仿宋" w:hAnsi="仿宋" w:cs="仿宋"/>
        </w:rPr>
        <w:t>万元，与上年相比增加</w:t>
      </w:r>
      <w:r>
        <w:rPr>
          <w:rFonts w:ascii="仿宋" w:eastAsia="仿宋" w:hAnsi="仿宋" w:cs="仿宋"/>
        </w:rPr>
        <w:t>15.69</w:t>
      </w:r>
      <w:r>
        <w:rPr>
          <w:rFonts w:ascii="仿宋" w:eastAsia="仿宋" w:hAnsi="仿宋" w:cs="仿宋"/>
        </w:rPr>
        <w:t>万元，增长</w:t>
      </w:r>
      <w:r>
        <w:rPr>
          <w:rFonts w:ascii="仿宋" w:eastAsia="仿宋" w:hAnsi="仿宋" w:cs="仿宋"/>
        </w:rPr>
        <w:t>3.13%</w:t>
      </w:r>
      <w:r>
        <w:rPr>
          <w:rFonts w:ascii="仿宋" w:eastAsia="仿宋" w:hAnsi="仿宋" w:cs="仿宋"/>
        </w:rPr>
        <w:t>。主要原因是根据工作需要增加了工业经济高质量发展平台运行维护费等预算。</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rPr>
        <w:t>99.53</w:t>
      </w:r>
      <w:r>
        <w:rPr>
          <w:rFonts w:ascii="仿宋" w:eastAsia="仿宋" w:hAnsi="仿宋" w:cs="仿宋"/>
        </w:rPr>
        <w:t>万元，与上年相比减少</w:t>
      </w:r>
      <w:r>
        <w:rPr>
          <w:rFonts w:ascii="仿宋" w:eastAsia="仿宋" w:hAnsi="仿宋" w:cs="仿宋"/>
        </w:rPr>
        <w:t>88.67</w:t>
      </w:r>
      <w:r>
        <w:rPr>
          <w:rFonts w:ascii="仿宋" w:eastAsia="仿宋" w:hAnsi="仿宋" w:cs="仿宋"/>
        </w:rPr>
        <w:t>万元，减少</w:t>
      </w:r>
      <w:r>
        <w:rPr>
          <w:rFonts w:ascii="仿宋" w:eastAsia="仿宋" w:hAnsi="仿宋" w:cs="仿宋"/>
        </w:rPr>
        <w:t>47.11%</w:t>
      </w:r>
      <w:r>
        <w:rPr>
          <w:rFonts w:ascii="仿宋" w:eastAsia="仿宋" w:hAnsi="仿宋" w:cs="仿宋"/>
        </w:rPr>
        <w:t>。主要原因是离退休人员减少，相应费用</w:t>
      </w:r>
      <w:r>
        <w:rPr>
          <w:rFonts w:ascii="仿宋" w:eastAsia="仿宋" w:hAnsi="仿宋" w:cs="仿宋"/>
        </w:rPr>
        <w:t>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行政事业单位养老支出（款）机关事业单位基本养老保险缴费支出（项）支出</w:t>
      </w:r>
      <w:r>
        <w:rPr>
          <w:rFonts w:ascii="仿宋" w:eastAsia="仿宋" w:hAnsi="仿宋" w:cs="仿宋"/>
        </w:rPr>
        <w:t>111.18</w:t>
      </w:r>
      <w:r>
        <w:rPr>
          <w:rFonts w:ascii="仿宋" w:eastAsia="仿宋" w:hAnsi="仿宋" w:cs="仿宋"/>
        </w:rPr>
        <w:t>万元，与上年相比减少</w:t>
      </w:r>
      <w:r>
        <w:rPr>
          <w:rFonts w:ascii="仿宋" w:eastAsia="仿宋" w:hAnsi="仿宋" w:cs="仿宋"/>
        </w:rPr>
        <w:t>1.27</w:t>
      </w:r>
      <w:r>
        <w:rPr>
          <w:rFonts w:ascii="仿宋" w:eastAsia="仿宋" w:hAnsi="仿宋" w:cs="仿宋"/>
        </w:rPr>
        <w:t>万元，减少</w:t>
      </w:r>
      <w:r>
        <w:rPr>
          <w:rFonts w:ascii="仿宋" w:eastAsia="仿宋" w:hAnsi="仿宋" w:cs="仿宋"/>
        </w:rPr>
        <w:t>1.13%</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行政事业单位养老支出（款）机关事业单位职业年金缴费支出（项）支出</w:t>
      </w:r>
      <w:r>
        <w:rPr>
          <w:rFonts w:ascii="仿宋" w:eastAsia="仿宋" w:hAnsi="仿宋" w:cs="仿宋"/>
        </w:rPr>
        <w:t>55.59</w:t>
      </w:r>
      <w:r>
        <w:rPr>
          <w:rFonts w:ascii="仿宋" w:eastAsia="仿宋" w:hAnsi="仿宋" w:cs="仿宋"/>
        </w:rPr>
        <w:t>万元，与上年相比减少</w:t>
      </w:r>
      <w:r>
        <w:rPr>
          <w:rFonts w:ascii="仿宋" w:eastAsia="仿宋" w:hAnsi="仿宋" w:cs="仿宋"/>
        </w:rPr>
        <w:t>0.64</w:t>
      </w:r>
      <w:r>
        <w:rPr>
          <w:rFonts w:ascii="仿宋" w:eastAsia="仿宋" w:hAnsi="仿宋" w:cs="仿宋"/>
        </w:rPr>
        <w:t>万元，减少</w:t>
      </w:r>
      <w:r>
        <w:rPr>
          <w:rFonts w:ascii="仿宋" w:eastAsia="仿宋" w:hAnsi="仿宋" w:cs="仿宋"/>
        </w:rPr>
        <w:t>1.14%</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行政事业单位医疗（款）行政单位医疗（项）支出</w:t>
      </w:r>
      <w:r>
        <w:rPr>
          <w:rFonts w:ascii="仿宋" w:eastAsia="仿宋" w:hAnsi="仿宋" w:cs="仿宋"/>
        </w:rPr>
        <w:t>26.32</w:t>
      </w:r>
      <w:r>
        <w:rPr>
          <w:rFonts w:ascii="仿宋" w:eastAsia="仿宋" w:hAnsi="仿宋" w:cs="仿宋"/>
        </w:rPr>
        <w:t>万元，与上年相比增加</w:t>
      </w:r>
      <w:r>
        <w:rPr>
          <w:rFonts w:ascii="仿宋" w:eastAsia="仿宋" w:hAnsi="仿宋" w:cs="仿宋"/>
        </w:rPr>
        <w:t>0.8</w:t>
      </w:r>
      <w:r>
        <w:rPr>
          <w:rFonts w:ascii="仿宋" w:eastAsia="仿宋" w:hAnsi="仿宋" w:cs="仿宋"/>
        </w:rPr>
        <w:t>万元，增长</w:t>
      </w:r>
      <w:r>
        <w:rPr>
          <w:rFonts w:ascii="仿宋" w:eastAsia="仿宋" w:hAnsi="仿宋" w:cs="仿宋"/>
        </w:rPr>
        <w:t>3.13%</w:t>
      </w:r>
      <w:r>
        <w:rPr>
          <w:rFonts w:ascii="仿宋" w:eastAsia="仿宋" w:hAnsi="仿宋" w:cs="仿宋"/>
        </w:rPr>
        <w:t>。主要原因是行政事业人数微调。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行政事业单位医疗（款）事业单位医疗（项）支出</w:t>
      </w:r>
      <w:r>
        <w:rPr>
          <w:rFonts w:ascii="仿宋" w:eastAsia="仿宋" w:hAnsi="仿宋" w:cs="仿宋"/>
        </w:rPr>
        <w:t>10.47</w:t>
      </w:r>
      <w:r>
        <w:rPr>
          <w:rFonts w:ascii="仿宋" w:eastAsia="仿宋" w:hAnsi="仿宋" w:cs="仿宋"/>
        </w:rPr>
        <w:t>万元，与上年相比增加</w:t>
      </w:r>
      <w:r>
        <w:rPr>
          <w:rFonts w:ascii="仿宋" w:eastAsia="仿宋" w:hAnsi="仿宋" w:cs="仿宋"/>
        </w:rPr>
        <w:t>0.09</w:t>
      </w:r>
      <w:r>
        <w:rPr>
          <w:rFonts w:ascii="仿宋" w:eastAsia="仿宋" w:hAnsi="仿宋" w:cs="仿宋"/>
        </w:rPr>
        <w:t>万元，增长</w:t>
      </w:r>
      <w:r>
        <w:rPr>
          <w:rFonts w:ascii="仿宋" w:eastAsia="仿宋" w:hAnsi="仿宋" w:cs="仿宋"/>
        </w:rPr>
        <w:t>0.87%</w:t>
      </w:r>
      <w:r>
        <w:rPr>
          <w:rFonts w:ascii="仿宋" w:eastAsia="仿宋" w:hAnsi="仿宋" w:cs="仿宋"/>
        </w:rPr>
        <w:t>。主要原因是行政事业人数微调。</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行政事业单位医疗（款）公务员医疗补助（项）支出</w:t>
      </w:r>
      <w:r>
        <w:rPr>
          <w:rFonts w:ascii="仿宋" w:eastAsia="仿宋" w:hAnsi="仿宋" w:cs="仿宋"/>
        </w:rPr>
        <w:t>11.2</w:t>
      </w:r>
      <w:r>
        <w:rPr>
          <w:rFonts w:ascii="仿宋" w:eastAsia="仿宋" w:hAnsi="仿宋" w:cs="仿宋"/>
        </w:rPr>
        <w:t>万元，与上年相比减少</w:t>
      </w:r>
      <w:r>
        <w:rPr>
          <w:rFonts w:ascii="仿宋" w:eastAsia="仿宋" w:hAnsi="仿宋" w:cs="仿宋"/>
        </w:rPr>
        <w:t>0.16</w:t>
      </w:r>
      <w:r>
        <w:rPr>
          <w:rFonts w:ascii="仿宋" w:eastAsia="仿宋" w:hAnsi="仿宋" w:cs="仿宋"/>
        </w:rPr>
        <w:t>万元，减少</w:t>
      </w:r>
      <w:r>
        <w:rPr>
          <w:rFonts w:ascii="仿宋" w:eastAsia="仿宋" w:hAnsi="仿宋" w:cs="仿宋"/>
        </w:rPr>
        <w:t>1.41%</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住房改革支出（款）住房公积金（项）支出</w:t>
      </w:r>
      <w:r>
        <w:rPr>
          <w:rFonts w:ascii="仿宋" w:eastAsia="仿宋" w:hAnsi="仿宋" w:cs="仿宋"/>
        </w:rPr>
        <w:t>173.76</w:t>
      </w:r>
      <w:r>
        <w:rPr>
          <w:rFonts w:ascii="仿宋" w:eastAsia="仿宋" w:hAnsi="仿宋" w:cs="仿宋"/>
        </w:rPr>
        <w:t>万元，与上年相比减少</w:t>
      </w:r>
      <w:r>
        <w:rPr>
          <w:rFonts w:ascii="仿宋" w:eastAsia="仿宋" w:hAnsi="仿宋" w:cs="仿宋"/>
        </w:rPr>
        <w:t>4.03</w:t>
      </w:r>
      <w:r>
        <w:rPr>
          <w:rFonts w:ascii="仿宋" w:eastAsia="仿宋" w:hAnsi="仿宋" w:cs="仿宋"/>
        </w:rPr>
        <w:t>万元，减少</w:t>
      </w:r>
      <w:r>
        <w:rPr>
          <w:rFonts w:ascii="仿宋" w:eastAsia="仿宋" w:hAnsi="仿宋" w:cs="仿宋"/>
        </w:rPr>
        <w:t>2.27%</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住房改革支出（款）提租补贴（项）支出</w:t>
      </w:r>
      <w:r>
        <w:rPr>
          <w:rFonts w:ascii="仿宋" w:eastAsia="仿宋" w:hAnsi="仿宋" w:cs="仿宋"/>
        </w:rPr>
        <w:t>549.39</w:t>
      </w:r>
      <w:r>
        <w:rPr>
          <w:rFonts w:ascii="仿宋" w:eastAsia="仿宋" w:hAnsi="仿宋" w:cs="仿宋"/>
        </w:rPr>
        <w:t>万元，与上年相比减少</w:t>
      </w:r>
      <w:r>
        <w:rPr>
          <w:rFonts w:ascii="仿宋" w:eastAsia="仿宋" w:hAnsi="仿宋" w:cs="仿宋"/>
        </w:rPr>
        <w:t>23.22</w:t>
      </w:r>
      <w:r>
        <w:rPr>
          <w:rFonts w:ascii="仿宋" w:eastAsia="仿宋" w:hAnsi="仿宋" w:cs="仿宋"/>
        </w:rPr>
        <w:t>万</w:t>
      </w:r>
      <w:r>
        <w:rPr>
          <w:rFonts w:ascii="仿宋" w:eastAsia="仿宋" w:hAnsi="仿宋" w:cs="仿宋"/>
        </w:rPr>
        <w:t>元，减少</w:t>
      </w:r>
      <w:r>
        <w:rPr>
          <w:rFonts w:ascii="仿宋" w:eastAsia="仿宋" w:hAnsi="仿宋" w:cs="仿宋"/>
        </w:rPr>
        <w:t>4.06%</w:t>
      </w:r>
      <w:r>
        <w:rPr>
          <w:rFonts w:ascii="仿宋" w:eastAsia="仿宋" w:hAnsi="仿宋" w:cs="仿宋"/>
        </w:rPr>
        <w:t>。主要原因是人员有所减少。</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住房改革支出（款）购房补贴（项）支出</w:t>
      </w:r>
      <w:r>
        <w:rPr>
          <w:rFonts w:ascii="仿宋" w:eastAsia="仿宋" w:hAnsi="仿宋" w:cs="仿宋"/>
        </w:rPr>
        <w:t>127.62</w:t>
      </w:r>
      <w:r>
        <w:rPr>
          <w:rFonts w:ascii="仿宋" w:eastAsia="仿宋" w:hAnsi="仿宋" w:cs="仿宋"/>
        </w:rPr>
        <w:t>万元，与上年相比增加</w:t>
      </w:r>
      <w:r>
        <w:rPr>
          <w:rFonts w:ascii="仿宋" w:eastAsia="仿宋" w:hAnsi="仿宋" w:cs="仿宋"/>
        </w:rPr>
        <w:t>1.52</w:t>
      </w:r>
      <w:r>
        <w:rPr>
          <w:rFonts w:ascii="仿宋" w:eastAsia="仿宋" w:hAnsi="仿宋" w:cs="仿宋"/>
        </w:rPr>
        <w:t>万元，增长</w:t>
      </w:r>
      <w:r>
        <w:rPr>
          <w:rFonts w:ascii="仿宋" w:eastAsia="仿宋" w:hAnsi="仿宋" w:cs="仿宋"/>
        </w:rPr>
        <w:t>1.21%</w:t>
      </w:r>
      <w:r>
        <w:rPr>
          <w:rFonts w:ascii="仿宋" w:eastAsia="仿宋" w:hAnsi="仿宋" w:cs="仿宋"/>
        </w:rPr>
        <w:t>。主要原因是老职工退休，新招一名公务员。</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2,325.67</w:t>
      </w:r>
      <w:r>
        <w:rPr>
          <w:rFonts w:ascii="仿宋" w:eastAsia="仿宋" w:hAnsi="仿宋" w:cs="仿宋"/>
        </w:rPr>
        <w:t>万元，其中：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2,243.79</w:t>
      </w:r>
      <w:r>
        <w:rPr>
          <w:rFonts w:ascii="仿宋" w:eastAsia="仿宋" w:hAnsi="仿宋" w:cs="仿宋"/>
        </w:rPr>
        <w:t>万元。主要包括：基本工资、津贴补贴、奖金、机关事业单位基本养老保险缴费、职业年金缴费、职工基本医疗保险缴费、公务员医疗补助缴费、其他社会保障缴费、住房公积金、医疗费、离休费</w:t>
      </w:r>
      <w:r>
        <w:rPr>
          <w:rFonts w:ascii="仿宋" w:eastAsia="仿宋" w:hAnsi="仿宋" w:cs="仿宋"/>
        </w:rPr>
        <w:t>、退休费、生活补助。</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81.88</w:t>
      </w:r>
      <w:r>
        <w:rPr>
          <w:rFonts w:ascii="仿宋" w:eastAsia="仿宋" w:hAnsi="仿宋" w:cs="仿宋"/>
        </w:rPr>
        <w:t>万元。主要包括：办公费、邮电费、差旅费、会议费、培训费、公务接待费、劳务费、工会经费、福利费、其他商品和服务支出。</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rPr>
        <w:t>2,843.03</w:t>
      </w:r>
      <w:r>
        <w:rPr>
          <w:rFonts w:ascii="仿宋" w:eastAsia="仿宋" w:hAnsi="仿宋" w:cs="仿宋"/>
        </w:rPr>
        <w:t>万元，与上年相比增加</w:t>
      </w:r>
      <w:r>
        <w:rPr>
          <w:rFonts w:ascii="仿宋" w:eastAsia="仿宋" w:hAnsi="仿宋" w:cs="仿宋"/>
        </w:rPr>
        <w:t>261.69</w:t>
      </w:r>
      <w:r>
        <w:rPr>
          <w:rFonts w:ascii="仿宋" w:eastAsia="仿宋" w:hAnsi="仿宋" w:cs="仿宋"/>
        </w:rPr>
        <w:t>万元，增长</w:t>
      </w:r>
      <w:r>
        <w:rPr>
          <w:rFonts w:ascii="仿宋" w:eastAsia="仿宋" w:hAnsi="仿宋" w:cs="仿宋"/>
        </w:rPr>
        <w:t>10.14%</w:t>
      </w:r>
      <w:r>
        <w:rPr>
          <w:rFonts w:ascii="仿宋" w:eastAsia="仿宋" w:hAnsi="仿宋" w:cs="仿宋"/>
        </w:rPr>
        <w:t>。主要原因是政策性增加基础绩效。</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2,325.67</w:t>
      </w:r>
      <w:r>
        <w:rPr>
          <w:rFonts w:ascii="仿宋" w:eastAsia="仿宋" w:hAnsi="仿宋" w:cs="仿宋"/>
        </w:rPr>
        <w:t>万元，其中：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w:t>
      </w:r>
      <w:r>
        <w:rPr>
          <w:rFonts w:ascii="仿宋" w:eastAsia="仿宋" w:hAnsi="仿宋" w:cs="仿宋"/>
        </w:rPr>
        <w:t>经费</w:t>
      </w:r>
      <w:r>
        <w:rPr>
          <w:rFonts w:ascii="仿宋" w:eastAsia="仿宋" w:hAnsi="仿宋" w:cs="仿宋"/>
        </w:rPr>
        <w:t>2,243.79</w:t>
      </w:r>
      <w:r>
        <w:rPr>
          <w:rFonts w:ascii="仿宋" w:eastAsia="仿宋" w:hAnsi="仿宋" w:cs="仿宋"/>
        </w:rPr>
        <w:t>万元。主要包括：基本工资、津贴补贴、奖金、机关事业单位基本养老保险缴费、职业年金缴费、职工基本医疗保险缴费、公务员医疗补助缴费、其他社会保障缴费、住房公积金、医疗费、离休费、退休费、生活补助。</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81.88</w:t>
      </w:r>
      <w:r>
        <w:rPr>
          <w:rFonts w:ascii="仿宋" w:eastAsia="仿宋" w:hAnsi="仿宋" w:cs="仿宋"/>
        </w:rPr>
        <w:t>万元。主要包括：办公费、邮电费、差旅费、会议费、培训费、公务接待费、劳务费、工会经费、福利费、其他商品和服务支出。</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1.6</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。具体情况如下：</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rPr>
        <w:t>0</w:t>
      </w:r>
      <w:r>
        <w:rPr>
          <w:rFonts w:ascii="仿宋" w:eastAsia="仿宋" w:hAnsi="仿宋" w:cs="仿宋"/>
        </w:rPr>
        <w:t>万元。其中：</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rPr>
        <w:t>0</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1.6</w:t>
      </w:r>
      <w:r>
        <w:rPr>
          <w:rFonts w:ascii="仿宋" w:eastAsia="仿宋" w:hAnsi="仿宋" w:cs="仿宋"/>
        </w:rPr>
        <w:t>万</w:t>
      </w:r>
      <w:r>
        <w:rPr>
          <w:rFonts w:ascii="仿宋" w:eastAsia="仿宋" w:hAnsi="仿宋" w:cs="仿宋"/>
        </w:rPr>
        <w:t>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3.2</w:t>
      </w:r>
      <w:r>
        <w:rPr>
          <w:rFonts w:ascii="仿宋" w:eastAsia="仿宋" w:hAnsi="仿宋" w:cs="仿宋"/>
        </w:rPr>
        <w:t>万元，与上年预算数相同。</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rPr>
        <w:t>5</w:t>
      </w:r>
      <w:r>
        <w:rPr>
          <w:rFonts w:ascii="仿宋" w:eastAsia="仿宋" w:hAnsi="仿宋" w:cs="仿宋"/>
        </w:rPr>
        <w:t>万元，与上年预算数相同。</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常州市武进区工业和信息化局</w:t>
      </w:r>
      <w:r>
        <w:rPr>
          <w:rFonts w:ascii="仿宋" w:eastAsia="仿宋" w:hAnsi="仿宋" w:cs="仿宋"/>
        </w:rPr>
        <w:t>2023</w:t>
      </w:r>
      <w:r>
        <w:rPr>
          <w:rFonts w:ascii="仿宋" w:eastAsia="仿宋" w:hAnsi="仿宋" w:cs="仿宋"/>
        </w:rPr>
        <w:t>年国有资本经营预算支出</w:t>
      </w:r>
      <w:r>
        <w:rPr>
          <w:rFonts w:ascii="仿宋" w:eastAsia="仿宋" w:hAnsi="仿宋" w:cs="仿宋"/>
        </w:rPr>
        <w:t>0</w:t>
      </w:r>
      <w:r>
        <w:rPr>
          <w:rFonts w:ascii="仿宋" w:eastAsia="仿宋" w:hAnsi="仿宋" w:cs="仿宋"/>
        </w:rPr>
        <w:t>万元。与上年预算数相同。</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年本部门一般公共预算机关运行经费预算支出</w:t>
      </w:r>
      <w:r>
        <w:rPr>
          <w:rFonts w:ascii="仿宋" w:eastAsia="仿宋" w:hAnsi="仿宋" w:cs="仿宋"/>
        </w:rPr>
        <w:t>81.88</w:t>
      </w:r>
      <w:r>
        <w:rPr>
          <w:rFonts w:ascii="仿宋" w:eastAsia="仿宋" w:hAnsi="仿宋" w:cs="仿宋"/>
        </w:rPr>
        <w:t>万元。与上年相比减少</w:t>
      </w:r>
      <w:r>
        <w:rPr>
          <w:rFonts w:ascii="仿宋" w:eastAsia="仿宋" w:hAnsi="仿宋" w:cs="仿宋"/>
        </w:rPr>
        <w:t>3.17</w:t>
      </w:r>
      <w:r>
        <w:rPr>
          <w:rFonts w:ascii="仿宋" w:eastAsia="仿宋" w:hAnsi="仿宋" w:cs="仿宋"/>
        </w:rPr>
        <w:t>万元，减少</w:t>
      </w:r>
      <w:r>
        <w:rPr>
          <w:rFonts w:ascii="仿宋" w:eastAsia="仿宋" w:hAnsi="仿宋" w:cs="仿宋"/>
        </w:rPr>
        <w:t>3.73%</w:t>
      </w:r>
      <w:r>
        <w:rPr>
          <w:rFonts w:ascii="仿宋" w:eastAsia="仿宋" w:hAnsi="仿宋" w:cs="仿宋"/>
        </w:rPr>
        <w:t>。主要原因是人员有所减少。</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53</w:t>
      </w:r>
      <w:r>
        <w:rPr>
          <w:rFonts w:ascii="仿宋" w:eastAsia="仿宋" w:hAnsi="仿宋" w:cs="仿宋"/>
        </w:rPr>
        <w:t>万元，其中：拟采购货物支出</w:t>
      </w:r>
      <w:r>
        <w:rPr>
          <w:rFonts w:ascii="仿宋" w:eastAsia="仿宋" w:hAnsi="仿宋" w:cs="仿宋"/>
        </w:rPr>
        <w:t>3</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50</w:t>
      </w:r>
      <w:r>
        <w:rPr>
          <w:rFonts w:ascii="仿宋" w:eastAsia="仿宋" w:hAnsi="仿宋" w:cs="仿宋"/>
        </w:rPr>
        <w:t>万元。</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rPr>
        <w:t>0</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721C8E" w:rsidRDefault="00455134" w:rsidP="004B1078">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721C8E" w:rsidRDefault="0045513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年度，本部门整体支出纳入绩效目标管理，涉及财政性资金</w:t>
      </w:r>
      <w:r>
        <w:rPr>
          <w:rFonts w:ascii="仿宋" w:eastAsia="仿宋" w:hAnsi="仿宋" w:cs="仿宋"/>
        </w:rPr>
        <w:t>6,843.03</w:t>
      </w:r>
      <w:r>
        <w:rPr>
          <w:rFonts w:ascii="仿宋" w:eastAsia="仿宋" w:hAnsi="仿宋" w:cs="仿宋"/>
        </w:rPr>
        <w:t>万元；本部门共</w:t>
      </w:r>
      <w:r>
        <w:rPr>
          <w:rFonts w:ascii="仿宋" w:eastAsia="仿宋" w:hAnsi="仿宋" w:cs="仿宋"/>
        </w:rPr>
        <w:t>9</w:t>
      </w:r>
      <w:r>
        <w:rPr>
          <w:rFonts w:ascii="仿宋" w:eastAsia="仿宋" w:hAnsi="仿宋" w:cs="仿宋"/>
        </w:rPr>
        <w:t>个项目纳入绩效目标管理，涉及财政性资金合计</w:t>
      </w:r>
      <w:r>
        <w:rPr>
          <w:rFonts w:ascii="仿宋" w:eastAsia="仿宋" w:hAnsi="仿宋" w:cs="仿宋"/>
        </w:rPr>
        <w:t>4,517.36</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100%</w:t>
      </w:r>
      <w:r>
        <w:rPr>
          <w:rFonts w:ascii="仿宋" w:eastAsia="仿宋" w:hAnsi="仿宋" w:cs="仿宋"/>
        </w:rPr>
        <w:t>。</w:t>
      </w:r>
    </w:p>
    <w:p w:rsidR="00721C8E" w:rsidRDefault="00455134">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721C8E" w:rsidRDefault="00721C8E">
      <w:pPr>
        <w:pStyle w:val="a4"/>
        <w:tabs>
          <w:tab w:val="left" w:pos="3864"/>
          <w:tab w:val="left" w:pos="6248"/>
          <w:tab w:val="left" w:pos="7386"/>
        </w:tabs>
        <w:ind w:leftChars="200" w:left="440" w:firstLineChars="206" w:firstLine="659"/>
        <w:jc w:val="both"/>
        <w:rPr>
          <w:rFonts w:ascii="仿宋" w:eastAsia="仿宋" w:hAnsi="仿宋" w:cs="仿宋"/>
        </w:rPr>
      </w:pP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w:t>
      </w:r>
      <w:r>
        <w:rPr>
          <w:rFonts w:ascii="仿宋" w:eastAsia="仿宋" w:hAnsi="仿宋" w:cs="仿宋" w:hint="eastAsia"/>
          <w:b/>
          <w:bCs/>
        </w:rPr>
        <w:t>、财政专户管理资金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w:t>
      </w:r>
      <w:r>
        <w:rPr>
          <w:rFonts w:ascii="仿宋" w:eastAsia="仿宋" w:hAnsi="仿宋" w:cs="仿宋" w:hint="eastAsia"/>
        </w:rPr>
        <w:t>日常维修费、专用材料及一般设备购置费、办公用房水电费、办公用房取暖费、办公用房物业管理费、公务用车运行维护费及其他费用等。</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w:t>
      </w:r>
      <w:r>
        <w:rPr>
          <w:rFonts w:ascii="仿宋" w:eastAsia="仿宋" w:hAnsi="仿宋" w:cs="仿宋" w:hint="eastAsia"/>
        </w:rPr>
        <w:t>休经费。</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w:t>
      </w:r>
      <w:r>
        <w:rPr>
          <w:rFonts w:ascii="仿宋" w:eastAsia="仿宋" w:hAnsi="仿宋" w:cs="仿宋" w:hint="eastAsia"/>
        </w:rPr>
        <w:t>疗经费，按国家规定享受离休人员、红军老战士待遇人员的医疗经费。</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公务员医疗补助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反映财政部门安排的公务员医疗补助经费。</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w:t>
      </w:r>
      <w:r>
        <w:rPr>
          <w:rFonts w:ascii="仿宋" w:eastAsia="仿宋" w:hAnsi="仿宋" w:cs="仿宋" w:hint="eastAsia"/>
        </w:rPr>
        <w:t>工缴纳的住房公积金。</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721C8E" w:rsidRDefault="0045513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购房补贴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反映按房改政策规定，行政事业单位向符合条件职工（含离退休人员）、军队</w:t>
      </w:r>
      <w:r>
        <w:rPr>
          <w:rFonts w:ascii="仿宋" w:eastAsia="仿宋" w:hAnsi="仿宋" w:cs="仿宋" w:hint="eastAsia"/>
        </w:rPr>
        <w:t>(</w:t>
      </w:r>
      <w:r>
        <w:rPr>
          <w:rFonts w:ascii="仿宋" w:eastAsia="仿宋" w:hAnsi="仿宋" w:cs="仿宋" w:hint="eastAsia"/>
        </w:rPr>
        <w:t>含武警</w:t>
      </w:r>
      <w:r>
        <w:rPr>
          <w:rFonts w:ascii="仿宋" w:eastAsia="仿宋" w:hAnsi="仿宋" w:cs="仿宋" w:hint="eastAsia"/>
        </w:rPr>
        <w:t>)</w:t>
      </w:r>
      <w:r>
        <w:rPr>
          <w:rFonts w:ascii="仿宋" w:eastAsia="仿宋" w:hAnsi="仿宋" w:cs="仿宋" w:hint="eastAsia"/>
        </w:rPr>
        <w:t>向转役复员离退休人员发放的用于购买住房的补贴。</w:t>
      </w:r>
    </w:p>
    <w:sectPr w:rsidR="00721C8E" w:rsidSect="00721C8E">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134" w:rsidRDefault="00455134" w:rsidP="00721C8E">
      <w:r>
        <w:separator/>
      </w:r>
    </w:p>
  </w:endnote>
  <w:endnote w:type="continuationSeparator" w:id="1">
    <w:p w:rsidR="00455134" w:rsidRDefault="00455134" w:rsidP="00721C8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080E0000" w:usb2="00000010" w:usb3="00000000" w:csb0="00040001" w:csb1="00000000"/>
  </w:font>
  <w:font w:name="仿宋">
    <w:altName w:val="方正仿宋_GBK"/>
    <w:charset w:val="00"/>
    <w:family w:val="auto"/>
    <w:pitch w:val="default"/>
    <w:sig w:usb0="00000000" w:usb1="0000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216;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8</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240;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9</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264;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10</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288;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11</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312;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12</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336;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13</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63360;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14</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64384;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15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rPr>
        <w:rFonts w:ascii="黑体" w:eastAsia="黑体" w:hAnsi="黑体" w:cs="黑体"/>
      </w:rPr>
    </w:pPr>
    <w:r w:rsidRPr="00721C8E">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072;mso-wrap-style:none;mso-position-horizontal:center;mso-position-horizontal-relative:margin" filled="f" stroked="f">
          <v:textbox style="mso-fit-shape-to-text:t" inset="0,0,0,0">
            <w:txbxContent>
              <w:p w:rsidR="00721C8E" w:rsidRDefault="00721C8E">
                <w:pPr>
                  <w:pStyle w:val="a5"/>
                  <w:rPr>
                    <w:rFonts w:ascii="黑体" w:eastAsia="黑体" w:hAnsi="黑体" w:cs="黑体"/>
                  </w:rPr>
                </w:pPr>
                <w:r>
                  <w:rPr>
                    <w:rFonts w:ascii="黑体" w:eastAsia="黑体" w:hAnsi="黑体" w:cs="黑体" w:hint="eastAsia"/>
                  </w:rPr>
                  <w:fldChar w:fldCharType="begin"/>
                </w:r>
                <w:r w:rsidR="00455134">
                  <w:rPr>
                    <w:rFonts w:ascii="黑体" w:eastAsia="黑体" w:hAnsi="黑体" w:cs="黑体" w:hint="eastAsia"/>
                  </w:rPr>
                  <w:instrText xml:space="preserve"> PAGE  \* MERGEFORMAT </w:instrText>
                </w:r>
                <w:r>
                  <w:rPr>
                    <w:rFonts w:ascii="黑体" w:eastAsia="黑体" w:hAnsi="黑体" w:cs="黑体" w:hint="eastAsia"/>
                  </w:rPr>
                  <w:fldChar w:fldCharType="separate"/>
                </w:r>
                <w:r w:rsidR="004B1078">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rPr>
        <w:rFonts w:ascii="黑体" w:eastAsia="黑体" w:hAnsi="黑体" w:cs="黑体"/>
      </w:rPr>
    </w:pPr>
    <w:r w:rsidRPr="00721C8E">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096;mso-wrap-style:none;mso-position-horizontal:center;mso-position-horizontal-relative:margin" filled="f" stroked="f">
          <v:textbox style="mso-fit-shape-to-text:t" inset="0,0,0,0">
            <w:txbxContent>
              <w:p w:rsidR="00721C8E" w:rsidRDefault="00721C8E">
                <w:pPr>
                  <w:pStyle w:val="a5"/>
                  <w:rPr>
                    <w:rFonts w:ascii="黑体" w:eastAsia="黑体" w:hAnsi="黑体" w:cs="黑体"/>
                  </w:rPr>
                </w:pPr>
                <w:r>
                  <w:rPr>
                    <w:rFonts w:ascii="黑体" w:eastAsia="黑体" w:hAnsi="黑体" w:cs="黑体" w:hint="eastAsia"/>
                  </w:rPr>
                  <w:fldChar w:fldCharType="begin"/>
                </w:r>
                <w:r w:rsidR="00455134">
                  <w:rPr>
                    <w:rFonts w:ascii="黑体" w:eastAsia="黑体" w:hAnsi="黑体" w:cs="黑体" w:hint="eastAsia"/>
                  </w:rPr>
                  <w:instrText xml:space="preserve"> PAGE  \* MERGEFORMAT </w:instrText>
                </w:r>
                <w:r>
                  <w:rPr>
                    <w:rFonts w:ascii="黑体" w:eastAsia="黑体" w:hAnsi="黑体" w:cs="黑体" w:hint="eastAsia"/>
                  </w:rPr>
                  <w:fldChar w:fldCharType="separate"/>
                </w:r>
                <w:r w:rsidR="004B1078">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120;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2</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144;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5</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168;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6</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5"/>
      <w:jc w:val="center"/>
    </w:pPr>
    <w:r w:rsidRPr="00721C8E">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192;mso-wrap-style:none;mso-position-horizontal:center;mso-position-horizontal-relative:margin" filled="f" stroked="f">
          <v:textbox style="mso-fit-shape-to-text:t" inset="0,0,0,0">
            <w:txbxContent>
              <w:p w:rsidR="00721C8E" w:rsidRDefault="00721C8E">
                <w:pPr>
                  <w:pStyle w:val="a5"/>
                </w:pPr>
                <w:r>
                  <w:rPr>
                    <w:rFonts w:hint="eastAsia"/>
                  </w:rPr>
                  <w:fldChar w:fldCharType="begin"/>
                </w:r>
                <w:r w:rsidR="00455134">
                  <w:rPr>
                    <w:rFonts w:hint="eastAsia"/>
                  </w:rPr>
                  <w:instrText xml:space="preserve"> PAGE  \* MERGEFORMAT </w:instrText>
                </w:r>
                <w:r>
                  <w:rPr>
                    <w:rFonts w:hint="eastAsia"/>
                  </w:rPr>
                  <w:fldChar w:fldCharType="separate"/>
                </w:r>
                <w:r w:rsidR="00455134">
                  <w:rPr>
                    <w:rFonts w:hint="eastAsia"/>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134" w:rsidRDefault="00455134">
      <w:r>
        <w:separator/>
      </w:r>
    </w:p>
  </w:footnote>
  <w:footnote w:type="continuationSeparator" w:id="1">
    <w:p w:rsidR="00455134" w:rsidRDefault="0045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455134">
    <w:pPr>
      <w:pStyle w:val="a6"/>
      <w:pBdr>
        <w:bottom w:val="single" w:sz="4" w:space="1" w:color="000000"/>
      </w:pBdr>
      <w:jc w:val="both"/>
      <w:rPr>
        <w:lang w:val="en-US"/>
      </w:rPr>
    </w:pPr>
    <w:r>
      <w:rPr>
        <w:rFonts w:hint="eastAsia"/>
        <w:lang w:val="en-US"/>
      </w:rPr>
      <w:t>常州市武进区工业和信息化局</w:t>
    </w:r>
    <w:r>
      <w:t>2023</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C8E" w:rsidRDefault="00721C8E">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721C8E"/>
    <w:rsid w:val="DBEED555"/>
    <w:rsid w:val="00064984"/>
    <w:rsid w:val="00071288"/>
    <w:rsid w:val="00071789"/>
    <w:rsid w:val="000F12AB"/>
    <w:rsid w:val="001C31F9"/>
    <w:rsid w:val="00407CA7"/>
    <w:rsid w:val="00413AD8"/>
    <w:rsid w:val="004460AE"/>
    <w:rsid w:val="00455134"/>
    <w:rsid w:val="004B1078"/>
    <w:rsid w:val="005F037B"/>
    <w:rsid w:val="00671ED7"/>
    <w:rsid w:val="00672164"/>
    <w:rsid w:val="00721C8E"/>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21C8E"/>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21C8E"/>
    <w:pPr>
      <w:ind w:left="-40"/>
      <w:outlineLvl w:val="0"/>
    </w:pPr>
    <w:rPr>
      <w:sz w:val="52"/>
      <w:szCs w:val="52"/>
    </w:rPr>
  </w:style>
  <w:style w:type="paragraph" w:styleId="2">
    <w:name w:val="heading 2"/>
    <w:basedOn w:val="a"/>
    <w:next w:val="a"/>
    <w:uiPriority w:val="1"/>
    <w:qFormat/>
    <w:rsid w:val="00721C8E"/>
    <w:pPr>
      <w:ind w:right="18"/>
      <w:jc w:val="center"/>
      <w:outlineLvl w:val="1"/>
    </w:pPr>
    <w:rPr>
      <w:sz w:val="44"/>
      <w:szCs w:val="44"/>
    </w:rPr>
  </w:style>
  <w:style w:type="paragraph" w:styleId="3">
    <w:name w:val="heading 3"/>
    <w:basedOn w:val="a"/>
    <w:next w:val="a"/>
    <w:uiPriority w:val="1"/>
    <w:qFormat/>
    <w:rsid w:val="00721C8E"/>
    <w:pPr>
      <w:ind w:left="1"/>
      <w:jc w:val="center"/>
      <w:outlineLvl w:val="2"/>
    </w:pPr>
    <w:rPr>
      <w:sz w:val="40"/>
      <w:szCs w:val="40"/>
    </w:rPr>
  </w:style>
  <w:style w:type="paragraph" w:styleId="4">
    <w:name w:val="heading 4"/>
    <w:basedOn w:val="a"/>
    <w:next w:val="a"/>
    <w:uiPriority w:val="1"/>
    <w:qFormat/>
    <w:rsid w:val="00721C8E"/>
    <w:pPr>
      <w:jc w:val="center"/>
      <w:outlineLvl w:val="3"/>
    </w:pPr>
    <w:rPr>
      <w:sz w:val="36"/>
      <w:szCs w:val="36"/>
    </w:rPr>
  </w:style>
  <w:style w:type="paragraph" w:styleId="5">
    <w:name w:val="heading 5"/>
    <w:basedOn w:val="a"/>
    <w:next w:val="a"/>
    <w:uiPriority w:val="1"/>
    <w:qFormat/>
    <w:rsid w:val="00721C8E"/>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21C8E"/>
    <w:pPr>
      <w:suppressLineNumbers/>
      <w:spacing w:before="120" w:after="120"/>
    </w:pPr>
    <w:rPr>
      <w:i/>
      <w:iCs/>
      <w:sz w:val="24"/>
      <w:szCs w:val="24"/>
    </w:rPr>
  </w:style>
  <w:style w:type="paragraph" w:styleId="a4">
    <w:name w:val="Body Text"/>
    <w:basedOn w:val="a"/>
    <w:uiPriority w:val="1"/>
    <w:qFormat/>
    <w:rsid w:val="00721C8E"/>
    <w:rPr>
      <w:sz w:val="32"/>
      <w:szCs w:val="32"/>
    </w:rPr>
  </w:style>
  <w:style w:type="paragraph" w:styleId="a5">
    <w:name w:val="footer"/>
    <w:basedOn w:val="a"/>
    <w:qFormat/>
    <w:rsid w:val="00721C8E"/>
    <w:pPr>
      <w:tabs>
        <w:tab w:val="center" w:pos="4153"/>
        <w:tab w:val="right" w:pos="8306"/>
      </w:tabs>
      <w:snapToGrid w:val="0"/>
    </w:pPr>
    <w:rPr>
      <w:sz w:val="18"/>
      <w:szCs w:val="18"/>
    </w:rPr>
  </w:style>
  <w:style w:type="paragraph" w:styleId="a6">
    <w:name w:val="header"/>
    <w:basedOn w:val="a"/>
    <w:qFormat/>
    <w:rsid w:val="00721C8E"/>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21C8E"/>
  </w:style>
  <w:style w:type="table" w:styleId="a8">
    <w:name w:val="Table Grid"/>
    <w:basedOn w:val="a1"/>
    <w:qFormat/>
    <w:rsid w:val="00721C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21C8E"/>
  </w:style>
  <w:style w:type="character" w:customStyle="1" w:styleId="aa">
    <w:name w:val="页眉 字符"/>
    <w:basedOn w:val="a0"/>
    <w:qFormat/>
    <w:rsid w:val="00721C8E"/>
    <w:rPr>
      <w:rFonts w:ascii="Arial Unicode MS" w:eastAsia="Arial Unicode MS" w:hAnsi="Arial Unicode MS" w:cs="Arial Unicode MS"/>
      <w:sz w:val="18"/>
      <w:szCs w:val="18"/>
      <w:lang w:val="zh-CN" w:bidi="zh-CN"/>
    </w:rPr>
  </w:style>
  <w:style w:type="character" w:customStyle="1" w:styleId="ab">
    <w:name w:val="页脚 字符"/>
    <w:basedOn w:val="a0"/>
    <w:qFormat/>
    <w:rsid w:val="00721C8E"/>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21C8E"/>
    <w:pPr>
      <w:keepNext/>
      <w:spacing w:before="240" w:after="120"/>
    </w:pPr>
    <w:rPr>
      <w:rFonts w:ascii="Liberation Sans" w:hAnsi="Liberation Sans"/>
      <w:sz w:val="28"/>
      <w:szCs w:val="28"/>
    </w:rPr>
  </w:style>
  <w:style w:type="paragraph" w:customStyle="1" w:styleId="ad">
    <w:name w:val="索引"/>
    <w:basedOn w:val="a"/>
    <w:qFormat/>
    <w:rsid w:val="00721C8E"/>
    <w:pPr>
      <w:suppressLineNumbers/>
    </w:pPr>
  </w:style>
  <w:style w:type="paragraph" w:customStyle="1" w:styleId="ae">
    <w:name w:val="页眉与页脚"/>
    <w:basedOn w:val="a"/>
    <w:qFormat/>
    <w:rsid w:val="00721C8E"/>
  </w:style>
  <w:style w:type="paragraph" w:customStyle="1" w:styleId="10">
    <w:name w:val="列出段落1"/>
    <w:basedOn w:val="a"/>
    <w:uiPriority w:val="1"/>
    <w:qFormat/>
    <w:rsid w:val="00721C8E"/>
    <w:pPr>
      <w:ind w:left="2039" w:hanging="782"/>
    </w:pPr>
  </w:style>
  <w:style w:type="paragraph" w:customStyle="1" w:styleId="TableParagraph">
    <w:name w:val="Table Paragraph"/>
    <w:basedOn w:val="a"/>
    <w:uiPriority w:val="1"/>
    <w:qFormat/>
    <w:rsid w:val="00721C8E"/>
    <w:rPr>
      <w:rFonts w:ascii="宋体" w:eastAsia="宋体" w:hAnsi="宋体" w:cs="宋体"/>
    </w:rPr>
  </w:style>
  <w:style w:type="paragraph" w:customStyle="1" w:styleId="af">
    <w:name w:val="表格内容"/>
    <w:basedOn w:val="a"/>
    <w:qFormat/>
    <w:rsid w:val="00721C8E"/>
    <w:pPr>
      <w:suppressLineNumbers/>
    </w:pPr>
  </w:style>
  <w:style w:type="paragraph" w:customStyle="1" w:styleId="af0">
    <w:name w:val="表格标题"/>
    <w:basedOn w:val="af"/>
    <w:qFormat/>
    <w:rsid w:val="00721C8E"/>
    <w:pPr>
      <w:jc w:val="center"/>
    </w:pPr>
    <w:rPr>
      <w:b/>
      <w:bCs/>
    </w:rPr>
  </w:style>
  <w:style w:type="paragraph" w:customStyle="1" w:styleId="af1">
    <w:name w:val="预格式化的文本"/>
    <w:basedOn w:val="a"/>
    <w:qFormat/>
    <w:rsid w:val="00721C8E"/>
    <w:rPr>
      <w:rFonts w:ascii="Liberation Mono" w:eastAsia="新宋体" w:hAnsi="Liberation Mono" w:cs="Liberation Mono"/>
      <w:sz w:val="20"/>
      <w:szCs w:val="20"/>
    </w:rPr>
  </w:style>
  <w:style w:type="table" w:customStyle="1" w:styleId="TableNormal">
    <w:name w:val="Table Normal"/>
    <w:uiPriority w:val="2"/>
    <w:unhideWhenUsed/>
    <w:qFormat/>
    <w:rsid w:val="00721C8E"/>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工业和信息化局</cp:lastModifiedBy>
  <cp:revision>2</cp:revision>
  <dcterms:created xsi:type="dcterms:W3CDTF">2023-02-07T02:02:00Z</dcterms:created>
  <dcterms:modified xsi:type="dcterms:W3CDTF">2023-02-07T02:02:00Z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