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afterLines="50" w:line="580" w:lineRule="exact"/>
        <w:rPr>
          <w:rFonts w:ascii="Times New Roman" w:hAnsi="Times New Roman" w:eastAsia="方正小标宋_GBK" w:cs="Times New Roman"/>
          <w:spacing w:val="-8"/>
          <w:kern w:val="0"/>
          <w:sz w:val="52"/>
          <w:szCs w:val="52"/>
          <w:u w:val="single"/>
        </w:rPr>
      </w:pPr>
    </w:p>
    <w:p>
      <w:pPr>
        <w:autoSpaceDE w:val="0"/>
        <w:autoSpaceDN w:val="0"/>
        <w:snapToGrid w:val="0"/>
        <w:spacing w:afterLines="50" w:line="580" w:lineRule="exact"/>
        <w:rPr>
          <w:rFonts w:ascii="Times New Roman" w:hAnsi="Times New Roman" w:eastAsia="方正小标宋_GBK" w:cs="Times New Roman"/>
          <w:spacing w:val="-8"/>
          <w:kern w:val="0"/>
          <w:sz w:val="52"/>
          <w:szCs w:val="52"/>
          <w:u w:val="single"/>
        </w:rPr>
      </w:pPr>
    </w:p>
    <w:p>
      <w:pPr>
        <w:autoSpaceDE w:val="0"/>
        <w:autoSpaceDN w:val="0"/>
        <w:snapToGrid w:val="0"/>
        <w:spacing w:afterLines="50" w:line="580" w:lineRule="exact"/>
        <w:rPr>
          <w:rFonts w:ascii="Times New Roman" w:hAnsi="Times New Roman" w:eastAsia="方正小标宋_GBK" w:cs="Times New Roman"/>
          <w:spacing w:val="-8"/>
          <w:kern w:val="0"/>
          <w:sz w:val="52"/>
          <w:szCs w:val="52"/>
          <w:u w:val="single"/>
        </w:rPr>
      </w:pPr>
    </w:p>
    <w:p>
      <w:pPr>
        <w:autoSpaceDE w:val="0"/>
        <w:autoSpaceDN w:val="0"/>
        <w:snapToGrid w:val="0"/>
        <w:spacing w:afterLines="50" w:line="580" w:lineRule="exact"/>
        <w:rPr>
          <w:rFonts w:ascii="Times New Roman" w:hAnsi="Times New Roman" w:eastAsia="方正小标宋_GBK" w:cs="Times New Roman"/>
          <w:spacing w:val="-8"/>
          <w:kern w:val="0"/>
          <w:sz w:val="52"/>
          <w:szCs w:val="52"/>
          <w:u w:val="single"/>
        </w:rPr>
      </w:pPr>
    </w:p>
    <w:p>
      <w:pPr>
        <w:autoSpaceDE w:val="0"/>
        <w:autoSpaceDN w:val="0"/>
        <w:snapToGrid w:val="0"/>
        <w:spacing w:afterLines="50" w:line="580" w:lineRule="exact"/>
        <w:rPr>
          <w:rFonts w:ascii="Times New Roman" w:hAnsi="Times New Roman" w:eastAsia="方正小标宋_GBK" w:cs="Times New Roman"/>
          <w:spacing w:val="-8"/>
          <w:kern w:val="0"/>
          <w:sz w:val="52"/>
          <w:szCs w:val="52"/>
          <w:u w:val="single"/>
        </w:rPr>
      </w:pPr>
    </w:p>
    <w:p>
      <w:pPr>
        <w:keepNext w:val="0"/>
        <w:keepLines w:val="0"/>
        <w:pageBreakBefore w:val="0"/>
        <w:widowControl w:val="0"/>
        <w:kinsoku/>
        <w:wordWrap/>
        <w:overflowPunct/>
        <w:topLinePunct w:val="0"/>
        <w:autoSpaceDE w:val="0"/>
        <w:autoSpaceDN w:val="0"/>
        <w:bidi w:val="0"/>
        <w:adjustRightInd/>
        <w:snapToGrid w:val="0"/>
        <w:spacing w:after="157" w:afterLines="50"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8"/>
          <w:kern w:val="0"/>
          <w:sz w:val="52"/>
          <w:szCs w:val="52"/>
        </w:rPr>
      </w:pPr>
      <w:r>
        <w:rPr>
          <w:rFonts w:hint="eastAsia" w:ascii="方正小标宋简体" w:hAnsi="方正小标宋简体" w:eastAsia="方正小标宋简体" w:cs="方正小标宋简体"/>
          <w:spacing w:val="-8"/>
          <w:kern w:val="0"/>
          <w:sz w:val="52"/>
          <w:szCs w:val="52"/>
          <w:lang w:eastAsia="zh-CN"/>
        </w:rPr>
        <w:t>常州市武进区应急管理局</w:t>
      </w:r>
      <w:r>
        <w:rPr>
          <w:rFonts w:hint="eastAsia" w:ascii="方正小标宋简体" w:hAnsi="方正小标宋简体" w:eastAsia="方正小标宋简体" w:cs="方正小标宋简体"/>
          <w:spacing w:val="-8"/>
          <w:kern w:val="0"/>
          <w:sz w:val="52"/>
          <w:szCs w:val="52"/>
        </w:rPr>
        <w:t>2021年度部门预算公开</w:t>
      </w:r>
    </w:p>
    <w:p>
      <w:pPr>
        <w:autoSpaceDE w:val="0"/>
        <w:autoSpaceDN w:val="0"/>
        <w:snapToGrid w:val="0"/>
        <w:spacing w:afterLines="50" w:line="580" w:lineRule="exact"/>
        <w:jc w:val="left"/>
        <w:rPr>
          <w:rFonts w:ascii="Times New Roman" w:hAnsi="Times New Roman" w:eastAsia="方正小标宋_GBK" w:cs="Times New Roman"/>
          <w:spacing w:val="-8"/>
          <w:kern w:val="0"/>
          <w:sz w:val="52"/>
          <w:szCs w:val="52"/>
        </w:rPr>
      </w:pPr>
    </w:p>
    <w:p>
      <w:pPr>
        <w:autoSpaceDE w:val="0"/>
        <w:autoSpaceDN w:val="0"/>
        <w:snapToGrid w:val="0"/>
        <w:spacing w:afterLines="50" w:line="580" w:lineRule="exact"/>
        <w:jc w:val="left"/>
        <w:rPr>
          <w:rFonts w:ascii="Times New Roman" w:hAnsi="Times New Roman" w:eastAsia="方正小标宋_GBK" w:cs="Times New Roman"/>
          <w:spacing w:val="-8"/>
          <w:kern w:val="0"/>
          <w:sz w:val="52"/>
          <w:szCs w:val="52"/>
        </w:rPr>
      </w:pPr>
    </w:p>
    <w:p>
      <w:pPr>
        <w:autoSpaceDE w:val="0"/>
        <w:autoSpaceDN w:val="0"/>
        <w:snapToGrid w:val="0"/>
        <w:spacing w:afterLines="50" w:line="580" w:lineRule="exact"/>
        <w:jc w:val="left"/>
        <w:rPr>
          <w:rFonts w:ascii="Times New Roman" w:hAnsi="Times New Roman" w:eastAsia="方正小标宋_GBK" w:cs="Times New Roman"/>
          <w:spacing w:val="-8"/>
          <w:kern w:val="0"/>
          <w:sz w:val="52"/>
          <w:szCs w:val="52"/>
        </w:rPr>
      </w:pPr>
    </w:p>
    <w:p>
      <w:pPr>
        <w:autoSpaceDE w:val="0"/>
        <w:autoSpaceDN w:val="0"/>
        <w:snapToGrid w:val="0"/>
        <w:spacing w:afterLines="50" w:line="580" w:lineRule="exact"/>
        <w:jc w:val="left"/>
        <w:rPr>
          <w:rFonts w:ascii="Times New Roman" w:hAnsi="Times New Roman" w:eastAsia="方正小标宋_GBK" w:cs="Times New Roman"/>
          <w:spacing w:val="-8"/>
          <w:kern w:val="0"/>
          <w:sz w:val="52"/>
          <w:szCs w:val="52"/>
        </w:rPr>
      </w:pPr>
    </w:p>
    <w:p>
      <w:pPr>
        <w:autoSpaceDE w:val="0"/>
        <w:autoSpaceDN w:val="0"/>
        <w:snapToGrid w:val="0"/>
        <w:spacing w:afterLines="50" w:line="400" w:lineRule="exact"/>
        <w:jc w:val="left"/>
        <w:rPr>
          <w:rFonts w:ascii="Times New Roman" w:hAnsi="Times New Roman" w:eastAsia="方正小标宋_GBK" w:cs="Times New Roman"/>
          <w:spacing w:val="-8"/>
          <w:kern w:val="0"/>
          <w:sz w:val="52"/>
          <w:szCs w:val="52"/>
        </w:rPr>
      </w:pPr>
      <w:r>
        <w:rPr>
          <w:rFonts w:ascii="Times New Roman" w:hAnsi="Times New Roman" w:eastAsia="方正小标宋_GBK" w:cs="Times New Roman"/>
          <w:spacing w:val="-8"/>
          <w:kern w:val="0"/>
          <w:sz w:val="52"/>
          <w:szCs w:val="52"/>
        </w:rPr>
        <w:br w:type="page"/>
      </w:r>
    </w:p>
    <w:p>
      <w:pPr>
        <w:autoSpaceDE w:val="0"/>
        <w:autoSpaceDN w:val="0"/>
        <w:snapToGrid w:val="0"/>
        <w:spacing w:line="580" w:lineRule="exact"/>
        <w:jc w:val="center"/>
        <w:rPr>
          <w:rFonts w:hint="eastAsia" w:ascii="黑体" w:hAnsi="黑体" w:eastAsia="黑体" w:cs="黑体"/>
          <w:kern w:val="0"/>
          <w:sz w:val="44"/>
          <w:szCs w:val="44"/>
        </w:rPr>
      </w:pPr>
      <w:r>
        <w:rPr>
          <w:rFonts w:hint="eastAsia" w:ascii="黑体" w:hAnsi="黑体" w:eastAsia="黑体" w:cs="黑体"/>
          <w:kern w:val="0"/>
          <w:sz w:val="44"/>
          <w:szCs w:val="44"/>
        </w:rPr>
        <w:t>目  录</w:t>
      </w:r>
    </w:p>
    <w:p>
      <w:pPr>
        <w:autoSpaceDE w:val="0"/>
        <w:autoSpaceDN w:val="0"/>
        <w:snapToGrid w:val="0"/>
        <w:spacing w:line="400" w:lineRule="exact"/>
        <w:rPr>
          <w:rFonts w:ascii="Times New Roman" w:hAnsi="Times New Roman" w:eastAsia="方正黑体_GBK" w:cs="Times New Roman"/>
          <w:kern w:val="0"/>
          <w:sz w:val="32"/>
          <w:szCs w:val="32"/>
        </w:rPr>
      </w:pP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第一部分 部门概况</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一、主要职能</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二、部门机构设置及预算单位构成情况</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三、2021年度部门主要工作任务及目标</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第二部分 2021年度部门预算表</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一、收支总表</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二、收入总表</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三、支出总表</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四、财政拨款收支总表</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五、财政拨款支出预算表（功能科目）</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六、财政拨款基本支出预算表（经济科目）</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七、一般公共预算支出预算表</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八、一般公共预算基本支出预算表</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spacing w:val="-8"/>
          <w:kern w:val="0"/>
          <w:sz w:val="32"/>
          <w:szCs w:val="32"/>
        </w:rPr>
        <w:t>九、一般公共预算“三公”经费、会议费、培训费支出预算表</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十、政府性基金预算支出表</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十一、一般公共预算机关运行经费支出预算表</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十二、政府采购支出预算表</w:t>
      </w:r>
    </w:p>
    <w:p>
      <w:pPr>
        <w:autoSpaceDE w:val="0"/>
        <w:autoSpaceDN w:val="0"/>
        <w:snapToGrid w:val="0"/>
        <w:spacing w:line="540" w:lineRule="exact"/>
        <w:rPr>
          <w:rFonts w:hint="eastAsia" w:ascii="黑体" w:hAnsi="黑体" w:eastAsia="黑体" w:cs="黑体"/>
          <w:kern w:val="0"/>
          <w:sz w:val="32"/>
          <w:szCs w:val="32"/>
        </w:rPr>
      </w:pPr>
      <w:r>
        <w:rPr>
          <w:rFonts w:hint="eastAsia" w:ascii="黑体" w:hAnsi="黑体" w:eastAsia="黑体" w:cs="黑体"/>
          <w:kern w:val="0"/>
          <w:sz w:val="32"/>
          <w:szCs w:val="32"/>
        </w:rPr>
        <w:t>第三部分 2021年度部门预算情况说明</w:t>
      </w:r>
    </w:p>
    <w:p>
      <w:pPr>
        <w:autoSpaceDE w:val="0"/>
        <w:autoSpaceDN w:val="0"/>
        <w:snapToGrid w:val="0"/>
        <w:spacing w:line="540" w:lineRule="exact"/>
        <w:rPr>
          <w:rFonts w:hint="eastAsia" w:ascii="黑体" w:hAnsi="黑体" w:eastAsia="黑体" w:cs="黑体"/>
          <w:kern w:val="0"/>
          <w:sz w:val="36"/>
          <w:szCs w:val="36"/>
        </w:rPr>
      </w:pPr>
      <w:r>
        <w:rPr>
          <w:rFonts w:hint="eastAsia" w:ascii="黑体" w:hAnsi="黑体" w:eastAsia="黑体" w:cs="黑体"/>
          <w:kern w:val="0"/>
          <w:sz w:val="32"/>
          <w:szCs w:val="32"/>
        </w:rPr>
        <w:t>第四部分 名词解释</w:t>
      </w:r>
    </w:p>
    <w:p>
      <w:pPr>
        <w:autoSpaceDE w:val="0"/>
        <w:autoSpaceDN w:val="0"/>
        <w:snapToGrid w:val="0"/>
        <w:spacing w:line="590" w:lineRule="atLeast"/>
        <w:rPr>
          <w:rFonts w:hint="eastAsia" w:ascii="黑体" w:hAnsi="黑体" w:eastAsia="黑体" w:cs="黑体"/>
          <w:kern w:val="0"/>
          <w:sz w:val="44"/>
          <w:szCs w:val="44"/>
        </w:rPr>
      </w:pPr>
      <w:r>
        <w:rPr>
          <w:rFonts w:hint="eastAsia" w:ascii="黑体" w:hAnsi="黑体" w:eastAsia="黑体" w:cs="黑体"/>
          <w:kern w:val="0"/>
          <w:sz w:val="44"/>
          <w:szCs w:val="44"/>
        </w:rPr>
        <w:br w:type="page"/>
      </w:r>
    </w:p>
    <w:p>
      <w:pPr>
        <w:autoSpaceDE w:val="0"/>
        <w:autoSpaceDN w:val="0"/>
        <w:snapToGrid w:val="0"/>
        <w:spacing w:before="100" w:beforeAutospacing="1" w:after="100" w:afterAutospacing="1" w:line="55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第一部分　部门概况</w:t>
      </w:r>
    </w:p>
    <w:p>
      <w:pPr>
        <w:keepNext w:val="0"/>
        <w:keepLines w:val="0"/>
        <w:pageBreakBefore w:val="0"/>
        <w:widowControl w:val="0"/>
        <w:numPr>
          <w:ilvl w:val="0"/>
          <w:numId w:val="1"/>
        </w:numPr>
        <w:kinsoku/>
        <w:wordWrap/>
        <w:overflowPunct/>
        <w:topLinePunct w:val="0"/>
        <w:autoSpaceDE w:val="0"/>
        <w:autoSpaceDN w:val="0"/>
        <w:bidi w:val="0"/>
        <w:adjustRightInd/>
        <w:snapToGrid w:val="0"/>
        <w:spacing w:line="550" w:lineRule="exact"/>
        <w:ind w:left="0" w:leftChars="0" w:right="0" w:rightChars="0" w:firstLine="720" w:firstLineChars="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主要职能</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1.负责应急管理工作，指导全区各级各部门应对安全生产类、自然灾害类等突发事件和综合防灾减灾救灾工作。负责安全生产综合监督管理和工矿商贸行业安全生产监督管理工作。</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2.拟订应急管理、安全生产等政策，组织编制区应急体系建设、安全生产和综合防灾减灾规划。</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导应急预案体系建设，建立完善事故灾难和自然灾害分级应对制度。组织编制区总体应急预案和安全生产类、自然灾害类专项预案。综合协调应急预案衔接工作，组织开展预案演练，推动应急避难场所和设施建设。</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4.牵头建立统一的应急管理信息系统，负责信息传输渠道的规划和布局。建立监测预警和灾情报告制度，健全自然灾害信息资源获取和共享机制，依法统一发布灾情。</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5.组织指导协调安全生产类、自然灾害类等突发事件应急救援。承担区应对较大灾害指挥部工作，综合研判突发事件发展态势并提出应对建议，协助区委、区政府指定的负责同志组织较大以上灾害应急处置工作。</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6.统一协调指挥各类应急专业队伍，建立应急协调联动机制，推进指挥平台对接，提请、衔接解放军和武警部队参与应急救援工作。</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7.统筹消防、森林火灾扑救、抗洪抢险、地震和地质灾害救援、生产安全事故救援等专业应急救援力量建设，指导综合性应急救援队伍、各级各部门及社会应急救援力量建设。</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8.负责消防监督管理工作，指导全区各级消防监督、火灾预防、火灾扑救等工作。</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9.指导协调森林火灾、水旱灾害、地震和地质灾害等防治工作。负责自然灾害综合监测预警工作，指导开展自然灾害综合风险评估工作。</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10.组织协调灾害救助工作，组织指导灾情核查、损失评估、救灾捐赠工作，管理、分配上级下拨和区级救灾款物并监督使用。</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11.依法行使安全生产综合监督管理职权，指导协调、监督检查区政府有关部门和各镇、开发区、街道安全生产工作，组织开展安全生产巡查、考核工作。</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按照分级、属地原则，依法开展安全生产行政执法工作，对生产经营单位执行有关安全生产法律法规和国家标准的情况进行监督检查。依法组织并指导监督实施安全生产准入制度。负责危险化学品安全监督管理综合工作和烟花爆竹安全生产监督管理工作。</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13.依法组织指导生产安全事故调查处理，监督事故查处和责任追究落实情况。组织开展自然灾害类突发事件的调查评估工作。</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14.开展应急管理、安全生产等方面的对外交流与合作，组织参与安全生产类、自然灾害类等突发事件的跨区域救援工作。</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15.制定应急物资储备和应急救援装备规划并组织实施，会同区发展和改革局等部门建立健全应急物资信息平台和调拨制度，在救灾时统一调度。</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16.负责应急管理、安全生产、防灾减灾宣传教育和培训考核工作。组织指导相关科学技术研究、推广应用和信息化建设工作。</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17.完成区委、区政府交办的其他任务。</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职能转变。区应急管理局应加强、优化、统筹全区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我区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大以上安全事故。</w:t>
      </w:r>
    </w:p>
    <w:p>
      <w:pPr>
        <w:spacing w:line="550" w:lineRule="exact"/>
        <w:rPr>
          <w:rFonts w:ascii="Times New Roman" w:hAnsi="Times New Roman" w:eastAsia="方正黑体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二、部门机构设置及预算单位构成情况</w:t>
      </w:r>
    </w:p>
    <w:p>
      <w:pPr>
        <w:spacing w:line="570" w:lineRule="exact"/>
        <w:ind w:firstLine="640" w:firstLineChars="200"/>
        <w:rPr>
          <w:rFonts w:ascii="Times New Roman" w:hAnsi="Times New Roman" w:eastAsia="方正仿宋_GBK" w:cs="Times New Roman"/>
          <w:spacing w:val="-8"/>
          <w:kern w:val="0"/>
          <w:sz w:val="32"/>
          <w:szCs w:val="32"/>
        </w:rPr>
      </w:pPr>
      <w:r>
        <w:rPr>
          <w:rFonts w:hint="eastAsia" w:ascii="仿宋_GB2312" w:hAnsi="仿宋_GB2312" w:eastAsia="仿宋_GB2312" w:cs="仿宋_GB2312"/>
          <w:sz w:val="32"/>
          <w:szCs w:val="32"/>
          <w:lang w:val="en-US" w:eastAsia="zh-CN"/>
        </w:rPr>
        <w:t>1．根据部门职责分工，本部门内设机构包括</w:t>
      </w:r>
      <w:r>
        <w:rPr>
          <w:rFonts w:hint="eastAsia" w:ascii="仿宋_GB2312" w:hAnsi="仿宋_GB2312" w:eastAsia="仿宋_GB2312" w:cs="仿宋_GB2312"/>
          <w:color w:val="000000"/>
          <w:sz w:val="32"/>
          <w:szCs w:val="32"/>
          <w:lang w:val="en-US" w:eastAsia="zh-CN" w:bidi="ar"/>
        </w:rPr>
        <w:t>办</w:t>
      </w:r>
      <w:r>
        <w:rPr>
          <w:rFonts w:hint="eastAsia" w:ascii="Times New Roman" w:hAnsi="Times New Roman" w:eastAsia="仿宋_GB2312"/>
          <w:sz w:val="32"/>
          <w:szCs w:val="32"/>
          <w:lang w:val="en-US" w:eastAsia="zh-CN"/>
        </w:rPr>
        <w:t>公室、应急指挥中心、调查减灾科、火灾防治管理科、自然灾害救援科、</w:t>
      </w:r>
      <w:r>
        <w:rPr>
          <w:rFonts w:hint="eastAsia" w:ascii="Times New Roman" w:hAnsi="Times New Roman" w:eastAsia="仿宋_GB2312"/>
          <w:sz w:val="32"/>
          <w:szCs w:val="32"/>
        </w:rPr>
        <w:t>危险化学品安全监督管理科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安全生产基础科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安全生产综合协调科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法制宣传科(执法监督科)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人事教育科</w:t>
      </w:r>
      <w:r>
        <w:rPr>
          <w:rFonts w:hint="eastAsia" w:ascii="FangSong_GB2312" w:hAnsi="Times New Roman" w:eastAsia="FangSong_GB2312"/>
          <w:kern w:val="0"/>
          <w:sz w:val="32"/>
          <w:szCs w:val="32"/>
        </w:rPr>
        <w:t>共10个科室</w:t>
      </w:r>
      <w:r>
        <w:rPr>
          <w:rFonts w:hint="eastAsia" w:ascii="FangSong_GB2312" w:hAnsi="Times New Roman" w:eastAsia="FangSong_GB2312"/>
          <w:kern w:val="0"/>
          <w:sz w:val="32"/>
          <w:szCs w:val="32"/>
          <w:lang w:eastAsia="zh-CN"/>
        </w:rPr>
        <w:t>。</w:t>
      </w:r>
      <w:r>
        <w:rPr>
          <w:rFonts w:hint="eastAsia" w:ascii="Times New Roman" w:hAnsi="Times New Roman" w:eastAsia="仿宋_GB2312"/>
          <w:sz w:val="32"/>
          <w:szCs w:val="32"/>
        </w:rPr>
        <w:t>本部门下属单位包括：</w:t>
      </w:r>
      <w:r>
        <w:rPr>
          <w:rFonts w:hint="eastAsia" w:ascii="Times New Roman" w:hAnsi="Times New Roman" w:eastAsia="仿宋_GB2312"/>
          <w:sz w:val="32"/>
          <w:szCs w:val="32"/>
          <w:lang w:eastAsia="zh-CN"/>
        </w:rPr>
        <w:t>常州市</w:t>
      </w:r>
      <w:r>
        <w:rPr>
          <w:rFonts w:hint="eastAsia" w:ascii="Times New Roman" w:hAnsi="Times New Roman" w:eastAsia="仿宋_GB2312"/>
          <w:sz w:val="32"/>
          <w:szCs w:val="32"/>
        </w:rPr>
        <w:t>武进区安全生产监察执法大队（机构规格</w:t>
      </w:r>
      <w:r>
        <w:rPr>
          <w:rFonts w:hint="eastAsia" w:ascii="Times New Roman" w:hAnsi="Times New Roman" w:eastAsia="仿宋_GB2312"/>
          <w:sz w:val="32"/>
          <w:szCs w:val="32"/>
          <w:lang w:eastAsia="zh-CN"/>
        </w:rPr>
        <w:t>为正</w:t>
      </w:r>
      <w:r>
        <w:rPr>
          <w:rFonts w:hint="eastAsia" w:ascii="Times New Roman" w:hAnsi="Times New Roman" w:eastAsia="仿宋_GB2312"/>
          <w:sz w:val="32"/>
          <w:szCs w:val="32"/>
        </w:rPr>
        <w:t>科级)，下设</w:t>
      </w:r>
      <w:r>
        <w:rPr>
          <w:rFonts w:hint="eastAsia" w:ascii="Times New Roman" w:hAnsi="Times New Roman" w:eastAsia="仿宋_GB2312"/>
          <w:sz w:val="32"/>
          <w:szCs w:val="32"/>
          <w:lang w:eastAsia="zh-CN"/>
        </w:rPr>
        <w:t>综合科、机动</w:t>
      </w:r>
      <w:r>
        <w:rPr>
          <w:rFonts w:hint="eastAsia" w:ascii="FangSong_GB2312" w:hAnsi="Times New Roman" w:eastAsia="FangSong_GB2312"/>
          <w:spacing w:val="-8"/>
          <w:kern w:val="0"/>
          <w:sz w:val="32"/>
          <w:szCs w:val="32"/>
          <w:lang w:eastAsia="zh-CN"/>
        </w:rPr>
        <w:t>中队、危化中队</w:t>
      </w:r>
      <w:r>
        <w:rPr>
          <w:rFonts w:hint="eastAsia" w:ascii="FangSong_GB2312" w:hAnsi="Times New Roman" w:eastAsia="FangSong_GB2312"/>
          <w:spacing w:val="-8"/>
          <w:kern w:val="0"/>
          <w:sz w:val="32"/>
          <w:szCs w:val="32"/>
        </w:rPr>
        <w:t>和</w:t>
      </w:r>
      <w:r>
        <w:rPr>
          <w:rFonts w:hint="eastAsia" w:ascii="FangSong_GB2312" w:hAnsi="Times New Roman" w:eastAsia="FangSong_GB2312"/>
          <w:spacing w:val="-8"/>
          <w:kern w:val="0"/>
          <w:sz w:val="32"/>
          <w:szCs w:val="32"/>
          <w:lang w:val="en-US" w:eastAsia="zh-CN"/>
        </w:rPr>
        <w:t>10</w:t>
      </w:r>
      <w:r>
        <w:rPr>
          <w:rFonts w:hint="eastAsia" w:ascii="FangSong_GB2312" w:hAnsi="Times New Roman" w:eastAsia="FangSong_GB2312"/>
          <w:spacing w:val="-8"/>
          <w:kern w:val="0"/>
          <w:sz w:val="32"/>
          <w:szCs w:val="32"/>
        </w:rPr>
        <w:t>个派驻中队</w:t>
      </w:r>
      <w:r>
        <w:rPr>
          <w:rFonts w:ascii="Times New Roman" w:hAnsi="Times New Roman" w:eastAsia="方正仿宋_GBK" w:cs="Times New Roman"/>
          <w:spacing w:val="-8"/>
          <w:kern w:val="0"/>
          <w:sz w:val="32"/>
          <w:szCs w:val="32"/>
        </w:rPr>
        <w:t>。</w:t>
      </w:r>
    </w:p>
    <w:p>
      <w:pPr>
        <w:spacing w:line="57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2．从预算单位构成看，纳入本部门2021年部门汇总预算编制范围的预算单位共计</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家，具体包括：</w:t>
      </w:r>
      <w:r>
        <w:rPr>
          <w:rFonts w:hint="eastAsia" w:ascii="Times New Roman" w:hAnsi="Times New Roman" w:eastAsia="仿宋_GB2312"/>
          <w:sz w:val="32"/>
          <w:szCs w:val="32"/>
          <w:lang w:eastAsia="zh-CN"/>
        </w:rPr>
        <w:t>常州市武进区应急管理局</w:t>
      </w:r>
      <w:r>
        <w:rPr>
          <w:rFonts w:hint="eastAsia" w:ascii="Times New Roman" w:hAnsi="Times New Roman" w:eastAsia="仿宋_GB2312"/>
          <w:sz w:val="32"/>
          <w:szCs w:val="32"/>
        </w:rPr>
        <w:t>本级</w:t>
      </w:r>
      <w:r>
        <w:rPr>
          <w:rFonts w:hint="eastAsia" w:ascii="Times New Roman" w:hAnsi="Times New Roman" w:eastAsia="仿宋_GB2312"/>
          <w:sz w:val="32"/>
          <w:szCs w:val="32"/>
          <w:lang w:eastAsia="zh-CN"/>
        </w:rPr>
        <w:t>。局本级和下属单位武进区安全生产监察执法大队合署办公，作为一个核算单位</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三、2021年部门主要工作任务及目标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bCs/>
          <w:sz w:val="32"/>
          <w:szCs w:val="32"/>
          <w:lang w:val="en-US" w:eastAsia="zh-CN"/>
        </w:rPr>
        <w:t>1.</w:t>
      </w:r>
      <w:r>
        <w:rPr>
          <w:rFonts w:hint="eastAsia" w:ascii="Times New Roman" w:hAnsi="Times New Roman" w:eastAsia="楷体_GB2312" w:cs="楷体_GB2312"/>
          <w:bCs/>
          <w:sz w:val="32"/>
          <w:szCs w:val="32"/>
        </w:rPr>
        <w:t>事故控制。</w:t>
      </w:r>
      <w:r>
        <w:rPr>
          <w:rFonts w:hint="eastAsia" w:ascii="Times New Roman" w:hAnsi="Times New Roman" w:eastAsia="仿宋_GB2312" w:cs="仿宋_GB2312"/>
          <w:color w:val="000000"/>
          <w:kern w:val="0"/>
          <w:sz w:val="32"/>
          <w:szCs w:val="32"/>
          <w:lang w:val="en-US" w:eastAsia="zh-CN" w:bidi="ar"/>
        </w:rPr>
        <w:t>努力实现“两杜绝、双下降”，即杜绝较大以上生产安全事故、杜绝危化品领域生产安全事故，事故起数、死亡人数双下降</w:t>
      </w:r>
      <w:r>
        <w:rPr>
          <w:rFonts w:hint="eastAsia" w:ascii="Times New Roman" w:hAnsi="Times New Roman" w:eastAsia="仿宋_GB2312"/>
          <w:sz w:val="32"/>
          <w:szCs w:val="32"/>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楷体_GB2312" w:cs="楷体_GB2312"/>
          <w:bCs/>
          <w:kern w:val="2"/>
          <w:sz w:val="32"/>
          <w:szCs w:val="32"/>
          <w:lang w:val="en-US" w:eastAsia="zh-CN" w:bidi="ar-SA"/>
        </w:rPr>
        <w:t>2.体制机制。</w:t>
      </w:r>
      <w:r>
        <w:rPr>
          <w:rFonts w:hint="eastAsia" w:ascii="Times New Roman" w:hAnsi="Times New Roman" w:eastAsia="仿宋_GB2312"/>
          <w:b w:val="0"/>
          <w:bCs w:val="0"/>
          <w:sz w:val="32"/>
          <w:szCs w:val="32"/>
          <w:lang w:eastAsia="zh-CN"/>
        </w:rPr>
        <w:t>健全安委办实体化运行模式下的安全生产责任体系，</w:t>
      </w:r>
      <w:r>
        <w:rPr>
          <w:rFonts w:hint="eastAsia" w:ascii="Times New Roman" w:hAnsi="Times New Roman" w:eastAsia="仿宋_GB2312"/>
          <w:b w:val="0"/>
          <w:bCs w:val="0"/>
          <w:sz w:val="32"/>
          <w:szCs w:val="32"/>
          <w:lang w:val="en-US" w:eastAsia="zh-CN"/>
        </w:rPr>
        <w:t>明确各层级、各方面安全生产职责和年度工作清单，推动各级党政领导按单履责、部门监管以单定责、企业主体照单尽责。强化安全生产统筹协调，做强用实各级各部门联动联通平台，凝聚齐抓共管的强大合力。坚持考核和指导相结合，更加科学精准的实施巡查督导、季度点评、警示约谈和目标管理考核，全力消除监管盲区、责任盲区，推动全区安全生产治理体系和治理能力现代化水平稳步提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楷体_GB2312" w:cs="楷体_GB2312"/>
          <w:bCs/>
          <w:kern w:val="2"/>
          <w:sz w:val="32"/>
          <w:szCs w:val="32"/>
          <w:lang w:val="en-US" w:eastAsia="zh-CN" w:bidi="ar-SA"/>
        </w:rPr>
      </w:pPr>
      <w:r>
        <w:rPr>
          <w:rFonts w:hint="eastAsia" w:ascii="Times New Roman" w:hAnsi="Times New Roman" w:eastAsia="楷体_GB2312" w:cs="楷体_GB2312"/>
          <w:bCs/>
          <w:kern w:val="2"/>
          <w:sz w:val="32"/>
          <w:szCs w:val="32"/>
          <w:lang w:val="en-US" w:eastAsia="zh-CN"/>
        </w:rPr>
        <w:t>3.</w:t>
      </w:r>
      <w:r>
        <w:rPr>
          <w:rFonts w:hint="eastAsia" w:ascii="Times New Roman" w:hAnsi="Times New Roman" w:eastAsia="楷体_GB2312" w:cs="楷体_GB2312"/>
          <w:bCs/>
          <w:kern w:val="2"/>
          <w:sz w:val="32"/>
          <w:szCs w:val="32"/>
          <w:lang w:eastAsia="zh-CN"/>
        </w:rPr>
        <w:t>风险防控。</w:t>
      </w:r>
      <w:r>
        <w:rPr>
          <w:rFonts w:hint="eastAsia" w:ascii="Times New Roman" w:hAnsi="Times New Roman" w:eastAsia="仿宋_GB2312"/>
          <w:b w:val="0"/>
          <w:bCs w:val="0"/>
          <w:sz w:val="32"/>
          <w:szCs w:val="32"/>
          <w:lang w:val="en-US" w:eastAsia="zh-CN"/>
        </w:rPr>
        <w:t>纵深推进专项整治“三年大灶”，进一步细化实化工作举措，既要</w:t>
      </w:r>
      <w:r>
        <w:rPr>
          <w:rFonts w:hint="eastAsia" w:ascii="Times New Roman" w:hAnsi="Times New Roman" w:eastAsia="仿宋_GB2312"/>
          <w:sz w:val="32"/>
          <w:szCs w:val="32"/>
          <w:lang w:val="en-US" w:eastAsia="zh-CN"/>
        </w:rPr>
        <w:t>持续攻坚“小灶”任务推进过程中的深层次矛盾问题，解决存量隐患，也要</w:t>
      </w:r>
      <w:r>
        <w:rPr>
          <w:rFonts w:hint="default" w:ascii="Times New Roman" w:hAnsi="Times New Roman" w:eastAsia="仿宋_GB2312"/>
          <w:sz w:val="32"/>
          <w:szCs w:val="32"/>
          <w:lang w:val="en-US" w:eastAsia="zh-CN"/>
        </w:rPr>
        <w:t>突出抓好</w:t>
      </w:r>
      <w:r>
        <w:rPr>
          <w:rFonts w:hint="eastAsia" w:ascii="Times New Roman" w:hAnsi="Times New Roman" w:eastAsia="仿宋_GB2312"/>
          <w:sz w:val="32"/>
          <w:szCs w:val="32"/>
          <w:lang w:val="en-US" w:eastAsia="zh-CN"/>
        </w:rPr>
        <w:t>危化品、</w:t>
      </w:r>
      <w:r>
        <w:rPr>
          <w:rFonts w:hint="default" w:ascii="Times New Roman" w:hAnsi="Times New Roman" w:eastAsia="仿宋_GB2312"/>
          <w:sz w:val="32"/>
          <w:szCs w:val="32"/>
          <w:lang w:val="en-US" w:eastAsia="zh-CN"/>
        </w:rPr>
        <w:t>沿街商铺、出租房</w:t>
      </w:r>
      <w:r>
        <w:rPr>
          <w:rFonts w:hint="eastAsia" w:ascii="Times New Roman" w:hAnsi="Times New Roman" w:eastAsia="仿宋_GB2312"/>
          <w:sz w:val="32"/>
          <w:szCs w:val="32"/>
          <w:lang w:val="en-US" w:eastAsia="zh-CN"/>
        </w:rPr>
        <w:t>、校园</w:t>
      </w:r>
      <w:r>
        <w:rPr>
          <w:rFonts w:hint="default" w:ascii="Times New Roman" w:hAnsi="Times New Roman" w:eastAsia="仿宋_GB2312"/>
          <w:sz w:val="32"/>
          <w:szCs w:val="32"/>
          <w:lang w:val="en-US" w:eastAsia="zh-CN"/>
        </w:rPr>
        <w:t>等</w:t>
      </w:r>
      <w:r>
        <w:rPr>
          <w:rFonts w:hint="eastAsia" w:ascii="Times New Roman" w:hAnsi="Times New Roman" w:eastAsia="仿宋_GB2312"/>
          <w:sz w:val="32"/>
          <w:szCs w:val="32"/>
          <w:lang w:val="en-US" w:eastAsia="zh-CN"/>
        </w:rPr>
        <w:t>薄弱环节的隐患排查治理，遏制增量风险。</w:t>
      </w:r>
      <w:r>
        <w:rPr>
          <w:rFonts w:hint="eastAsia" w:ascii="Times New Roman" w:hAnsi="Times New Roman" w:eastAsia="仿宋_GB2312" w:cs="仿宋_GB2312"/>
          <w:sz w:val="32"/>
          <w:szCs w:val="32"/>
          <w:lang w:val="en-US" w:eastAsia="zh-CN"/>
        </w:rPr>
        <w:t>全面</w:t>
      </w:r>
      <w:r>
        <w:rPr>
          <w:rFonts w:hint="eastAsia" w:ascii="Times New Roman" w:hAnsi="Times New Roman" w:eastAsia="仿宋_GB2312"/>
          <w:sz w:val="32"/>
          <w:szCs w:val="32"/>
          <w:lang w:val="en-US" w:eastAsia="zh-CN"/>
        </w:rPr>
        <w:t>推广运用“一年小灶”形成的先进做法，以此为基础，进一步建立健全长效机制，在防风险、除隐患、补短板上形成更多可复制、可推广的新思路、新方法。</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 w:cs="楷体_GB2312"/>
          <w:bCs/>
          <w:kern w:val="2"/>
          <w:sz w:val="32"/>
          <w:szCs w:val="32"/>
          <w:lang w:eastAsia="zh-CN"/>
        </w:rPr>
      </w:pPr>
      <w:r>
        <w:rPr>
          <w:rFonts w:hint="eastAsia" w:ascii="Times New Roman" w:hAnsi="Times New Roman" w:eastAsia="楷体_GB2312" w:cs="楷体_GB2312"/>
          <w:bCs/>
          <w:kern w:val="2"/>
          <w:sz w:val="32"/>
          <w:szCs w:val="32"/>
          <w:lang w:val="en-US" w:eastAsia="zh-CN" w:bidi="ar-SA"/>
        </w:rPr>
        <w:t>4.基层基础</w:t>
      </w:r>
      <w:r>
        <w:rPr>
          <w:rFonts w:hint="eastAsia" w:ascii="Times New Roman" w:hAnsi="Times New Roman" w:eastAsia="仿宋_GB2312"/>
          <w:b w:val="0"/>
          <w:bCs w:val="0"/>
          <w:sz w:val="32"/>
          <w:szCs w:val="32"/>
          <w:lang w:val="en-US" w:eastAsia="zh-CN"/>
        </w:rPr>
        <w:t>。全面摸排监管对象，彻底理清家底，做到“四个清”，即监管底数清、风险分布清、薄弱环节清、对策举措清。</w:t>
      </w:r>
      <w:r>
        <w:rPr>
          <w:rFonts w:hint="default" w:ascii="Times New Roman" w:hAnsi="Times New Roman" w:eastAsia="仿宋_GB2312"/>
          <w:b w:val="0"/>
          <w:bCs w:val="0"/>
          <w:sz w:val="32"/>
          <w:szCs w:val="32"/>
          <w:lang w:val="en-US" w:eastAsia="zh-CN"/>
        </w:rPr>
        <w:t>全面实施工业企业安全风险报告规定</w:t>
      </w:r>
      <w:r>
        <w:rPr>
          <w:rFonts w:hint="eastAsia" w:ascii="Times New Roman" w:hAnsi="Times New Roman" w:eastAsia="仿宋_GB2312"/>
          <w:b w:val="0"/>
          <w:bCs w:val="0"/>
          <w:sz w:val="32"/>
          <w:szCs w:val="32"/>
          <w:lang w:val="en-US" w:eastAsia="zh-CN"/>
        </w:rPr>
        <w:t>，进一步落实双控机制，</w:t>
      </w:r>
      <w:r>
        <w:rPr>
          <w:rFonts w:hint="eastAsia" w:ascii="Times New Roman" w:hAnsi="Times New Roman" w:eastAsia="仿宋_GB2312" w:cs="Times New Roman"/>
          <w:kern w:val="0"/>
          <w:sz w:val="32"/>
          <w:szCs w:val="32"/>
          <w:lang w:eastAsia="zh-CN"/>
        </w:rPr>
        <w:t>实现企业风险的可控化管理。坚持培根固本，稳步提升企业安全基础，</w:t>
      </w:r>
      <w:r>
        <w:rPr>
          <w:rFonts w:hint="eastAsia" w:ascii="Times New Roman" w:hAnsi="Times New Roman" w:eastAsia="仿宋_GB2312" w:cs="Times New Roman"/>
          <w:kern w:val="0"/>
          <w:sz w:val="32"/>
          <w:szCs w:val="32"/>
          <w:lang w:val="en-US" w:eastAsia="zh-CN"/>
        </w:rPr>
        <w:t>2021年，中小微型企业安全管理全部解决“有没有”的问题，重点企业、规上企业在“好不好”上持续提质增效。大力开展监管人员素质提升工程，全面加强全系统工作人员业务能力和工作作风建设。</w:t>
      </w:r>
    </w:p>
    <w:p>
      <w:pPr>
        <w:spacing w:line="600" w:lineRule="exact"/>
        <w:ind w:firstLine="640" w:firstLineChars="200"/>
        <w:rPr>
          <w:rFonts w:hint="eastAsia" w:ascii="Times New Roman" w:hAnsi="Times New Roman" w:eastAsia="黑体"/>
          <w:sz w:val="32"/>
          <w:szCs w:val="32"/>
        </w:rPr>
      </w:pPr>
      <w:r>
        <w:rPr>
          <w:rFonts w:hint="eastAsia" w:ascii="Times New Roman" w:hAnsi="Times New Roman" w:eastAsia="楷体_GB2312" w:cs="楷体_GB2312"/>
          <w:bCs/>
          <w:kern w:val="2"/>
          <w:sz w:val="32"/>
          <w:szCs w:val="32"/>
          <w:lang w:val="en-US" w:eastAsia="zh-CN"/>
        </w:rPr>
        <w:t>5.</w:t>
      </w:r>
      <w:r>
        <w:rPr>
          <w:rFonts w:hint="eastAsia" w:ascii="Times New Roman" w:hAnsi="Times New Roman" w:eastAsia="楷体_GB2312" w:cs="楷体_GB2312"/>
          <w:bCs/>
          <w:kern w:val="2"/>
          <w:sz w:val="32"/>
          <w:szCs w:val="32"/>
          <w:lang w:eastAsia="zh-CN"/>
        </w:rPr>
        <w:t>依法治安。</w:t>
      </w:r>
      <w:r>
        <w:rPr>
          <w:rFonts w:hint="eastAsia" w:ascii="Times New Roman" w:hAnsi="Times New Roman" w:eastAsia="仿宋_GB2312" w:cs="仿宋_GB2312"/>
          <w:sz w:val="32"/>
          <w:szCs w:val="32"/>
          <w:lang w:eastAsia="zh-CN"/>
        </w:rPr>
        <w:t>推动</w:t>
      </w:r>
      <w:r>
        <w:rPr>
          <w:rFonts w:hint="eastAsia" w:ascii="Times New Roman" w:hAnsi="Times New Roman" w:eastAsia="仿宋_GB2312" w:cs="仿宋_GB2312"/>
          <w:sz w:val="32"/>
          <w:szCs w:val="32"/>
        </w:rPr>
        <w:t>各负有安全生产监督管理职责的部门，围绕</w:t>
      </w:r>
      <w:r>
        <w:rPr>
          <w:rFonts w:hint="eastAsia" w:ascii="Times New Roman" w:hAnsi="Times New Roman" w:eastAsia="仿宋_GB2312" w:cs="仿宋_GB2312"/>
          <w:sz w:val="32"/>
          <w:szCs w:val="32"/>
          <w:lang w:eastAsia="zh-CN"/>
        </w:rPr>
        <w:t>各自主管的行业领域</w:t>
      </w:r>
      <w:r>
        <w:rPr>
          <w:rFonts w:hint="eastAsia" w:ascii="Times New Roman" w:hAnsi="Times New Roman" w:eastAsia="仿宋_GB2312" w:cs="仿宋_GB2312"/>
          <w:sz w:val="32"/>
          <w:szCs w:val="32"/>
        </w:rPr>
        <w:t>开展安全生产行政执法工作，</w:t>
      </w:r>
      <w:r>
        <w:rPr>
          <w:rFonts w:hint="eastAsia" w:ascii="Times New Roman" w:hAnsi="Times New Roman" w:eastAsia="仿宋_GB2312" w:cs="仿宋_GB2312"/>
          <w:sz w:val="32"/>
          <w:szCs w:val="32"/>
          <w:lang w:eastAsia="zh-CN"/>
        </w:rPr>
        <w:t>保持安全生产领域严管重罚的高压态势</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坚持用法制思维和法治手段解决安全生产问题，推动执法惩戒与指导服务深度结合，做到“执法一家，提升一家”，</w:t>
      </w:r>
      <w:r>
        <w:rPr>
          <w:rFonts w:hint="eastAsia" w:ascii="Times New Roman" w:hAnsi="Times New Roman" w:eastAsia="仿宋_GB2312" w:cs="仿宋_GB2312"/>
          <w:sz w:val="32"/>
          <w:szCs w:val="32"/>
          <w:lang w:val="en-US" w:eastAsia="zh-CN"/>
        </w:rPr>
        <w:t>充分发挥法治的引领规范作用。</w:t>
      </w: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hint="eastAsia" w:ascii="方正小标宋简体" w:hAnsi="方正小标宋简体" w:eastAsia="方正小标宋简体" w:cs="方正小标宋简体"/>
          <w:kern w:val="0"/>
          <w:sz w:val="44"/>
          <w:szCs w:val="44"/>
        </w:rPr>
        <w:t>第二部分　</w:t>
      </w:r>
      <w:r>
        <w:rPr>
          <w:rFonts w:hint="eastAsia" w:ascii="方正小标宋简体" w:hAnsi="方正小标宋简体" w:eastAsia="方正小标宋简体" w:cs="方正小标宋简体"/>
          <w:kern w:val="0"/>
          <w:sz w:val="44"/>
          <w:szCs w:val="44"/>
          <w:lang w:eastAsia="zh-CN"/>
        </w:rPr>
        <w:t>常州市武进区应急管理局</w:t>
      </w:r>
      <w:r>
        <w:rPr>
          <w:rFonts w:hint="eastAsia" w:ascii="方正小标宋简体" w:hAnsi="方正小标宋简体" w:eastAsia="方正小标宋简体" w:cs="方正小标宋简体"/>
          <w:kern w:val="0"/>
          <w:sz w:val="44"/>
          <w:szCs w:val="44"/>
        </w:rPr>
        <w:t>2021年度部门预算表</w:t>
      </w:r>
    </w:p>
    <w:p>
      <w:pPr>
        <w:widowControl/>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本部门</w:t>
      </w:r>
      <w:r>
        <w:rPr>
          <w:rFonts w:hint="eastAsia" w:ascii="仿宋" w:hAnsi="仿宋" w:eastAsia="仿宋" w:cs="仿宋"/>
          <w:kern w:val="0"/>
          <w:sz w:val="32"/>
          <w:szCs w:val="32"/>
          <w:lang w:val="en-US" w:eastAsia="zh-CN"/>
        </w:rPr>
        <w:t>2021年度预算公开表（01-12）附后。</w:t>
      </w:r>
    </w:p>
    <w:p>
      <w:pPr>
        <w:autoSpaceDE w:val="0"/>
        <w:autoSpaceDN w:val="0"/>
        <w:snapToGrid w:val="0"/>
        <w:spacing w:before="100" w:beforeAutospacing="1" w:after="100" w:afterAutospacing="1" w:line="55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第三部分  2021年度部门预算情况说明</w:t>
      </w:r>
    </w:p>
    <w:p>
      <w:pPr>
        <w:autoSpaceDE w:val="0"/>
        <w:autoSpaceDN w:val="0"/>
        <w:snapToGrid w:val="0"/>
        <w:spacing w:beforeLines="50"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一、收支总</w:t>
      </w:r>
      <w:r>
        <w:rPr>
          <w:rFonts w:hint="eastAsia" w:ascii="方正黑体_GBK" w:hAnsi="Times New Roman" w:eastAsia="方正黑体_GBK" w:cs="Times New Roman"/>
          <w:kern w:val="0"/>
          <w:sz w:val="32"/>
          <w:szCs w:val="32"/>
        </w:rPr>
        <w:t>体</w:t>
      </w:r>
      <w:r>
        <w:rPr>
          <w:rFonts w:ascii="方正黑体_GBK" w:hAnsi="Times New Roman" w:eastAsia="方正黑体_GBK" w:cs="Times New Roman"/>
          <w:kern w:val="0"/>
          <w:sz w:val="32"/>
          <w:szCs w:val="32"/>
        </w:rPr>
        <w:t>情况说明</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常州市武进区应急管理局</w:t>
      </w:r>
      <w:r>
        <w:rPr>
          <w:rFonts w:ascii="Times New Roman" w:hAnsi="Times New Roman" w:eastAsia="方正仿宋_GBK" w:cs="Times New Roman"/>
          <w:kern w:val="0"/>
          <w:sz w:val="32"/>
          <w:szCs w:val="32"/>
        </w:rPr>
        <w:t>2021年度收入、支出预算总计</w:t>
      </w:r>
      <w:r>
        <w:rPr>
          <w:rFonts w:hint="eastAsia" w:ascii="Times New Roman" w:hAnsi="Times New Roman" w:eastAsia="方正仿宋_GBK" w:cs="Times New Roman"/>
          <w:kern w:val="0"/>
          <w:sz w:val="32"/>
          <w:szCs w:val="32"/>
          <w:lang w:val="en-US" w:eastAsia="zh-CN"/>
        </w:rPr>
        <w:t>1491.83</w:t>
      </w:r>
      <w:r>
        <w:rPr>
          <w:rFonts w:ascii="Times New Roman" w:hAnsi="Times New Roman" w:eastAsia="方正仿宋_GBK" w:cs="Times New Roman"/>
          <w:kern w:val="0"/>
          <w:sz w:val="32"/>
          <w:szCs w:val="32"/>
        </w:rPr>
        <w:t>万元，与上年相比收、支预算总计各减少</w:t>
      </w:r>
      <w:r>
        <w:rPr>
          <w:rFonts w:hint="eastAsia" w:ascii="Times New Roman" w:hAnsi="Times New Roman" w:eastAsia="方正仿宋_GBK" w:cs="Times New Roman"/>
          <w:kern w:val="0"/>
          <w:sz w:val="32"/>
          <w:szCs w:val="32"/>
          <w:lang w:val="en-US" w:eastAsia="zh-CN"/>
        </w:rPr>
        <w:t>204.48</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lang w:val="en-US" w:eastAsia="zh-CN"/>
        </w:rPr>
        <w:t>12.05</w:t>
      </w:r>
      <w:r>
        <w:rPr>
          <w:rFonts w:ascii="Times New Roman" w:hAnsi="Times New Roman" w:eastAsia="方正仿宋_GBK" w:cs="Times New Roman"/>
          <w:kern w:val="0"/>
          <w:sz w:val="32"/>
          <w:szCs w:val="32"/>
        </w:rPr>
        <w:t>%。其中：</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（一）收入预算总计</w:t>
      </w:r>
      <w:r>
        <w:rPr>
          <w:rFonts w:hint="eastAsia" w:ascii="Times New Roman" w:hAnsi="Times New Roman" w:eastAsia="方正仿宋_GBK" w:cs="Times New Roman"/>
          <w:kern w:val="0"/>
          <w:sz w:val="32"/>
          <w:szCs w:val="32"/>
          <w:lang w:val="en-US" w:eastAsia="zh-CN"/>
        </w:rPr>
        <w:t>1491.83</w:t>
      </w:r>
      <w:r>
        <w:rPr>
          <w:rFonts w:ascii="Times New Roman" w:hAnsi="Times New Roman" w:eastAsia="方正仿宋_GBK" w:cs="Times New Roman"/>
          <w:kern w:val="0"/>
          <w:sz w:val="32"/>
          <w:szCs w:val="32"/>
        </w:rPr>
        <w:t>万元。包括：</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本年收入合计</w:t>
      </w:r>
      <w:r>
        <w:rPr>
          <w:rFonts w:hint="eastAsia" w:ascii="Times New Roman" w:hAnsi="Times New Roman" w:eastAsia="方正仿宋_GBK" w:cs="Times New Roman"/>
          <w:kern w:val="0"/>
          <w:sz w:val="32"/>
          <w:szCs w:val="32"/>
          <w:lang w:val="en-US" w:eastAsia="zh-CN"/>
        </w:rPr>
        <w:t>1491.83</w:t>
      </w:r>
      <w:r>
        <w:rPr>
          <w:rFonts w:ascii="Times New Roman" w:hAnsi="Times New Roman" w:eastAsia="方正仿宋_GBK" w:cs="Times New Roman"/>
          <w:kern w:val="0"/>
          <w:sz w:val="32"/>
          <w:szCs w:val="32"/>
        </w:rPr>
        <w:t>万元。</w:t>
      </w:r>
    </w:p>
    <w:p>
      <w:pPr>
        <w:autoSpaceDE w:val="0"/>
        <w:autoSpaceDN w:val="0"/>
        <w:snapToGrid w:val="0"/>
        <w:spacing w:line="550" w:lineRule="exact"/>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一般公共预算拨款收入</w:t>
      </w:r>
      <w:r>
        <w:rPr>
          <w:rFonts w:hint="eastAsia" w:ascii="Times New Roman" w:hAnsi="Times New Roman" w:eastAsia="方正仿宋_GBK" w:cs="Times New Roman"/>
          <w:kern w:val="0"/>
          <w:sz w:val="32"/>
          <w:szCs w:val="32"/>
          <w:lang w:val="en-US" w:eastAsia="zh-CN"/>
        </w:rPr>
        <w:t>1491.83</w:t>
      </w:r>
      <w:r>
        <w:rPr>
          <w:rFonts w:ascii="Times New Roman" w:hAnsi="Times New Roman" w:eastAsia="方正仿宋_GBK" w:cs="Times New Roman"/>
          <w:kern w:val="0"/>
          <w:sz w:val="32"/>
          <w:szCs w:val="32"/>
        </w:rPr>
        <w:t>万元，与上年相比减少</w:t>
      </w:r>
      <w:r>
        <w:rPr>
          <w:rFonts w:hint="eastAsia" w:ascii="Times New Roman" w:hAnsi="Times New Roman" w:eastAsia="方正仿宋_GBK" w:cs="Times New Roman"/>
          <w:kern w:val="0"/>
          <w:sz w:val="32"/>
          <w:szCs w:val="32"/>
          <w:lang w:val="en-US" w:eastAsia="zh-CN"/>
        </w:rPr>
        <w:t>204.48</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lang w:val="en-US" w:eastAsia="zh-CN"/>
        </w:rPr>
        <w:t>12.05</w:t>
      </w:r>
      <w:r>
        <w:rPr>
          <w:rFonts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highlight w:val="none"/>
        </w:rPr>
        <w:t>主要原因是</w:t>
      </w:r>
      <w:r>
        <w:rPr>
          <w:rFonts w:hint="eastAsia" w:ascii="Times New Roman" w:hAnsi="Times New Roman" w:eastAsia="方正仿宋_GBK" w:cs="Times New Roman"/>
          <w:kern w:val="0"/>
          <w:sz w:val="32"/>
          <w:szCs w:val="32"/>
          <w:highlight w:val="none"/>
          <w:lang w:val="en-US" w:eastAsia="zh-CN"/>
        </w:rPr>
        <w:t>2020年经开区</w:t>
      </w:r>
      <w:r>
        <w:rPr>
          <w:rFonts w:hint="eastAsia" w:ascii="Times New Roman" w:hAnsi="Times New Roman" w:eastAsia="方正仿宋_GBK" w:cs="Times New Roman"/>
          <w:kern w:val="0"/>
          <w:sz w:val="32"/>
          <w:szCs w:val="32"/>
          <w:highlight w:val="none"/>
          <w:lang w:eastAsia="zh-CN"/>
        </w:rPr>
        <w:t>人员整建制划转，人员减少</w:t>
      </w:r>
      <w:r>
        <w:rPr>
          <w:rFonts w:ascii="Times New Roman" w:hAnsi="Times New Roman" w:eastAsia="方正仿宋_GBK" w:cs="Times New Roman"/>
          <w:kern w:val="0"/>
          <w:sz w:val="32"/>
          <w:szCs w:val="32"/>
          <w:highlight w:val="none"/>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政府性基金预算拨款收入</w:t>
      </w:r>
      <w:r>
        <w:rPr>
          <w:rFonts w:hint="eastAsia" w:ascii="Times New Roman" w:hAnsi="Times New Roman" w:eastAsia="方正仿宋_GBK" w:cs="Times New Roman"/>
          <w:kern w:val="0"/>
          <w:sz w:val="32"/>
          <w:szCs w:val="32"/>
          <w:lang w:val="en-US" w:eastAsia="zh-CN"/>
        </w:rPr>
        <w:t>0</w:t>
      </w:r>
      <w:r>
        <w:rPr>
          <w:rFonts w:ascii="Times New Roman" w:hAnsi="Times New Roman" w:eastAsia="方正仿宋_GBK" w:cs="Times New Roman"/>
          <w:kern w:val="0"/>
          <w:sz w:val="32"/>
          <w:szCs w:val="32"/>
        </w:rPr>
        <w:t>万元，与上年相比</w:t>
      </w:r>
      <w:r>
        <w:rPr>
          <w:rFonts w:hint="eastAsia" w:ascii="Times New Roman" w:hAnsi="Times New Roman" w:eastAsia="方正仿宋_GBK" w:cs="Times New Roman"/>
          <w:kern w:val="0"/>
          <w:sz w:val="32"/>
          <w:szCs w:val="32"/>
          <w:lang w:eastAsia="zh-CN"/>
        </w:rPr>
        <w:t>无变化</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本部门无此项收入</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国有资本经营预算拨款收入</w:t>
      </w:r>
      <w:r>
        <w:rPr>
          <w:rFonts w:hint="eastAsia" w:ascii="Times New Roman" w:hAnsi="Times New Roman" w:eastAsia="方正仿宋_GBK" w:cs="Times New Roman"/>
          <w:kern w:val="0"/>
          <w:sz w:val="32"/>
          <w:szCs w:val="32"/>
          <w:lang w:val="en-US" w:eastAsia="zh-CN"/>
        </w:rPr>
        <w:t>0</w:t>
      </w:r>
      <w:r>
        <w:rPr>
          <w:rFonts w:ascii="Times New Roman" w:hAnsi="Times New Roman" w:eastAsia="方正仿宋_GBK" w:cs="Times New Roman"/>
          <w:kern w:val="0"/>
          <w:sz w:val="32"/>
          <w:szCs w:val="32"/>
        </w:rPr>
        <w:t>万元，与上年相比</w:t>
      </w:r>
      <w:r>
        <w:rPr>
          <w:rFonts w:hint="eastAsia" w:ascii="Times New Roman" w:hAnsi="Times New Roman" w:eastAsia="方正仿宋_GBK" w:cs="Times New Roman"/>
          <w:kern w:val="0"/>
          <w:sz w:val="32"/>
          <w:szCs w:val="32"/>
          <w:lang w:eastAsia="zh-CN"/>
        </w:rPr>
        <w:t>无变化</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本部门无此项收入</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财政专户管理资金收入</w:t>
      </w:r>
      <w:r>
        <w:rPr>
          <w:rFonts w:hint="eastAsia" w:ascii="Times New Roman" w:hAnsi="Times New Roman" w:eastAsia="方正仿宋_GBK" w:cs="Times New Roman"/>
          <w:kern w:val="0"/>
          <w:sz w:val="32"/>
          <w:szCs w:val="32"/>
          <w:lang w:val="en-US" w:eastAsia="zh-CN"/>
        </w:rPr>
        <w:t>0</w:t>
      </w:r>
      <w:r>
        <w:rPr>
          <w:rFonts w:ascii="Times New Roman" w:hAnsi="Times New Roman" w:eastAsia="方正仿宋_GBK" w:cs="Times New Roman"/>
          <w:kern w:val="0"/>
          <w:sz w:val="32"/>
          <w:szCs w:val="32"/>
        </w:rPr>
        <w:t>万元，与上年相比</w:t>
      </w:r>
      <w:r>
        <w:rPr>
          <w:rFonts w:hint="eastAsia" w:ascii="Times New Roman" w:hAnsi="Times New Roman" w:eastAsia="方正仿宋_GBK" w:cs="Times New Roman"/>
          <w:kern w:val="0"/>
          <w:sz w:val="32"/>
          <w:szCs w:val="32"/>
          <w:lang w:eastAsia="zh-CN"/>
        </w:rPr>
        <w:t>无变化</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本部门无此项收入</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事业收入</w:t>
      </w:r>
      <w:r>
        <w:rPr>
          <w:rFonts w:hint="eastAsia" w:ascii="Times New Roman" w:hAnsi="Times New Roman" w:eastAsia="方正仿宋_GBK" w:cs="Times New Roman"/>
          <w:kern w:val="0"/>
          <w:sz w:val="32"/>
          <w:szCs w:val="32"/>
          <w:lang w:val="en-US" w:eastAsia="zh-CN"/>
        </w:rPr>
        <w:t>0</w:t>
      </w:r>
      <w:r>
        <w:rPr>
          <w:rFonts w:ascii="Times New Roman" w:hAnsi="Times New Roman" w:eastAsia="方正仿宋_GBK" w:cs="Times New Roman"/>
          <w:kern w:val="0"/>
          <w:sz w:val="32"/>
          <w:szCs w:val="32"/>
        </w:rPr>
        <w:t>万元，与上年相比</w:t>
      </w:r>
      <w:r>
        <w:rPr>
          <w:rFonts w:hint="eastAsia" w:ascii="Times New Roman" w:hAnsi="Times New Roman" w:eastAsia="方正仿宋_GBK" w:cs="Times New Roman"/>
          <w:kern w:val="0"/>
          <w:sz w:val="32"/>
          <w:szCs w:val="32"/>
          <w:lang w:eastAsia="zh-CN"/>
        </w:rPr>
        <w:t>无变化</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本部门无此项收入</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事业单位经营收入</w:t>
      </w:r>
      <w:r>
        <w:rPr>
          <w:rFonts w:hint="eastAsia" w:ascii="Times New Roman" w:hAnsi="Times New Roman" w:eastAsia="方正仿宋_GBK" w:cs="Times New Roman"/>
          <w:kern w:val="0"/>
          <w:sz w:val="32"/>
          <w:szCs w:val="32"/>
          <w:lang w:val="en-US" w:eastAsia="zh-CN"/>
        </w:rPr>
        <w:t>0</w:t>
      </w:r>
      <w:r>
        <w:rPr>
          <w:rFonts w:ascii="Times New Roman" w:hAnsi="Times New Roman" w:eastAsia="方正仿宋_GBK" w:cs="Times New Roman"/>
          <w:kern w:val="0"/>
          <w:sz w:val="32"/>
          <w:szCs w:val="32"/>
        </w:rPr>
        <w:t>万元，与上年相比</w:t>
      </w:r>
      <w:r>
        <w:rPr>
          <w:rFonts w:hint="eastAsia" w:ascii="Times New Roman" w:hAnsi="Times New Roman" w:eastAsia="方正仿宋_GBK" w:cs="Times New Roman"/>
          <w:kern w:val="0"/>
          <w:sz w:val="32"/>
          <w:szCs w:val="32"/>
          <w:lang w:eastAsia="zh-CN"/>
        </w:rPr>
        <w:t>无变化</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本部门无此项收入</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rPr>
        <w:t>上级补助收入</w:t>
      </w:r>
      <w:r>
        <w:rPr>
          <w:rFonts w:hint="eastAsia" w:ascii="Times New Roman" w:hAnsi="Times New Roman" w:eastAsia="方正仿宋_GBK" w:cs="Times New Roman"/>
          <w:kern w:val="0"/>
          <w:sz w:val="32"/>
          <w:szCs w:val="32"/>
          <w:lang w:val="en-US" w:eastAsia="zh-CN"/>
        </w:rPr>
        <w:t>0</w:t>
      </w:r>
      <w:r>
        <w:rPr>
          <w:rFonts w:ascii="Times New Roman" w:hAnsi="Times New Roman" w:eastAsia="方正仿宋_GBK" w:cs="Times New Roman"/>
          <w:kern w:val="0"/>
          <w:sz w:val="32"/>
          <w:szCs w:val="32"/>
        </w:rPr>
        <w:t>万元，与上年相比</w:t>
      </w:r>
      <w:r>
        <w:rPr>
          <w:rFonts w:hint="eastAsia" w:ascii="Times New Roman" w:hAnsi="Times New Roman" w:eastAsia="方正仿宋_GBK" w:cs="Times New Roman"/>
          <w:kern w:val="0"/>
          <w:sz w:val="32"/>
          <w:szCs w:val="32"/>
          <w:lang w:eastAsia="zh-CN"/>
        </w:rPr>
        <w:t>无变化</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本部门无此项收入</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附属单位上缴收入</w:t>
      </w:r>
      <w:r>
        <w:rPr>
          <w:rFonts w:hint="eastAsia" w:ascii="Times New Roman" w:hAnsi="Times New Roman" w:eastAsia="方正仿宋_GBK" w:cs="Times New Roman"/>
          <w:kern w:val="0"/>
          <w:sz w:val="32"/>
          <w:szCs w:val="32"/>
          <w:lang w:val="en-US" w:eastAsia="zh-CN"/>
        </w:rPr>
        <w:t>0</w:t>
      </w:r>
      <w:r>
        <w:rPr>
          <w:rFonts w:ascii="Times New Roman" w:hAnsi="Times New Roman" w:eastAsia="方正仿宋_GBK" w:cs="Times New Roman"/>
          <w:kern w:val="0"/>
          <w:sz w:val="32"/>
          <w:szCs w:val="32"/>
        </w:rPr>
        <w:t>万元，与上年相比</w:t>
      </w:r>
      <w:r>
        <w:rPr>
          <w:rFonts w:hint="eastAsia" w:ascii="Times New Roman" w:hAnsi="Times New Roman" w:eastAsia="方正仿宋_GBK" w:cs="Times New Roman"/>
          <w:kern w:val="0"/>
          <w:sz w:val="32"/>
          <w:szCs w:val="32"/>
          <w:lang w:eastAsia="zh-CN"/>
        </w:rPr>
        <w:t>无变化</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本部门无此项收入</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rPr>
        <w:t>其他收入</w:t>
      </w:r>
      <w:r>
        <w:rPr>
          <w:rFonts w:hint="eastAsia" w:ascii="Times New Roman" w:hAnsi="Times New Roman" w:eastAsia="方正仿宋_GBK" w:cs="Times New Roman"/>
          <w:kern w:val="0"/>
          <w:sz w:val="32"/>
          <w:szCs w:val="32"/>
          <w:lang w:val="en-US" w:eastAsia="zh-CN"/>
        </w:rPr>
        <w:t>0</w:t>
      </w:r>
      <w:r>
        <w:rPr>
          <w:rFonts w:ascii="Times New Roman" w:hAnsi="Times New Roman" w:eastAsia="方正仿宋_GBK" w:cs="Times New Roman"/>
          <w:kern w:val="0"/>
          <w:sz w:val="32"/>
          <w:szCs w:val="32"/>
        </w:rPr>
        <w:t>万元，与上年相比</w:t>
      </w:r>
      <w:r>
        <w:rPr>
          <w:rFonts w:hint="eastAsia" w:ascii="Times New Roman" w:hAnsi="Times New Roman" w:eastAsia="方正仿宋_GBK" w:cs="Times New Roman"/>
          <w:kern w:val="0"/>
          <w:sz w:val="32"/>
          <w:szCs w:val="32"/>
          <w:lang w:eastAsia="zh-CN"/>
        </w:rPr>
        <w:t>无变化</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本部门无此项收入</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2．上年结转</w:t>
      </w:r>
      <w:r>
        <w:rPr>
          <w:rFonts w:hint="eastAsia" w:ascii="Times New Roman" w:hAnsi="Times New Roman" w:eastAsia="方正仿宋_GBK" w:cs="Times New Roman"/>
          <w:kern w:val="0"/>
          <w:sz w:val="32"/>
          <w:szCs w:val="32"/>
        </w:rPr>
        <w:t>结余</w:t>
      </w:r>
      <w:r>
        <w:rPr>
          <w:rFonts w:ascii="Times New Roman" w:hAnsi="Times New Roman" w:eastAsia="方正仿宋_GBK" w:cs="Times New Roman"/>
          <w:kern w:val="0"/>
          <w:sz w:val="32"/>
          <w:szCs w:val="32"/>
        </w:rPr>
        <w:t>为</w:t>
      </w:r>
      <w:r>
        <w:rPr>
          <w:rFonts w:hint="eastAsia" w:ascii="Times New Roman" w:hAnsi="Times New Roman" w:eastAsia="方正仿宋_GBK" w:cs="Times New Roman"/>
          <w:kern w:val="0"/>
          <w:sz w:val="32"/>
          <w:szCs w:val="32"/>
          <w:lang w:val="en-US" w:eastAsia="zh-CN"/>
        </w:rPr>
        <w:t>0</w:t>
      </w:r>
      <w:r>
        <w:rPr>
          <w:rFonts w:ascii="Times New Roman" w:hAnsi="Times New Roman" w:eastAsia="方正仿宋_GBK" w:cs="Times New Roman"/>
          <w:kern w:val="0"/>
          <w:sz w:val="32"/>
          <w:szCs w:val="32"/>
        </w:rPr>
        <w:t>万元。与上年相比</w:t>
      </w:r>
      <w:r>
        <w:rPr>
          <w:rFonts w:hint="eastAsia" w:ascii="Times New Roman" w:hAnsi="Times New Roman" w:eastAsia="方正仿宋_GBK" w:cs="Times New Roman"/>
          <w:kern w:val="0"/>
          <w:sz w:val="32"/>
          <w:szCs w:val="32"/>
          <w:lang w:eastAsia="zh-CN"/>
        </w:rPr>
        <w:t>无变化</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本部门无此项收入</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（二）支出预算总计</w:t>
      </w:r>
      <w:r>
        <w:rPr>
          <w:rFonts w:hint="eastAsia" w:ascii="Times New Roman" w:hAnsi="Times New Roman" w:eastAsia="方正仿宋_GBK" w:cs="Times New Roman"/>
          <w:kern w:val="0"/>
          <w:sz w:val="32"/>
          <w:szCs w:val="32"/>
          <w:lang w:val="en-US" w:eastAsia="zh-CN"/>
        </w:rPr>
        <w:t>1491.83</w:t>
      </w:r>
      <w:r>
        <w:rPr>
          <w:rFonts w:ascii="Times New Roman" w:hAnsi="Times New Roman" w:eastAsia="方正仿宋_GBK" w:cs="Times New Roman"/>
          <w:kern w:val="0"/>
          <w:sz w:val="32"/>
          <w:szCs w:val="32"/>
        </w:rPr>
        <w:t>万元。包括：</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本年</w:t>
      </w:r>
      <w:r>
        <w:rPr>
          <w:rFonts w:ascii="Times New Roman" w:hAnsi="Times New Roman" w:eastAsia="方正仿宋_GBK" w:cs="Times New Roman"/>
          <w:kern w:val="0"/>
          <w:sz w:val="32"/>
          <w:szCs w:val="32"/>
        </w:rPr>
        <w:t>支出</w:t>
      </w:r>
      <w:r>
        <w:rPr>
          <w:rFonts w:hint="eastAsia" w:ascii="Times New Roman" w:hAnsi="Times New Roman" w:eastAsia="方正仿宋_GBK" w:cs="Times New Roman"/>
          <w:kern w:val="0"/>
          <w:sz w:val="32"/>
          <w:szCs w:val="32"/>
        </w:rPr>
        <w:t>合计</w:t>
      </w:r>
      <w:r>
        <w:rPr>
          <w:rFonts w:hint="eastAsia" w:ascii="Times New Roman" w:hAnsi="Times New Roman" w:eastAsia="方正仿宋_GBK" w:cs="Times New Roman"/>
          <w:kern w:val="0"/>
          <w:sz w:val="32"/>
          <w:szCs w:val="32"/>
          <w:lang w:val="en-US" w:eastAsia="zh-CN"/>
        </w:rPr>
        <w:t>1491.83</w:t>
      </w:r>
      <w:r>
        <w:rPr>
          <w:rFonts w:ascii="Times New Roman" w:hAnsi="Times New Roman" w:eastAsia="方正仿宋_GBK" w:cs="Times New Roman"/>
          <w:kern w:val="0"/>
          <w:sz w:val="32"/>
          <w:szCs w:val="32"/>
        </w:rPr>
        <w:t>万元。</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eastAsia="zh-CN"/>
        </w:rPr>
        <w:t>社会保障和就业</w:t>
      </w:r>
      <w:r>
        <w:rPr>
          <w:rFonts w:ascii="Times New Roman" w:hAnsi="Times New Roman" w:eastAsia="方正仿宋_GBK" w:cs="Times New Roman"/>
          <w:kern w:val="0"/>
          <w:sz w:val="32"/>
          <w:szCs w:val="32"/>
        </w:rPr>
        <w:t>（类）支出</w:t>
      </w:r>
      <w:r>
        <w:rPr>
          <w:rFonts w:hint="eastAsia" w:ascii="Times New Roman" w:hAnsi="Times New Roman" w:eastAsia="方正仿宋_GBK" w:cs="Times New Roman"/>
          <w:kern w:val="0"/>
          <w:sz w:val="32"/>
          <w:szCs w:val="32"/>
          <w:lang w:val="en-US" w:eastAsia="zh-CN"/>
        </w:rPr>
        <w:t>131.09</w:t>
      </w:r>
      <w:r>
        <w:rPr>
          <w:rFonts w:ascii="Times New Roman" w:hAnsi="Times New Roman" w:eastAsia="方正仿宋_GBK" w:cs="Times New Roman"/>
          <w:kern w:val="0"/>
          <w:sz w:val="32"/>
          <w:szCs w:val="32"/>
        </w:rPr>
        <w:t>万元，主要用于</w:t>
      </w:r>
      <w:r>
        <w:rPr>
          <w:rFonts w:hint="eastAsia" w:ascii="仿宋_GB2312" w:hAnsi="仿宋_GB2312" w:eastAsia="仿宋_GB2312" w:cs="仿宋_GB2312"/>
          <w:kern w:val="0"/>
          <w:sz w:val="32"/>
          <w:szCs w:val="32"/>
        </w:rPr>
        <w:t>机关事业单位离退休人员工资及</w:t>
      </w:r>
      <w:r>
        <w:rPr>
          <w:rFonts w:hint="eastAsia" w:ascii="仿宋_GB2312" w:hAnsi="仿宋_GB2312" w:eastAsia="仿宋_GB2312" w:cs="仿宋_GB2312"/>
          <w:kern w:val="0"/>
          <w:sz w:val="32"/>
          <w:szCs w:val="32"/>
          <w:lang w:eastAsia="zh-CN"/>
        </w:rPr>
        <w:t>在职人员</w:t>
      </w:r>
      <w:r>
        <w:rPr>
          <w:rFonts w:hint="eastAsia" w:ascii="仿宋_GB2312" w:hAnsi="仿宋_GB2312" w:eastAsia="仿宋_GB2312" w:cs="仿宋_GB2312"/>
          <w:kern w:val="0"/>
          <w:sz w:val="32"/>
          <w:szCs w:val="32"/>
        </w:rPr>
        <w:t>养老保险</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职业年金支出</w:t>
      </w:r>
      <w:r>
        <w:rPr>
          <w:rFonts w:ascii="Times New Roman" w:hAnsi="Times New Roman" w:eastAsia="方正仿宋_GBK" w:cs="Times New Roman"/>
          <w:kern w:val="0"/>
          <w:sz w:val="32"/>
          <w:szCs w:val="32"/>
        </w:rPr>
        <w:t>。与上年相比减少</w:t>
      </w:r>
      <w:r>
        <w:rPr>
          <w:rFonts w:hint="eastAsia" w:ascii="Times New Roman" w:hAnsi="Times New Roman" w:eastAsia="方正仿宋_GBK" w:cs="Times New Roman"/>
          <w:kern w:val="0"/>
          <w:sz w:val="32"/>
          <w:szCs w:val="32"/>
          <w:lang w:val="en-US" w:eastAsia="zh-CN"/>
        </w:rPr>
        <w:t>20.78</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lang w:val="en-US" w:eastAsia="zh-CN"/>
        </w:rPr>
        <w:t>13.68</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highlight w:val="none"/>
          <w:lang w:val="en-US" w:eastAsia="zh-CN"/>
        </w:rPr>
        <w:t>2020年经开区</w:t>
      </w:r>
      <w:r>
        <w:rPr>
          <w:rFonts w:hint="eastAsia" w:ascii="Times New Roman" w:hAnsi="Times New Roman" w:eastAsia="方正仿宋_GBK" w:cs="Times New Roman"/>
          <w:kern w:val="0"/>
          <w:sz w:val="32"/>
          <w:szCs w:val="32"/>
          <w:highlight w:val="none"/>
          <w:lang w:eastAsia="zh-CN"/>
        </w:rPr>
        <w:t>人员整建制划转，人员减少</w:t>
      </w:r>
      <w:r>
        <w:rPr>
          <w:rFonts w:ascii="Times New Roman" w:hAnsi="Times New Roman" w:eastAsia="方正仿宋_GBK" w:cs="Times New Roman"/>
          <w:kern w:val="0"/>
          <w:sz w:val="32"/>
          <w:szCs w:val="32"/>
          <w:highlight w:val="none"/>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eastAsia="zh-CN"/>
        </w:rPr>
        <w:t>卫生健康</w:t>
      </w:r>
      <w:r>
        <w:rPr>
          <w:rFonts w:ascii="Times New Roman" w:hAnsi="Times New Roman" w:eastAsia="方正仿宋_GBK" w:cs="Times New Roman"/>
          <w:kern w:val="0"/>
          <w:sz w:val="32"/>
          <w:szCs w:val="32"/>
        </w:rPr>
        <w:t>（类）支出</w:t>
      </w:r>
      <w:r>
        <w:rPr>
          <w:rFonts w:hint="eastAsia" w:ascii="Times New Roman" w:hAnsi="Times New Roman" w:eastAsia="方正仿宋_GBK" w:cs="Times New Roman"/>
          <w:kern w:val="0"/>
          <w:sz w:val="32"/>
          <w:szCs w:val="32"/>
          <w:lang w:val="en-US" w:eastAsia="zh-CN"/>
        </w:rPr>
        <w:t>36.41</w:t>
      </w:r>
      <w:r>
        <w:rPr>
          <w:rFonts w:ascii="Times New Roman" w:hAnsi="Times New Roman" w:eastAsia="方正仿宋_GBK" w:cs="Times New Roman"/>
          <w:kern w:val="0"/>
          <w:sz w:val="32"/>
          <w:szCs w:val="32"/>
        </w:rPr>
        <w:t>万元，主要用于</w:t>
      </w:r>
      <w:r>
        <w:rPr>
          <w:rFonts w:hint="eastAsia" w:ascii="仿宋_GB2312" w:hAnsi="仿宋_GB2312" w:eastAsia="仿宋_GB2312" w:cs="仿宋_GB2312"/>
          <w:kern w:val="0"/>
          <w:sz w:val="32"/>
          <w:szCs w:val="32"/>
        </w:rPr>
        <w:t>职工医疗保障支出</w:t>
      </w:r>
      <w:r>
        <w:rPr>
          <w:rFonts w:ascii="Times New Roman" w:hAnsi="Times New Roman" w:eastAsia="方正仿宋_GBK" w:cs="Times New Roman"/>
          <w:kern w:val="0"/>
          <w:sz w:val="32"/>
          <w:szCs w:val="32"/>
        </w:rPr>
        <w:t>。与上年相比减少</w:t>
      </w:r>
      <w:r>
        <w:rPr>
          <w:rFonts w:hint="eastAsia" w:ascii="Times New Roman" w:hAnsi="Times New Roman" w:eastAsia="方正仿宋_GBK" w:cs="Times New Roman"/>
          <w:kern w:val="0"/>
          <w:sz w:val="32"/>
          <w:szCs w:val="32"/>
          <w:lang w:val="en-US" w:eastAsia="zh-CN"/>
        </w:rPr>
        <w:t>6.9</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lang w:val="en-US" w:eastAsia="zh-CN"/>
        </w:rPr>
        <w:t>15.93</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highlight w:val="none"/>
          <w:lang w:val="en-US" w:eastAsia="zh-CN"/>
        </w:rPr>
        <w:t>2020年经开区</w:t>
      </w:r>
      <w:r>
        <w:rPr>
          <w:rFonts w:hint="eastAsia" w:ascii="Times New Roman" w:hAnsi="Times New Roman" w:eastAsia="方正仿宋_GBK" w:cs="Times New Roman"/>
          <w:kern w:val="0"/>
          <w:sz w:val="32"/>
          <w:szCs w:val="32"/>
          <w:highlight w:val="none"/>
          <w:lang w:eastAsia="zh-CN"/>
        </w:rPr>
        <w:t>人员整建制划转，人员减少</w:t>
      </w:r>
      <w:r>
        <w:rPr>
          <w:rFonts w:ascii="Times New Roman" w:hAnsi="Times New Roman" w:eastAsia="方正仿宋_GBK" w:cs="Times New Roman"/>
          <w:kern w:val="0"/>
          <w:sz w:val="32"/>
          <w:szCs w:val="32"/>
        </w:rPr>
        <w:t>。</w:t>
      </w:r>
    </w:p>
    <w:p>
      <w:pPr>
        <w:autoSpaceDE w:val="0"/>
        <w:autoSpaceDN w:val="0"/>
        <w:snapToGrid w:val="0"/>
        <w:spacing w:line="550" w:lineRule="exact"/>
        <w:rPr>
          <w:rFonts w:hint="eastAsia"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3</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住房保障</w:t>
      </w:r>
      <w:r>
        <w:rPr>
          <w:rFonts w:ascii="Times New Roman" w:hAnsi="Times New Roman" w:eastAsia="方正仿宋_GBK" w:cs="Times New Roman"/>
          <w:kern w:val="0"/>
          <w:sz w:val="32"/>
          <w:szCs w:val="32"/>
        </w:rPr>
        <w:t>（类）支出</w:t>
      </w:r>
      <w:r>
        <w:rPr>
          <w:rFonts w:hint="eastAsia" w:ascii="Times New Roman" w:hAnsi="Times New Roman" w:eastAsia="方正仿宋_GBK" w:cs="Times New Roman"/>
          <w:kern w:val="0"/>
          <w:sz w:val="32"/>
          <w:szCs w:val="32"/>
          <w:lang w:val="en-US" w:eastAsia="zh-CN"/>
        </w:rPr>
        <w:t>459.26</w:t>
      </w:r>
      <w:r>
        <w:rPr>
          <w:rFonts w:ascii="Times New Roman" w:hAnsi="Times New Roman" w:eastAsia="方正仿宋_GBK" w:cs="Times New Roman"/>
          <w:kern w:val="0"/>
          <w:sz w:val="32"/>
          <w:szCs w:val="32"/>
        </w:rPr>
        <w:t>万元，主要用于</w:t>
      </w:r>
      <w:r>
        <w:rPr>
          <w:rFonts w:hint="eastAsia" w:ascii="仿宋_GB2312" w:hAnsi="仿宋_GB2312" w:eastAsia="仿宋_GB2312" w:cs="仿宋_GB2312"/>
          <w:kern w:val="0"/>
          <w:sz w:val="32"/>
          <w:szCs w:val="32"/>
        </w:rPr>
        <w:t>职工缴纳住房公积金、新职工住房补贴、提租补贴发放等</w:t>
      </w:r>
      <w:r>
        <w:rPr>
          <w:rFonts w:ascii="Times New Roman" w:hAnsi="Times New Roman" w:eastAsia="方正仿宋_GBK" w:cs="Times New Roman"/>
          <w:kern w:val="0"/>
          <w:sz w:val="32"/>
          <w:szCs w:val="32"/>
        </w:rPr>
        <w:t>。与上年相比</w:t>
      </w:r>
      <w:r>
        <w:rPr>
          <w:rFonts w:hint="eastAsia" w:ascii="Times New Roman" w:hAnsi="Times New Roman" w:eastAsia="方正仿宋_GBK" w:cs="Times New Roman"/>
          <w:kern w:val="0"/>
          <w:sz w:val="32"/>
          <w:szCs w:val="32"/>
          <w:lang w:eastAsia="zh-CN"/>
        </w:rPr>
        <w:t>增加</w:t>
      </w:r>
      <w:r>
        <w:rPr>
          <w:rFonts w:hint="eastAsia" w:ascii="Times New Roman" w:hAnsi="Times New Roman" w:eastAsia="方正仿宋_GBK" w:cs="Times New Roman"/>
          <w:kern w:val="0"/>
          <w:sz w:val="32"/>
          <w:szCs w:val="32"/>
          <w:lang w:val="en-US" w:eastAsia="zh-CN"/>
        </w:rPr>
        <w:t>35.91</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增加</w:t>
      </w:r>
      <w:r>
        <w:rPr>
          <w:rFonts w:hint="eastAsia" w:ascii="Times New Roman" w:hAnsi="Times New Roman" w:eastAsia="方正仿宋_GBK" w:cs="Times New Roman"/>
          <w:kern w:val="0"/>
          <w:sz w:val="32"/>
          <w:szCs w:val="32"/>
          <w:lang w:val="en-US" w:eastAsia="zh-CN"/>
        </w:rPr>
        <w:t>8.48</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政策性调整缴费基数。</w:t>
      </w:r>
    </w:p>
    <w:p>
      <w:pPr>
        <w:autoSpaceDE w:val="0"/>
        <w:autoSpaceDN w:val="0"/>
        <w:snapToGrid w:val="0"/>
        <w:spacing w:line="550" w:lineRule="exact"/>
      </w:pP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4</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灾害防治及应急管理</w:t>
      </w:r>
      <w:r>
        <w:rPr>
          <w:rFonts w:ascii="Times New Roman" w:hAnsi="Times New Roman" w:eastAsia="方正仿宋_GBK" w:cs="Times New Roman"/>
          <w:kern w:val="0"/>
          <w:sz w:val="32"/>
          <w:szCs w:val="32"/>
        </w:rPr>
        <w:t>（类）支出</w:t>
      </w:r>
      <w:r>
        <w:rPr>
          <w:rFonts w:hint="eastAsia" w:ascii="Times New Roman" w:hAnsi="Times New Roman" w:eastAsia="方正仿宋_GBK" w:cs="Times New Roman"/>
          <w:kern w:val="0"/>
          <w:sz w:val="32"/>
          <w:szCs w:val="32"/>
          <w:lang w:val="en-US" w:eastAsia="zh-CN"/>
        </w:rPr>
        <w:t>865.07</w:t>
      </w:r>
      <w:r>
        <w:rPr>
          <w:rFonts w:ascii="Times New Roman" w:hAnsi="Times New Roman" w:eastAsia="方正仿宋_GBK" w:cs="Times New Roman"/>
          <w:kern w:val="0"/>
          <w:sz w:val="32"/>
          <w:szCs w:val="32"/>
        </w:rPr>
        <w:t>万元，主要用于</w:t>
      </w:r>
      <w:r>
        <w:rPr>
          <w:rFonts w:hint="eastAsia" w:ascii="仿宋_GB2312" w:hAnsi="仿宋_GB2312" w:eastAsia="仿宋_GB2312" w:cs="仿宋_GB2312"/>
          <w:kern w:val="0"/>
          <w:sz w:val="32"/>
          <w:szCs w:val="32"/>
          <w:lang w:eastAsia="zh-CN"/>
        </w:rPr>
        <w:t>局开展行政事务支出</w:t>
      </w:r>
      <w:r>
        <w:rPr>
          <w:rFonts w:ascii="Times New Roman" w:hAnsi="Times New Roman" w:eastAsia="方正仿宋_GBK" w:cs="Times New Roman"/>
          <w:kern w:val="0"/>
          <w:sz w:val="32"/>
          <w:szCs w:val="32"/>
        </w:rPr>
        <w:t>。与上年相比减少</w:t>
      </w:r>
      <w:r>
        <w:rPr>
          <w:rFonts w:hint="eastAsia" w:ascii="Times New Roman" w:hAnsi="Times New Roman" w:eastAsia="方正仿宋_GBK" w:cs="Times New Roman"/>
          <w:kern w:val="0"/>
          <w:sz w:val="32"/>
          <w:szCs w:val="32"/>
          <w:lang w:val="en-US" w:eastAsia="zh-CN"/>
        </w:rPr>
        <w:t>212.71</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lang w:val="en-US" w:eastAsia="zh-CN"/>
        </w:rPr>
        <w:t>19.74</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减少救灾准备金项目，其他项目预算减少</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年终</w:t>
      </w:r>
      <w:r>
        <w:rPr>
          <w:rFonts w:ascii="Times New Roman" w:hAnsi="Times New Roman" w:eastAsia="方正仿宋_GBK" w:cs="Times New Roman"/>
          <w:kern w:val="0"/>
          <w:sz w:val="32"/>
          <w:szCs w:val="32"/>
        </w:rPr>
        <w:t>结转</w:t>
      </w:r>
      <w:r>
        <w:rPr>
          <w:rFonts w:hint="eastAsia" w:ascii="Times New Roman" w:hAnsi="Times New Roman" w:eastAsia="方正仿宋_GBK" w:cs="Times New Roman"/>
          <w:kern w:val="0"/>
          <w:sz w:val="32"/>
          <w:szCs w:val="32"/>
        </w:rPr>
        <w:t>结余</w:t>
      </w:r>
      <w:r>
        <w:rPr>
          <w:rFonts w:ascii="Times New Roman" w:hAnsi="Times New Roman" w:eastAsia="方正仿宋_GBK" w:cs="Times New Roman"/>
          <w:kern w:val="0"/>
          <w:sz w:val="32"/>
          <w:szCs w:val="32"/>
        </w:rPr>
        <w:t>为</w:t>
      </w:r>
      <w:r>
        <w:rPr>
          <w:rFonts w:hint="eastAsia" w:ascii="Times New Roman" w:hAnsi="Times New Roman" w:eastAsia="方正仿宋_GBK" w:cs="Times New Roman"/>
          <w:kern w:val="0"/>
          <w:sz w:val="32"/>
          <w:szCs w:val="32"/>
          <w:lang w:val="en-US" w:eastAsia="zh-CN"/>
        </w:rPr>
        <w:t>0</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与上年相比无变化，</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本部门无年终结转结余</w:t>
      </w:r>
      <w:r>
        <w:rPr>
          <w:rFonts w:ascii="Times New Roman" w:hAnsi="Times New Roman" w:eastAsia="方正仿宋_GBK" w:cs="Times New Roman"/>
          <w:kern w:val="0"/>
          <w:sz w:val="32"/>
          <w:szCs w:val="32"/>
        </w:rPr>
        <w:t>。</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二、收入预算情况说明</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常州市武进区应急管理局</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021年收入预算合计</w:t>
      </w:r>
      <w:r>
        <w:rPr>
          <w:rFonts w:hint="eastAsia" w:ascii="Times New Roman" w:hAnsi="Times New Roman" w:eastAsia="方正仿宋_GBK" w:cs="Times New Roman"/>
          <w:kern w:val="0"/>
          <w:sz w:val="32"/>
          <w:szCs w:val="32"/>
          <w:lang w:val="en-US" w:eastAsia="zh-CN"/>
        </w:rPr>
        <w:t>1491.83</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包括本年</w:t>
      </w:r>
      <w:r>
        <w:rPr>
          <w:rFonts w:ascii="Times New Roman" w:hAnsi="Times New Roman" w:eastAsia="方正仿宋_GBK" w:cs="Times New Roman"/>
          <w:kern w:val="0"/>
          <w:sz w:val="32"/>
          <w:szCs w:val="32"/>
        </w:rPr>
        <w:t>收入</w:t>
      </w:r>
      <w:r>
        <w:rPr>
          <w:rFonts w:hint="eastAsia" w:ascii="Times New Roman" w:hAnsi="Times New Roman" w:eastAsia="方正仿宋_GBK" w:cs="Times New Roman"/>
          <w:kern w:val="0"/>
          <w:sz w:val="32"/>
          <w:szCs w:val="32"/>
          <w:lang w:val="en-US" w:eastAsia="zh-CN"/>
        </w:rPr>
        <w:t>1491.83</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，上年结转结余</w:t>
      </w:r>
      <w:r>
        <w:rPr>
          <w:rFonts w:hint="eastAsia" w:ascii="Times New Roman" w:hAnsi="Times New Roman" w:eastAsia="方正仿宋_GBK" w:cs="Times New Roman"/>
          <w:kern w:val="0"/>
          <w:sz w:val="32"/>
          <w:szCs w:val="32"/>
          <w:lang w:val="en-US" w:eastAsia="zh-CN"/>
        </w:rPr>
        <w:t>0</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其中：</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w:t>
      </w:r>
      <w:r>
        <w:rPr>
          <w:rFonts w:ascii="Times New Roman" w:hAnsi="Times New Roman" w:eastAsia="方正仿宋_GBK" w:cs="Times New Roman"/>
          <w:kern w:val="0"/>
          <w:sz w:val="32"/>
          <w:szCs w:val="32"/>
        </w:rPr>
        <w:t>一般公共预算收入</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w:t>
      </w:r>
      <w:r>
        <w:rPr>
          <w:rFonts w:ascii="Times New Roman" w:hAnsi="Times New Roman" w:eastAsia="方正仿宋_GBK" w:cs="Times New Roman"/>
          <w:kern w:val="0"/>
          <w:sz w:val="32"/>
          <w:szCs w:val="32"/>
        </w:rPr>
        <w:t>政府性</w:t>
      </w:r>
      <w:r>
        <w:rPr>
          <w:rFonts w:hint="eastAsia" w:ascii="Times New Roman" w:hAnsi="Times New Roman" w:eastAsia="方正仿宋_GBK" w:cs="Times New Roman"/>
          <w:kern w:val="0"/>
          <w:sz w:val="32"/>
          <w:szCs w:val="32"/>
        </w:rPr>
        <w:t>基金</w:t>
      </w:r>
      <w:r>
        <w:rPr>
          <w:rFonts w:ascii="Times New Roman" w:hAnsi="Times New Roman" w:eastAsia="方正仿宋_GBK" w:cs="Times New Roman"/>
          <w:kern w:val="0"/>
          <w:sz w:val="32"/>
          <w:szCs w:val="32"/>
        </w:rPr>
        <w:t>预算收入</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本年国有资本经营预算</w:t>
      </w:r>
      <w:r>
        <w:rPr>
          <w:rFonts w:ascii="Times New Roman" w:hAnsi="Times New Roman" w:eastAsia="方正仿宋_GBK" w:cs="Times New Roman"/>
          <w:kern w:val="0"/>
          <w:sz w:val="32"/>
          <w:szCs w:val="32"/>
        </w:rPr>
        <w:t>收入</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w:t>
      </w:r>
      <w:r>
        <w:rPr>
          <w:rFonts w:ascii="Times New Roman" w:hAnsi="Times New Roman" w:eastAsia="方正仿宋_GBK" w:cs="Times New Roman"/>
          <w:kern w:val="0"/>
          <w:sz w:val="32"/>
          <w:szCs w:val="32"/>
        </w:rPr>
        <w:t>财政专户管理资金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本年事业收入</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本年事业单位经营收入</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本年上级补助收入</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本年附属单位上缴收入</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本年其他收入</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w:t>
      </w:r>
      <w:r>
        <w:rPr>
          <w:rFonts w:ascii="Times New Roman" w:hAnsi="Times New Roman" w:eastAsia="方正仿宋_GBK" w:cs="Times New Roman"/>
          <w:kern w:val="0"/>
          <w:sz w:val="32"/>
          <w:szCs w:val="32"/>
        </w:rPr>
        <w:t>一般公共预算收入</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w:t>
      </w:r>
      <w:r>
        <w:rPr>
          <w:rFonts w:ascii="Times New Roman" w:hAnsi="Times New Roman" w:eastAsia="方正仿宋_GBK" w:cs="Times New Roman"/>
          <w:kern w:val="0"/>
          <w:sz w:val="32"/>
          <w:szCs w:val="32"/>
        </w:rPr>
        <w:t>政府性</w:t>
      </w:r>
      <w:r>
        <w:rPr>
          <w:rFonts w:hint="eastAsia" w:ascii="Times New Roman" w:hAnsi="Times New Roman" w:eastAsia="方正仿宋_GBK" w:cs="Times New Roman"/>
          <w:kern w:val="0"/>
          <w:sz w:val="32"/>
          <w:szCs w:val="32"/>
        </w:rPr>
        <w:t>基金</w:t>
      </w:r>
      <w:r>
        <w:rPr>
          <w:rFonts w:ascii="Times New Roman" w:hAnsi="Times New Roman" w:eastAsia="方正仿宋_GBK" w:cs="Times New Roman"/>
          <w:kern w:val="0"/>
          <w:sz w:val="32"/>
          <w:szCs w:val="32"/>
        </w:rPr>
        <w:t>预算收入</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上年结转结余的国有资本经营预算</w:t>
      </w:r>
      <w:r>
        <w:rPr>
          <w:rFonts w:ascii="Times New Roman" w:hAnsi="Times New Roman" w:eastAsia="方正仿宋_GBK" w:cs="Times New Roman"/>
          <w:kern w:val="0"/>
          <w:sz w:val="32"/>
          <w:szCs w:val="32"/>
        </w:rPr>
        <w:t>收入</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w:t>
      </w:r>
      <w:r>
        <w:rPr>
          <w:rFonts w:ascii="Times New Roman" w:hAnsi="Times New Roman" w:eastAsia="方正仿宋_GBK" w:cs="Times New Roman"/>
          <w:kern w:val="0"/>
          <w:sz w:val="32"/>
          <w:szCs w:val="32"/>
        </w:rPr>
        <w:t>财政专户管理资金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上年结转结余的单位资金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仿宋_GBK" w:cs="Times New Roman"/>
          <w:i/>
          <w:kern w:val="0"/>
          <w:sz w:val="32"/>
          <w:szCs w:val="32"/>
        </w:rPr>
        <w:t>（可用饼图显示收入结构图）</w:t>
      </w:r>
    </w:p>
    <w:p>
      <w:pPr>
        <w:autoSpaceDE w:val="0"/>
        <w:autoSpaceDN w:val="0"/>
        <w:snapToGrid w:val="0"/>
        <w:spacing w:line="55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图1：收入预算图</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三、支出预算情况说明</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仿宋_GBK" w:cs="Times New Roman"/>
          <w:i/>
          <w:kern w:val="0"/>
          <w:sz w:val="32"/>
          <w:szCs w:val="32"/>
        </w:rPr>
        <w:t>（反映部门年度总体支出预算情况。安排数应与《收支总表》支出数一致。）</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u w:val="single"/>
        </w:rPr>
        <w:t>XX部门</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021年支出预算合计</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基本支出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项目支出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事业单位经营支出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上缴上级支出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对附属单位补助支出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仿宋_GBK" w:cs="Times New Roman"/>
          <w:i/>
          <w:kern w:val="0"/>
          <w:sz w:val="32"/>
          <w:szCs w:val="32"/>
        </w:rPr>
        <w:t>（可用饼图显示支出结构图）</w:t>
      </w:r>
    </w:p>
    <w:p>
      <w:pPr>
        <w:autoSpaceDE w:val="0"/>
        <w:autoSpaceDN w:val="0"/>
        <w:snapToGrid w:val="0"/>
        <w:spacing w:line="55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图2：支出预算图</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四、财政拨款收支预算总</w:t>
      </w:r>
      <w:r>
        <w:rPr>
          <w:rFonts w:hint="eastAsia" w:ascii="方正黑体_GBK" w:hAnsi="Times New Roman" w:eastAsia="方正黑体_GBK" w:cs="Times New Roman"/>
          <w:kern w:val="0"/>
          <w:sz w:val="32"/>
          <w:szCs w:val="32"/>
        </w:rPr>
        <w:t>体</w:t>
      </w:r>
      <w:r>
        <w:rPr>
          <w:rFonts w:ascii="方正黑体_GBK" w:hAnsi="Times New Roman" w:eastAsia="方正黑体_GBK" w:cs="Times New Roman"/>
          <w:kern w:val="0"/>
          <w:sz w:val="32"/>
          <w:szCs w:val="32"/>
        </w:rPr>
        <w:t>情况说明</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仿宋_GBK" w:cs="Times New Roman"/>
          <w:i/>
          <w:kern w:val="0"/>
          <w:sz w:val="32"/>
          <w:szCs w:val="32"/>
        </w:rPr>
        <w:t>（反映部门年度财政拨款总体收支预算情况。财政拨款收入数、支出安排数应与《收支总表》的财政拨款数对应一致。）</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u w:val="single"/>
        </w:rPr>
        <w:t>XX部门</w:t>
      </w:r>
      <w:r>
        <w:rPr>
          <w:rFonts w:ascii="Times New Roman" w:hAnsi="Times New Roman" w:eastAsia="方正仿宋_GBK" w:cs="Times New Roman"/>
          <w:kern w:val="0"/>
          <w:sz w:val="32"/>
          <w:szCs w:val="32"/>
        </w:rPr>
        <w:t>2021年度财政拨款收、支总预算</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万元。与上年相比，财政拨款收、支总计各增加（减少）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万元，增长（减少）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%。主要原因是……。</w:t>
      </w:r>
      <w:bookmarkStart w:id="0" w:name="_GoBack"/>
      <w:bookmarkEnd w:id="0"/>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五、财政拨款支出预算情况说明</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仿宋_GBK" w:cs="Times New Roman"/>
          <w:i/>
          <w:kern w:val="0"/>
          <w:sz w:val="32"/>
          <w:szCs w:val="32"/>
        </w:rPr>
        <w:t>（反映部门年度财政拨款支出预算安排情况。财政拨款支出安排数应与《财政拨款收支总表》的财政拨款数一致，并按照政府收支分类科目的功能分类“项”级细化列示。）</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u w:val="single"/>
        </w:rPr>
        <w:t>XX部门</w:t>
      </w:r>
      <w:r>
        <w:rPr>
          <w:rFonts w:ascii="Times New Roman" w:hAnsi="Times New Roman" w:eastAsia="方正仿宋_GBK" w:cs="Times New Roman"/>
          <w:kern w:val="0"/>
          <w:sz w:val="32"/>
          <w:szCs w:val="32"/>
        </w:rPr>
        <w:t>2021年财政拨款预算支出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万元，占本年支出合计的</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%。与上年相比，财政拨款支出增加（减少）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万元，增长（减少）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其中： </w:t>
      </w:r>
    </w:p>
    <w:p>
      <w:pPr>
        <w:autoSpaceDE w:val="0"/>
        <w:autoSpaceDN w:val="0"/>
        <w:snapToGrid w:val="0"/>
        <w:spacing w:line="550" w:lineRule="exact"/>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（一）一般公共服务（类）</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1．人大事务（款）行政运行（项）支出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万元，与上年相比增加（减少）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万元，增长（减少）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p>
    <w:p>
      <w:pPr>
        <w:autoSpaceDE w:val="0"/>
        <w:autoSpaceDN w:val="0"/>
        <w:snapToGrid w:val="0"/>
        <w:spacing w:line="550" w:lineRule="exact"/>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（二）公共安全（类）</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1．公安（款）行政运行（项）支出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万元，与上年相比增加（减少）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万元，增长（减少）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 ……</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仿宋_GBK" w:cs="Times New Roman"/>
          <w:i/>
          <w:kern w:val="0"/>
          <w:sz w:val="32"/>
          <w:szCs w:val="32"/>
        </w:rPr>
        <w:t>（按照“部门预算公开05表 财政拨款支出预算表”中的功能分类“项”</w:t>
      </w:r>
      <w:r>
        <w:rPr>
          <w:rFonts w:hint="eastAsia" w:ascii="Times New Roman" w:hAnsi="Times New Roman" w:eastAsia="方正仿宋_GBK" w:cs="Times New Roman"/>
          <w:i/>
          <w:kern w:val="0"/>
          <w:sz w:val="32"/>
          <w:szCs w:val="32"/>
        </w:rPr>
        <w:t>级</w:t>
      </w:r>
      <w:r>
        <w:rPr>
          <w:rFonts w:ascii="Times New Roman" w:hAnsi="Times New Roman" w:eastAsia="方正仿宋_GBK" w:cs="Times New Roman"/>
          <w:i/>
          <w:kern w:val="0"/>
          <w:sz w:val="32"/>
          <w:szCs w:val="32"/>
        </w:rPr>
        <w:t>科目，并结合本部门实际情况予以解释。）</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六、财政拨款基本支出预算情况说明</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仿宋_GBK" w:cs="Times New Roman"/>
          <w:i/>
          <w:kern w:val="0"/>
          <w:sz w:val="32"/>
          <w:szCs w:val="32"/>
        </w:rPr>
        <w:t>（反映部门年度财政拨款基本支出预算安排情况</w:t>
      </w:r>
      <w:r>
        <w:rPr>
          <w:rFonts w:hint="eastAsia" w:ascii="Times New Roman" w:hAnsi="Times New Roman" w:eastAsia="方正仿宋_GBK" w:cs="Times New Roman"/>
          <w:i/>
          <w:kern w:val="0"/>
          <w:sz w:val="32"/>
          <w:szCs w:val="32"/>
        </w:rPr>
        <w:t>。</w:t>
      </w:r>
      <w:r>
        <w:rPr>
          <w:rFonts w:ascii="Times New Roman" w:hAnsi="Times New Roman" w:eastAsia="方正仿宋_GBK" w:cs="Times New Roman"/>
          <w:i/>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u w:val="single"/>
        </w:rPr>
        <w:t>XX部门</w:t>
      </w:r>
      <w:r>
        <w:rPr>
          <w:rFonts w:ascii="Times New Roman" w:hAnsi="Times New Roman" w:eastAsia="方正仿宋_GBK" w:cs="Times New Roman"/>
          <w:kern w:val="0"/>
          <w:sz w:val="32"/>
          <w:szCs w:val="32"/>
        </w:rPr>
        <w:t>2021年度财政拨款基本支出预算</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（一）人员经费</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基本工资、津贴补贴、奖金、社会保障缴费、伙食补助费、绩效工资、其他工资福利支出、离休费、退休费、抚恤金、生活补助、医疗费、奖励金、住房公积金、提租补贴、……、其他对个人和家庭的补助支出。</w:t>
      </w:r>
      <w:r>
        <w:rPr>
          <w:rFonts w:ascii="Times New Roman" w:hAnsi="Times New Roman" w:eastAsia="方正仿宋_GBK" w:cs="Times New Roman"/>
          <w:i/>
          <w:kern w:val="0"/>
          <w:sz w:val="32"/>
          <w:szCs w:val="32"/>
        </w:rPr>
        <w:t>（按“部门预算公开06表 财政拨款基本支出预算表”中实际发生经济分类支出事项填写）</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楷体_GBK" w:cs="Times New Roman"/>
          <w:kern w:val="0"/>
          <w:sz w:val="32"/>
          <w:szCs w:val="32"/>
        </w:rPr>
        <w:t>（二）公用经费</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w:t>
      </w:r>
      <w:r>
        <w:rPr>
          <w:rFonts w:ascii="Times New Roman" w:hAnsi="Times New Roman" w:eastAsia="方正仿宋_GBK" w:cs="Times New Roman"/>
          <w:i/>
          <w:kern w:val="0"/>
          <w:sz w:val="32"/>
          <w:szCs w:val="32"/>
        </w:rPr>
        <w:t>（按“部门预算公开06表 财政拨款基本支出预算表”中实际发生经济分类支出事项填写）</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七、一般公共预算支出预算情况说明</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仿宋_GBK" w:cs="Times New Roman"/>
          <w:i/>
          <w:kern w:val="0"/>
          <w:sz w:val="32"/>
          <w:szCs w:val="32"/>
        </w:rPr>
        <w:t>（反映部门年度一般公共预算支出预算安排情况</w:t>
      </w:r>
      <w:r>
        <w:rPr>
          <w:rFonts w:hint="eastAsia" w:ascii="Times New Roman" w:hAnsi="Times New Roman" w:eastAsia="方正仿宋_GBK" w:cs="Times New Roman"/>
          <w:i/>
          <w:kern w:val="0"/>
          <w:sz w:val="32"/>
          <w:szCs w:val="32"/>
        </w:rPr>
        <w:t>。</w:t>
      </w:r>
      <w:r>
        <w:rPr>
          <w:rFonts w:ascii="Times New Roman" w:hAnsi="Times New Roman" w:eastAsia="方正仿宋_GBK" w:cs="Times New Roman"/>
          <w:i/>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u w:val="single"/>
        </w:rPr>
        <w:t>XX部门</w:t>
      </w:r>
      <w:r>
        <w:rPr>
          <w:rFonts w:ascii="Times New Roman" w:hAnsi="Times New Roman" w:eastAsia="方正仿宋_GBK" w:cs="Times New Roman"/>
          <w:kern w:val="0"/>
          <w:sz w:val="32"/>
          <w:szCs w:val="32"/>
        </w:rPr>
        <w:t>2021年一般公共预算财政拨款支出预算</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万元，与上年相比增加（减少）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万元，增长（减少）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八、一般公共预算基本支出预算情况说明</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仿宋_GBK" w:cs="Times New Roman"/>
          <w:i/>
          <w:kern w:val="0"/>
          <w:sz w:val="32"/>
          <w:szCs w:val="32"/>
        </w:rPr>
        <w:t>（反映部门年度一般公共预算基本支出预算安排情况</w:t>
      </w:r>
      <w:r>
        <w:rPr>
          <w:rFonts w:hint="eastAsia" w:ascii="Times New Roman" w:hAnsi="Times New Roman" w:eastAsia="方正仿宋_GBK" w:cs="Times New Roman"/>
          <w:i/>
          <w:kern w:val="0"/>
          <w:sz w:val="32"/>
          <w:szCs w:val="32"/>
        </w:rPr>
        <w:t>。</w:t>
      </w:r>
      <w:r>
        <w:rPr>
          <w:rFonts w:ascii="Times New Roman" w:hAnsi="Times New Roman" w:eastAsia="方正仿宋_GBK" w:cs="Times New Roman"/>
          <w:i/>
          <w:kern w:val="0"/>
          <w:sz w:val="32"/>
          <w:szCs w:val="32"/>
        </w:rPr>
        <w:t>）</w:t>
      </w:r>
    </w:p>
    <w:p>
      <w:pPr>
        <w:autoSpaceDE w:val="0"/>
        <w:autoSpaceDN w:val="0"/>
        <w:snapToGrid w:val="0"/>
        <w:spacing w:line="550" w:lineRule="exact"/>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u w:val="single"/>
        </w:rPr>
        <w:t>XX部门</w:t>
      </w:r>
      <w:r>
        <w:rPr>
          <w:rFonts w:ascii="Times New Roman" w:hAnsi="Times New Roman" w:eastAsia="方正仿宋_GBK" w:cs="Times New Roman"/>
          <w:spacing w:val="8"/>
          <w:kern w:val="0"/>
          <w:sz w:val="32"/>
          <w:szCs w:val="32"/>
        </w:rPr>
        <w:t>2021年度一般公共预算财政拨款基本支出预算</w:t>
      </w:r>
    </w:p>
    <w:p>
      <w:pPr>
        <w:autoSpaceDE w:val="0"/>
        <w:autoSpaceDN w:val="0"/>
        <w:snapToGrid w:val="0"/>
        <w:spacing w:line="550" w:lineRule="exact"/>
        <w:rPr>
          <w:rFonts w:ascii="Times New Roman" w:hAnsi="Times New Roman" w:eastAsia="方正仿宋_GBK" w:cs="Times New Roman"/>
          <w:spacing w:val="8"/>
          <w:kern w:val="0"/>
          <w:sz w:val="32"/>
          <w:szCs w:val="32"/>
        </w:rPr>
      </w:pPr>
      <w:r>
        <w:rPr>
          <w:rFonts w:ascii="Times New Roman" w:hAnsi="Times New Roman" w:eastAsia="方正仿宋_GBK" w:cs="Times New Roman"/>
          <w:spacing w:val="8"/>
          <w:kern w:val="0"/>
          <w:sz w:val="32"/>
          <w:szCs w:val="32"/>
          <w:u w:val="single"/>
        </w:rPr>
        <w:t xml:space="preserve">     </w:t>
      </w:r>
      <w:r>
        <w:rPr>
          <w:rFonts w:ascii="Times New Roman" w:hAnsi="Times New Roman" w:eastAsia="方正仿宋_GBK" w:cs="Times New Roman"/>
          <w:spacing w:val="8"/>
          <w:kern w:val="0"/>
          <w:sz w:val="32"/>
          <w:szCs w:val="32"/>
        </w:rPr>
        <w:t>万元，其中：</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（一）人员经费</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基本工资、津贴补贴、奖金、社会保障缴费、伙食补助费、绩效工资、其他工资福利支出、离休费、退休费、抚恤金、生活补助、医疗费、奖励金、住房公积金、提租补贴、……、其他对个人和家庭的补助支出。</w:t>
      </w:r>
      <w:r>
        <w:rPr>
          <w:rFonts w:ascii="Times New Roman" w:hAnsi="Times New Roman" w:eastAsia="方正仿宋_GBK" w:cs="Times New Roman"/>
          <w:i/>
          <w:kern w:val="0"/>
          <w:sz w:val="32"/>
          <w:szCs w:val="32"/>
        </w:rPr>
        <w:t>（按“部门预算公开08表 一般公共预算基本支出预算表”中实际发生经济分类支出事项填写）</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楷体_GBK" w:cs="Times New Roman"/>
          <w:kern w:val="0"/>
          <w:sz w:val="32"/>
          <w:szCs w:val="32"/>
        </w:rPr>
        <w:t>（二）公用经费</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w:t>
      </w:r>
      <w:r>
        <w:rPr>
          <w:rFonts w:ascii="Times New Roman" w:hAnsi="Times New Roman" w:eastAsia="方正仿宋_GBK" w:cs="Times New Roman"/>
          <w:i/>
          <w:kern w:val="0"/>
          <w:sz w:val="32"/>
          <w:szCs w:val="32"/>
        </w:rPr>
        <w:t>（按“部门预算公开08表 一般公共预算基本支出预算表”中实际发生经济分类支出事项填写）</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九、一般公共预算“三公”经费、会议费、培训费支出预算情况说明</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仿宋_GBK" w:cs="Times New Roman"/>
          <w:i/>
          <w:kern w:val="0"/>
          <w:sz w:val="32"/>
          <w:szCs w:val="32"/>
        </w:rPr>
        <w:t>（反映部门年度一般公共预算资金安排的“三公”经费情况。）</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u w:val="single"/>
        </w:rPr>
        <w:t>XX部门</w:t>
      </w:r>
      <w:r>
        <w:rPr>
          <w:rFonts w:ascii="Times New Roman" w:hAnsi="Times New Roman" w:eastAsia="方正仿宋_GBK" w:cs="Times New Roman"/>
          <w:kern w:val="0"/>
          <w:sz w:val="32"/>
          <w:szCs w:val="32"/>
        </w:rPr>
        <w:t>2021年度一般公共预算拨款安排的“三公”经费预算支出中，因公出国（境）费支出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万元，占“三公”经费的</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%；公务用车购置及运行费支出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万元，占“三公”经费的</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%；公务接待费支出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万元，占“三公”经费的</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%。具体情况如下：</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1．因公出国（境）费预算支出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比</w:t>
      </w:r>
      <w:r>
        <w:rPr>
          <w:rFonts w:ascii="Times New Roman" w:hAnsi="Times New Roman" w:eastAsia="方正仿宋_GBK" w:cs="Times New Roman"/>
          <w:kern w:val="0"/>
          <w:sz w:val="32"/>
          <w:szCs w:val="32"/>
        </w:rPr>
        <w:t>上年预算增加（减少）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2．公务用车购置及运行费预算支出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（1）公务用车购置预算支出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比</w:t>
      </w:r>
      <w:r>
        <w:rPr>
          <w:rFonts w:ascii="Times New Roman" w:hAnsi="Times New Roman" w:eastAsia="方正仿宋_GBK" w:cs="Times New Roman"/>
          <w:kern w:val="0"/>
          <w:sz w:val="32"/>
          <w:szCs w:val="32"/>
        </w:rPr>
        <w:t>上年预算增加（减少）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（2）公务用车运行维护费预算支出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比</w:t>
      </w:r>
      <w:r>
        <w:rPr>
          <w:rFonts w:ascii="Times New Roman" w:hAnsi="Times New Roman" w:eastAsia="方正仿宋_GBK" w:cs="Times New Roman"/>
          <w:kern w:val="0"/>
          <w:sz w:val="32"/>
          <w:szCs w:val="32"/>
        </w:rPr>
        <w:t>上年预算增加（减少）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3．公务接待费预算支出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比</w:t>
      </w:r>
      <w:r>
        <w:rPr>
          <w:rFonts w:ascii="Times New Roman" w:hAnsi="Times New Roman" w:eastAsia="方正仿宋_GBK" w:cs="Times New Roman"/>
          <w:kern w:val="0"/>
          <w:sz w:val="32"/>
          <w:szCs w:val="32"/>
        </w:rPr>
        <w:t>上年预算增加（减少）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u w:val="single"/>
        </w:rPr>
        <w:t>XX部门</w:t>
      </w:r>
      <w:r>
        <w:rPr>
          <w:rFonts w:ascii="Times New Roman" w:hAnsi="Times New Roman" w:eastAsia="方正仿宋_GBK" w:cs="Times New Roman"/>
          <w:kern w:val="0"/>
          <w:sz w:val="32"/>
          <w:szCs w:val="32"/>
        </w:rPr>
        <w:t>2021年度一般公共预算拨款安排的会议费预算支出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比</w:t>
      </w:r>
      <w:r>
        <w:rPr>
          <w:rFonts w:ascii="Times New Roman" w:hAnsi="Times New Roman" w:eastAsia="方正仿宋_GBK" w:cs="Times New Roman"/>
          <w:kern w:val="0"/>
          <w:sz w:val="32"/>
          <w:szCs w:val="32"/>
        </w:rPr>
        <w:t>上年预算增加（减少）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u w:val="single"/>
        </w:rPr>
        <w:t>XX部门</w:t>
      </w:r>
      <w:r>
        <w:rPr>
          <w:rFonts w:ascii="Times New Roman" w:hAnsi="Times New Roman" w:eastAsia="方正仿宋_GBK" w:cs="Times New Roman"/>
          <w:kern w:val="0"/>
          <w:sz w:val="32"/>
          <w:szCs w:val="32"/>
        </w:rPr>
        <w:t>2021年度一般公共预算拨款安排的培训费预算支出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比</w:t>
      </w:r>
      <w:r>
        <w:rPr>
          <w:rFonts w:ascii="Times New Roman" w:hAnsi="Times New Roman" w:eastAsia="方正仿宋_GBK" w:cs="Times New Roman"/>
          <w:kern w:val="0"/>
          <w:sz w:val="32"/>
          <w:szCs w:val="32"/>
        </w:rPr>
        <w:t>上年预算增加（减少）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十、政府性基金</w:t>
      </w:r>
      <w:r>
        <w:rPr>
          <w:rFonts w:hint="eastAsia" w:ascii="方正黑体_GBK" w:hAnsi="Times New Roman" w:eastAsia="方正黑体_GBK" w:cs="Times New Roman"/>
          <w:kern w:val="0"/>
          <w:sz w:val="32"/>
          <w:szCs w:val="32"/>
        </w:rPr>
        <w:t>预算</w:t>
      </w:r>
      <w:r>
        <w:rPr>
          <w:rFonts w:ascii="方正黑体_GBK" w:hAnsi="Times New Roman" w:eastAsia="方正黑体_GBK" w:cs="Times New Roman"/>
          <w:kern w:val="0"/>
          <w:sz w:val="32"/>
          <w:szCs w:val="32"/>
        </w:rPr>
        <w:t>支出预算情况说明</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仿宋_GBK" w:cs="Times New Roman"/>
          <w:i/>
          <w:kern w:val="0"/>
          <w:sz w:val="32"/>
          <w:szCs w:val="32"/>
        </w:rPr>
        <w:t>（反映部门年度政府性基金支出预算安排情况。政府性基金支出安排数应与《收支总表》的政府性基金收入数一致，并按照政府收支分类科目的功能分类“项”级细化列示。）</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u w:val="single"/>
        </w:rPr>
        <w:t>XX部门</w:t>
      </w:r>
      <w:r>
        <w:rPr>
          <w:rFonts w:ascii="Times New Roman" w:hAnsi="Times New Roman" w:eastAsia="方正仿宋_GBK" w:cs="Times New Roman"/>
          <w:kern w:val="0"/>
          <w:sz w:val="32"/>
          <w:szCs w:val="32"/>
        </w:rPr>
        <w:t>2021年政府性基金支出预算支出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万元。与上年相比增加（减少）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万元，增长（减少）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其中： </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1．城乡社区支出（类）政府住房基金及对应专项债务收入安排的支出（款）管理费用支出（项）支出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万元，主要是用于……。</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 ……</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w:t>
      </w:r>
      <w:r>
        <w:rPr>
          <w:rFonts w:ascii="Times New Roman" w:hAnsi="Times New Roman" w:eastAsia="方正仿宋_GBK" w:cs="Times New Roman"/>
          <w:i/>
          <w:kern w:val="0"/>
          <w:sz w:val="32"/>
          <w:szCs w:val="32"/>
        </w:rPr>
        <w:t>按“部门预算公开10表</w:t>
      </w:r>
      <w:r>
        <w:rPr>
          <w:rFonts w:hint="eastAsia" w:ascii="Times New Roman" w:hAnsi="Times New Roman" w:eastAsia="方正仿宋_GBK" w:cs="Times New Roman"/>
          <w:i/>
          <w:kern w:val="0"/>
          <w:sz w:val="32"/>
          <w:szCs w:val="32"/>
        </w:rPr>
        <w:t xml:space="preserve"> </w:t>
      </w:r>
      <w:r>
        <w:rPr>
          <w:rFonts w:ascii="Times New Roman" w:hAnsi="Times New Roman" w:eastAsia="方正仿宋_GBK" w:cs="Times New Roman"/>
          <w:i/>
          <w:kern w:val="0"/>
          <w:sz w:val="32"/>
          <w:szCs w:val="32"/>
        </w:rPr>
        <w:t>政府性基金</w:t>
      </w:r>
      <w:r>
        <w:rPr>
          <w:rFonts w:hint="eastAsia" w:ascii="Times New Roman" w:hAnsi="Times New Roman" w:eastAsia="方正仿宋_GBK" w:cs="Times New Roman"/>
          <w:i/>
          <w:kern w:val="0"/>
          <w:sz w:val="32"/>
          <w:szCs w:val="32"/>
        </w:rPr>
        <w:t>预算</w:t>
      </w:r>
      <w:r>
        <w:rPr>
          <w:rFonts w:ascii="Times New Roman" w:hAnsi="Times New Roman" w:eastAsia="方正仿宋_GBK" w:cs="Times New Roman"/>
          <w:i/>
          <w:kern w:val="0"/>
          <w:sz w:val="32"/>
          <w:szCs w:val="32"/>
        </w:rPr>
        <w:t>支出表”中支出功能分类“项”级科目，并结合部门实际情况分类填写</w:t>
      </w:r>
      <w:r>
        <w:rPr>
          <w:rFonts w:ascii="Times New Roman" w:hAnsi="Times New Roman" w:eastAsia="方正仿宋_GBK" w:cs="Times New Roman"/>
          <w:kern w:val="0"/>
          <w:sz w:val="32"/>
          <w:szCs w:val="32"/>
        </w:rPr>
        <w:t>）</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一</w:t>
      </w:r>
      <w:r>
        <w:rPr>
          <w:rFonts w:ascii="方正黑体_GBK" w:hAnsi="Times New Roman" w:eastAsia="方正黑体_GBK" w:cs="Times New Roman"/>
          <w:kern w:val="0"/>
          <w:sz w:val="32"/>
          <w:szCs w:val="32"/>
        </w:rPr>
        <w:t>、一般公共预算机关运行经费支出预算情况说明</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仿宋_GBK" w:cs="Times New Roman"/>
          <w:i/>
          <w:kern w:val="0"/>
          <w:sz w:val="32"/>
          <w:szCs w:val="32"/>
        </w:rPr>
        <w:t>（反映部门年度一般公共预算机关运行经费支出预算安排情况</w:t>
      </w:r>
      <w:r>
        <w:rPr>
          <w:rFonts w:hint="eastAsia" w:ascii="Times New Roman" w:hAnsi="Times New Roman" w:eastAsia="方正仿宋_GBK" w:cs="Times New Roman"/>
          <w:i/>
          <w:kern w:val="0"/>
          <w:sz w:val="32"/>
          <w:szCs w:val="32"/>
        </w:rPr>
        <w:t>。</w:t>
      </w:r>
      <w:r>
        <w:rPr>
          <w:rFonts w:ascii="Times New Roman" w:hAnsi="Times New Roman" w:eastAsia="方正仿宋_GBK" w:cs="Times New Roman"/>
          <w:i/>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u w:val="single"/>
        </w:rPr>
      </w:pPr>
      <w:r>
        <w:rPr>
          <w:rFonts w:ascii="Times New Roman" w:hAnsi="Times New Roman" w:eastAsia="方正仿宋_GBK" w:cs="Times New Roman"/>
          <w:kern w:val="0"/>
          <w:sz w:val="32"/>
          <w:szCs w:val="32"/>
        </w:rPr>
        <w:t>2021年本部门一般公共预算机关运行经费预算支出</w:t>
      </w:r>
      <w:r>
        <w:rPr>
          <w:rFonts w:ascii="Times New Roman" w:hAnsi="Times New Roman" w:eastAsia="方正仿宋_GBK" w:cs="Times New Roman"/>
          <w:kern w:val="0"/>
          <w:sz w:val="32"/>
          <w:szCs w:val="32"/>
          <w:u w:val="single"/>
        </w:rPr>
        <w:t xml:space="preserve">    </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仿宋_GBK" w:cs="Times New Roman"/>
          <w:kern w:val="0"/>
          <w:sz w:val="32"/>
          <w:szCs w:val="32"/>
        </w:rPr>
        <w:t>万元，与上年相比增加（减少）</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万元，增长（降低）</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%。主要原因是：……。</w:t>
      </w:r>
      <w:r>
        <w:rPr>
          <w:rFonts w:ascii="Times New Roman" w:hAnsi="Times New Roman" w:eastAsia="方正仿宋_GBK" w:cs="Times New Roman"/>
          <w:i/>
          <w:kern w:val="0"/>
          <w:sz w:val="32"/>
          <w:szCs w:val="32"/>
        </w:rPr>
        <w:t>（具体增减原因由部门根据实际情况填列）</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二</w:t>
      </w:r>
      <w:r>
        <w:rPr>
          <w:rFonts w:ascii="方正黑体_GBK" w:hAnsi="Times New Roman" w:eastAsia="方正黑体_GBK" w:cs="Times New Roman"/>
          <w:kern w:val="0"/>
          <w:sz w:val="32"/>
          <w:szCs w:val="32"/>
        </w:rPr>
        <w:t>、政府采购支出预算情况说明</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仿宋_GBK" w:cs="Times New Roman"/>
          <w:i/>
          <w:kern w:val="0"/>
          <w:sz w:val="32"/>
          <w:szCs w:val="32"/>
        </w:rPr>
        <w:t>（反映部门年度政府采购支出预算安排情况。）</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2021年度政府采购支出预算总额</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万元，其中：拟采购货物支出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万元、拟采购工程支出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万元、拟购买服务支出</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三</w:t>
      </w:r>
      <w:r>
        <w:rPr>
          <w:rFonts w:ascii="方正黑体_GBK" w:hAnsi="Times New Roman" w:eastAsia="方正黑体_GBK" w:cs="Times New Roman"/>
          <w:kern w:val="0"/>
          <w:sz w:val="32"/>
          <w:szCs w:val="32"/>
        </w:rPr>
        <w:t>、国有</w:t>
      </w:r>
      <w:r>
        <w:rPr>
          <w:rFonts w:hint="eastAsia" w:ascii="方正黑体_GBK" w:hAnsi="Times New Roman" w:eastAsia="方正黑体_GBK" w:cs="Times New Roman"/>
          <w:kern w:val="0"/>
          <w:sz w:val="32"/>
          <w:szCs w:val="32"/>
        </w:rPr>
        <w:t>资产占用</w:t>
      </w:r>
      <w:r>
        <w:rPr>
          <w:rFonts w:ascii="方正黑体_GBK" w:hAnsi="Times New Roman" w:eastAsia="方正黑体_GBK" w:cs="Times New Roman"/>
          <w:kern w:val="0"/>
          <w:sz w:val="32"/>
          <w:szCs w:val="32"/>
        </w:rPr>
        <w:t>情况</w:t>
      </w:r>
    </w:p>
    <w:p>
      <w:pPr>
        <w:autoSpaceDE w:val="0"/>
        <w:autoSpaceDN w:val="0"/>
        <w:snapToGrid w:val="0"/>
        <w:spacing w:line="550" w:lineRule="exact"/>
        <w:rPr>
          <w:rFonts w:ascii="方正黑体_GBK" w:hAnsi="Times New Roman" w:eastAsia="方正黑体_GBK" w:cs="Times New Roman"/>
          <w:kern w:val="0"/>
          <w:sz w:val="32"/>
          <w:szCs w:val="32"/>
        </w:rPr>
      </w:pPr>
      <w:r>
        <w:rPr>
          <w:rFonts w:hint="eastAsia" w:ascii="Times New Roman" w:hAnsi="Times New Roman" w:eastAsia="方正仿宋_GBK" w:cs="Times New Roman"/>
          <w:kern w:val="0"/>
          <w:sz w:val="32"/>
          <w:szCs w:val="32"/>
        </w:rPr>
        <w:t>本部门共有车辆XX辆，其中，一般公务用车XX辆、执法执勤用车XX辆、特种专业技术用车XX辆、其他用车XX辆等。单价XX万元（含）以上的设备XX台（套）</w:t>
      </w:r>
      <w:r>
        <w:rPr>
          <w:rFonts w:hint="eastAsia" w:ascii="Times New Roman" w:hAnsi="Times New Roman" w:eastAsia="方正仿宋_GBK" w:cs="Times New Roman"/>
          <w:i/>
          <w:kern w:val="0"/>
          <w:sz w:val="32"/>
          <w:szCs w:val="32"/>
        </w:rPr>
        <w:t>（各地可结合</w:t>
      </w:r>
      <w:r>
        <w:rPr>
          <w:rFonts w:ascii="Times New Roman" w:hAnsi="Times New Roman" w:eastAsia="方正仿宋_GBK" w:cs="Times New Roman"/>
          <w:i/>
          <w:kern w:val="0"/>
          <w:sz w:val="32"/>
          <w:szCs w:val="32"/>
        </w:rPr>
        <w:t>实际</w:t>
      </w:r>
      <w:r>
        <w:rPr>
          <w:rFonts w:hint="eastAsia" w:ascii="Times New Roman" w:hAnsi="Times New Roman" w:eastAsia="方正仿宋_GBK" w:cs="Times New Roman"/>
          <w:i/>
          <w:kern w:val="0"/>
          <w:sz w:val="32"/>
          <w:szCs w:val="32"/>
        </w:rPr>
        <w:t>填列）</w:t>
      </w:r>
      <w:r>
        <w:rPr>
          <w:rFonts w:hint="eastAsia" w:ascii="Times New Roman" w:hAnsi="Times New Roman" w:eastAsia="方正仿宋_GBK" w:cs="Times New Roman"/>
          <w:kern w:val="0"/>
          <w:sz w:val="32"/>
          <w:szCs w:val="32"/>
        </w:rPr>
        <w:t>。</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四</w:t>
      </w:r>
      <w:r>
        <w:rPr>
          <w:rFonts w:ascii="方正黑体_GBK" w:hAnsi="Times New Roman" w:eastAsia="方正黑体_GBK" w:cs="Times New Roman"/>
          <w:kern w:val="0"/>
          <w:sz w:val="32"/>
          <w:szCs w:val="32"/>
        </w:rPr>
        <w:t>、预算绩效目标设置情况说明</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仿宋" w:cs="Times New Roman"/>
          <w:kern w:val="0"/>
          <w:sz w:val="32"/>
          <w:szCs w:val="32"/>
        </w:rPr>
        <w:t>2021年度，本部门单位共______个项目纳入绩效目标管理，涉及财政性资金合计______万元；本部门单位整体支出（□纳入、□未纳入）绩效目标管理，涉及财政性资金______万元</w:t>
      </w:r>
      <w:r>
        <w:rPr>
          <w:rFonts w:hint="eastAsia" w:ascii="Times New Roman" w:hAnsi="Times New Roman" w:eastAsia="方正仿宋_GBK" w:cs="Times New Roman"/>
          <w:i/>
          <w:kern w:val="0"/>
          <w:sz w:val="32"/>
          <w:szCs w:val="32"/>
        </w:rPr>
        <w:t>（各地可结合</w:t>
      </w:r>
      <w:r>
        <w:rPr>
          <w:rFonts w:ascii="Times New Roman" w:hAnsi="Times New Roman" w:eastAsia="方正仿宋_GBK" w:cs="Times New Roman"/>
          <w:i/>
          <w:kern w:val="0"/>
          <w:sz w:val="32"/>
          <w:szCs w:val="32"/>
        </w:rPr>
        <w:t>实际</w:t>
      </w:r>
      <w:r>
        <w:rPr>
          <w:rFonts w:hint="eastAsia" w:ascii="Times New Roman" w:hAnsi="Times New Roman" w:eastAsia="方正仿宋_GBK" w:cs="Times New Roman"/>
          <w:i/>
          <w:kern w:val="0"/>
          <w:sz w:val="32"/>
          <w:szCs w:val="32"/>
        </w:rPr>
        <w:t>填列）</w:t>
      </w:r>
      <w:r>
        <w:rPr>
          <w:rFonts w:ascii="Times New Roman" w:hAnsi="Times New Roman" w:eastAsia="仿宋" w:cs="Times New Roman"/>
          <w:kern w:val="0"/>
          <w:sz w:val="32"/>
          <w:szCs w:val="32"/>
        </w:rPr>
        <w:t>。</w:t>
      </w:r>
    </w:p>
    <w:p>
      <w:pPr>
        <w:autoSpaceDE w:val="0"/>
        <w:autoSpaceDN w:val="0"/>
        <w:snapToGrid w:val="0"/>
        <w:spacing w:line="550" w:lineRule="exact"/>
        <w:rPr>
          <w:rFonts w:ascii="Times New Roman" w:hAnsi="Times New Roman" w:eastAsia="方正楷体_GBK" w:cs="Times New Roman"/>
          <w:kern w:val="0"/>
          <w:sz w:val="32"/>
          <w:szCs w:val="32"/>
          <w:u w:val="single"/>
        </w:rPr>
      </w:pPr>
    </w:p>
    <w:p>
      <w:pPr>
        <w:autoSpaceDE w:val="0"/>
        <w:autoSpaceDN w:val="0"/>
        <w:snapToGrid w:val="0"/>
        <w:spacing w:before="100" w:beforeAutospacing="1" w:after="100" w:afterAutospacing="1" w:line="55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第四部分　名词解释</w:t>
      </w:r>
    </w:p>
    <w:p>
      <w:pPr>
        <w:keepNext w:val="0"/>
        <w:keepLines w:val="0"/>
        <w:pageBreakBefore w:val="0"/>
        <w:widowControl w:val="0"/>
        <w:kinsoku/>
        <w:wordWrap/>
        <w:overflowPunct/>
        <w:topLinePunct w:val="0"/>
        <w:autoSpaceDE w:val="0"/>
        <w:autoSpaceDN w:val="0"/>
        <w:bidi w:val="0"/>
        <w:adjustRightInd/>
        <w:snapToGrid w:val="0"/>
        <w:spacing w:line="55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一、财政拨款：单位从同级财政部门取得的各类财政拨款，包括一般公共预算拨款、政府性基金预算拨款、国有资本经营预算拨款。</w:t>
      </w:r>
    </w:p>
    <w:p>
      <w:pPr>
        <w:keepNext w:val="0"/>
        <w:keepLines w:val="0"/>
        <w:pageBreakBefore w:val="0"/>
        <w:widowControl w:val="0"/>
        <w:kinsoku/>
        <w:wordWrap/>
        <w:overflowPunct/>
        <w:topLinePunct w:val="0"/>
        <w:autoSpaceDE w:val="0"/>
        <w:autoSpaceDN w:val="0"/>
        <w:bidi w:val="0"/>
        <w:adjustRightInd/>
        <w:snapToGrid w:val="0"/>
        <w:spacing w:line="55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二、财政专户管理资金：缴入财政专户、实行专项管理的高中以上学费、住宿费、高校委托培养费、函大、电大、夜大及短训班培训费等教育收费。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val="0"/>
        <w:autoSpaceDN w:val="0"/>
        <w:bidi w:val="0"/>
        <w:adjustRightInd/>
        <w:snapToGrid w:val="0"/>
        <w:spacing w:line="55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三、单位资金：除财政拨款收入和财政专户管理资金以外的收入，包括事业收入（不含教育收费）、上级补助收入、附属单位上缴收入、事业单位经营收入及其他收入（包含债务收入、投资收益等）。</w:t>
      </w:r>
    </w:p>
    <w:p>
      <w:pPr>
        <w:keepNext w:val="0"/>
        <w:keepLines w:val="0"/>
        <w:pageBreakBefore w:val="0"/>
        <w:widowControl w:val="0"/>
        <w:kinsoku/>
        <w:wordWrap/>
        <w:overflowPunct/>
        <w:topLinePunct w:val="0"/>
        <w:autoSpaceDE w:val="0"/>
        <w:autoSpaceDN w:val="0"/>
        <w:bidi w:val="0"/>
        <w:adjustRightInd/>
        <w:snapToGrid w:val="0"/>
        <w:spacing w:line="55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五、基本支出：指为保障机构正常运转、完成工作任务而发生的人员支出和公用支出。</w:t>
      </w:r>
    </w:p>
    <w:p>
      <w:pPr>
        <w:keepNext w:val="0"/>
        <w:keepLines w:val="0"/>
        <w:pageBreakBefore w:val="0"/>
        <w:widowControl w:val="0"/>
        <w:kinsoku/>
        <w:wordWrap/>
        <w:overflowPunct/>
        <w:topLinePunct w:val="0"/>
        <w:autoSpaceDE w:val="0"/>
        <w:autoSpaceDN w:val="0"/>
        <w:bidi w:val="0"/>
        <w:adjustRightInd/>
        <w:snapToGrid w:val="0"/>
        <w:spacing w:line="55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六、项目支出：指在基本支出之外为完成特定工作任务和事业发展目标所发生的支出。</w:t>
      </w:r>
    </w:p>
    <w:p>
      <w:pPr>
        <w:keepNext w:val="0"/>
        <w:keepLines w:val="0"/>
        <w:pageBreakBefore w:val="0"/>
        <w:widowControl w:val="0"/>
        <w:kinsoku/>
        <w:wordWrap/>
        <w:overflowPunct/>
        <w:topLinePunct w:val="0"/>
        <w:autoSpaceDE w:val="0"/>
        <w:autoSpaceDN w:val="0"/>
        <w:bidi w:val="0"/>
        <w:adjustRightInd/>
        <w:snapToGrid w:val="0"/>
        <w:spacing w:line="55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snapToGrid w:val="0"/>
        <w:spacing w:line="55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keepNext w:val="0"/>
        <w:keepLines w:val="0"/>
        <w:pageBreakBefore w:val="0"/>
        <w:widowControl w:val="0"/>
        <w:kinsoku/>
        <w:wordWrap/>
        <w:overflowPunct/>
        <w:topLinePunct w:val="0"/>
        <w:bidi w:val="0"/>
        <w:adjustRightInd/>
        <w:ind w:left="0" w:leftChars="0" w:right="0" w:rightChars="0" w:firstLine="420" w:firstLineChars="200"/>
        <w:jc w:val="both"/>
        <w:textAlignment w:val="auto"/>
        <w:outlineLvl w:val="9"/>
      </w:pPr>
    </w:p>
    <w:sectPr>
      <w:footerReference r:id="rId3" w:type="default"/>
      <w:pgSz w:w="11906" w:h="16838"/>
      <w:pgMar w:top="1814"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2010609060101010101"/>
    <w:charset w:val="00"/>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07F90"/>
    <w:multiLevelType w:val="multilevel"/>
    <w:tmpl w:val="2D607F9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223D"/>
    <w:rsid w:val="00022543"/>
    <w:rsid w:val="00033E4D"/>
    <w:rsid w:val="00037A50"/>
    <w:rsid w:val="0007109B"/>
    <w:rsid w:val="00072156"/>
    <w:rsid w:val="00081D93"/>
    <w:rsid w:val="00093DC3"/>
    <w:rsid w:val="000B0B20"/>
    <w:rsid w:val="00101C39"/>
    <w:rsid w:val="001438F7"/>
    <w:rsid w:val="0015416E"/>
    <w:rsid w:val="001A2804"/>
    <w:rsid w:val="001A70E6"/>
    <w:rsid w:val="001A7A6C"/>
    <w:rsid w:val="001E322F"/>
    <w:rsid w:val="00227345"/>
    <w:rsid w:val="00265B50"/>
    <w:rsid w:val="00296A66"/>
    <w:rsid w:val="002D208C"/>
    <w:rsid w:val="002D303E"/>
    <w:rsid w:val="002D4BD5"/>
    <w:rsid w:val="0030206F"/>
    <w:rsid w:val="003124B2"/>
    <w:rsid w:val="00314358"/>
    <w:rsid w:val="00330DAD"/>
    <w:rsid w:val="003A5E89"/>
    <w:rsid w:val="003B67D7"/>
    <w:rsid w:val="003C4272"/>
    <w:rsid w:val="00411FE5"/>
    <w:rsid w:val="00450678"/>
    <w:rsid w:val="00456D9B"/>
    <w:rsid w:val="00474E93"/>
    <w:rsid w:val="004A18DE"/>
    <w:rsid w:val="004C576F"/>
    <w:rsid w:val="004F1EFC"/>
    <w:rsid w:val="00514D04"/>
    <w:rsid w:val="005169E6"/>
    <w:rsid w:val="00577122"/>
    <w:rsid w:val="00594806"/>
    <w:rsid w:val="005976CA"/>
    <w:rsid w:val="005B6824"/>
    <w:rsid w:val="005D1CB3"/>
    <w:rsid w:val="005D3F89"/>
    <w:rsid w:val="005E0593"/>
    <w:rsid w:val="00610E3A"/>
    <w:rsid w:val="0065228E"/>
    <w:rsid w:val="00682EBA"/>
    <w:rsid w:val="00684EC3"/>
    <w:rsid w:val="006954F3"/>
    <w:rsid w:val="00695678"/>
    <w:rsid w:val="006A2B4D"/>
    <w:rsid w:val="006E2750"/>
    <w:rsid w:val="006E578A"/>
    <w:rsid w:val="006E75D2"/>
    <w:rsid w:val="007236AE"/>
    <w:rsid w:val="0074721D"/>
    <w:rsid w:val="00760E78"/>
    <w:rsid w:val="0076256E"/>
    <w:rsid w:val="0077731D"/>
    <w:rsid w:val="00777D23"/>
    <w:rsid w:val="007818BF"/>
    <w:rsid w:val="007833C4"/>
    <w:rsid w:val="00790BFC"/>
    <w:rsid w:val="0079688E"/>
    <w:rsid w:val="007B223D"/>
    <w:rsid w:val="008050B6"/>
    <w:rsid w:val="00811311"/>
    <w:rsid w:val="0085074E"/>
    <w:rsid w:val="00865999"/>
    <w:rsid w:val="008F0675"/>
    <w:rsid w:val="008F6660"/>
    <w:rsid w:val="00905F9B"/>
    <w:rsid w:val="00911F9F"/>
    <w:rsid w:val="00917D05"/>
    <w:rsid w:val="00921D02"/>
    <w:rsid w:val="00935CBB"/>
    <w:rsid w:val="009D6EEE"/>
    <w:rsid w:val="00A04DA7"/>
    <w:rsid w:val="00A0553C"/>
    <w:rsid w:val="00A249DC"/>
    <w:rsid w:val="00A52637"/>
    <w:rsid w:val="00A52869"/>
    <w:rsid w:val="00AB517A"/>
    <w:rsid w:val="00B24509"/>
    <w:rsid w:val="00B40F05"/>
    <w:rsid w:val="00B550C2"/>
    <w:rsid w:val="00B64BAD"/>
    <w:rsid w:val="00B808E6"/>
    <w:rsid w:val="00BC6326"/>
    <w:rsid w:val="00BC79CE"/>
    <w:rsid w:val="00BF2D81"/>
    <w:rsid w:val="00BF6286"/>
    <w:rsid w:val="00C33C65"/>
    <w:rsid w:val="00C54B52"/>
    <w:rsid w:val="00C56710"/>
    <w:rsid w:val="00C61F3D"/>
    <w:rsid w:val="00C63ECE"/>
    <w:rsid w:val="00C65F1A"/>
    <w:rsid w:val="00CA6C13"/>
    <w:rsid w:val="00D03C9D"/>
    <w:rsid w:val="00D12042"/>
    <w:rsid w:val="00D23705"/>
    <w:rsid w:val="00D27655"/>
    <w:rsid w:val="00DB76F8"/>
    <w:rsid w:val="00DF019F"/>
    <w:rsid w:val="00E21B88"/>
    <w:rsid w:val="00E43E2B"/>
    <w:rsid w:val="00E54CC9"/>
    <w:rsid w:val="00E64FFE"/>
    <w:rsid w:val="00E73D44"/>
    <w:rsid w:val="00E87377"/>
    <w:rsid w:val="00EA06C6"/>
    <w:rsid w:val="00EB5DCE"/>
    <w:rsid w:val="00F04340"/>
    <w:rsid w:val="00F24DA4"/>
    <w:rsid w:val="00F47CA0"/>
    <w:rsid w:val="00F76F2D"/>
    <w:rsid w:val="00F83111"/>
    <w:rsid w:val="00F97EF9"/>
    <w:rsid w:val="00FB0594"/>
    <w:rsid w:val="00FC1CD6"/>
    <w:rsid w:val="00FE08A7"/>
    <w:rsid w:val="00FF6707"/>
    <w:rsid w:val="03CC25EB"/>
    <w:rsid w:val="414F1179"/>
    <w:rsid w:val="4BA2718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200" w:firstLineChars="200"/>
    </w:pPr>
    <w:rPr>
      <w:rFonts w:eastAsia="仿宋"/>
    </w:rPr>
  </w:style>
  <w:style w:type="paragraph" w:styleId="5">
    <w:name w:val="Balloon Text"/>
    <w:basedOn w:val="1"/>
    <w:link w:val="17"/>
    <w:unhideWhenUsed/>
    <w:qFormat/>
    <w:uiPriority w:val="99"/>
    <w:rPr>
      <w:rFonts w:ascii="Times New Roman" w:hAnsi="Times New Roman" w:eastAsia="宋体" w:cs="Times New Roman"/>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9">
    <w:name w:val="page number"/>
    <w:basedOn w:val="8"/>
    <w:uiPriority w:val="0"/>
  </w:style>
  <w:style w:type="table" w:styleId="11">
    <w:name w:val="Table Grid"/>
    <w:basedOn w:val="10"/>
    <w:qFormat/>
    <w:uiPriority w:val="0"/>
    <w:pPr>
      <w:widowControl w:val="0"/>
      <w:autoSpaceDE w:val="0"/>
      <w:autoSpaceDN w:val="0"/>
      <w:snapToGrid w:val="0"/>
      <w:spacing w:line="590" w:lineRule="atLeast"/>
      <w:ind w:firstLine="624"/>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rPr>
      <w:rFonts w:ascii="Cambria" w:hAnsi="Cambria" w:eastAsia="宋体" w:cs="Times New Roman"/>
      <w:sz w:val="24"/>
      <w:szCs w:val="24"/>
    </w:rPr>
  </w:style>
  <w:style w:type="paragraph" w:customStyle="1" w:styleId="13">
    <w:name w:val="标题1"/>
    <w:basedOn w:val="1"/>
    <w:next w:val="1"/>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kern w:val="0"/>
      <w:sz w:val="44"/>
      <w:szCs w:val="20"/>
    </w:rPr>
  </w:style>
  <w:style w:type="paragraph" w:customStyle="1" w:styleId="14">
    <w:name w:val="附件栏"/>
    <w:basedOn w:val="1"/>
    <w:qFormat/>
    <w:uiPriority w:val="0"/>
    <w:pPr>
      <w:autoSpaceDE w:val="0"/>
      <w:autoSpaceDN w:val="0"/>
      <w:snapToGrid w:val="0"/>
      <w:spacing w:line="590" w:lineRule="atLeast"/>
      <w:ind w:firstLine="624"/>
    </w:pPr>
    <w:rPr>
      <w:rFonts w:ascii="Times New Roman" w:hAnsi="Times New Roman" w:eastAsia="方正仿宋_GBK" w:cs="Times New Roman"/>
      <w:kern w:val="0"/>
      <w:sz w:val="32"/>
      <w:szCs w:val="20"/>
    </w:rPr>
  </w:style>
  <w:style w:type="character" w:customStyle="1" w:styleId="15">
    <w:name w:val="页眉 Char"/>
    <w:basedOn w:val="8"/>
    <w:link w:val="7"/>
    <w:qFormat/>
    <w:uiPriority w:val="99"/>
    <w:rPr>
      <w:rFonts w:ascii="Times New Roman" w:hAnsi="Times New Roman" w:eastAsia="宋体" w:cs="Times New Roman"/>
      <w:sz w:val="18"/>
      <w:szCs w:val="18"/>
    </w:rPr>
  </w:style>
  <w:style w:type="character" w:customStyle="1" w:styleId="16">
    <w:name w:val="页脚 Char"/>
    <w:basedOn w:val="8"/>
    <w:link w:val="6"/>
    <w:qFormat/>
    <w:uiPriority w:val="99"/>
    <w:rPr>
      <w:rFonts w:ascii="Times New Roman" w:hAnsi="Times New Roman" w:eastAsia="宋体" w:cs="Times New Roman"/>
      <w:sz w:val="18"/>
      <w:szCs w:val="18"/>
    </w:rPr>
  </w:style>
  <w:style w:type="character" w:customStyle="1" w:styleId="17">
    <w:name w:val="批注框文本 Char"/>
    <w:basedOn w:val="8"/>
    <w:link w:val="5"/>
    <w:semiHidden/>
    <w:qFormat/>
    <w:uiPriority w:val="99"/>
    <w:rPr>
      <w:rFonts w:ascii="Times New Roman" w:hAnsi="Times New Roman" w:eastAsia="宋体" w:cs="Times New Roman"/>
      <w:sz w:val="18"/>
      <w:szCs w:val="18"/>
    </w:rPr>
  </w:style>
  <w:style w:type="paragraph" w:customStyle="1" w:styleId="18">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F4F5D-2EDD-44D5-BD6A-89E3FF8C78E5}">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24</Pages>
  <Words>1502</Words>
  <Characters>8565</Characters>
  <Lines>71</Lines>
  <Paragraphs>20</Paragraphs>
  <ScaleCrop>false</ScaleCrop>
  <LinksUpToDate>false</LinksUpToDate>
  <CharactersWithSpaces>10047</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2019-12-19T08:49:00Z</dcterms:created>
  <dc:creator>陆开将 陆开将代(拟稿)</dc:creator>
  <cp:lastModifiedBy>测试单位(填报)</cp:lastModifiedBy>
  <cp:lastPrinted>2020-12-09T11:58:00Z</cp:lastPrinted>
  <dcterms:modified xsi:type="dcterms:W3CDTF">2021-02-10T02:49:19Z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