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00" w:lineRule="exact"/>
        <w:ind w:firstLine="0" w:firstLineChars="0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方正公文小标宋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镇（街道）应急管理体系运行图</w:t>
      </w:r>
    </w:p>
    <w:p>
      <w:pPr>
        <w:spacing w:line="24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  <w:r>
        <w:rPr>
          <w:rFonts w:ascii="方正小标宋简体" w:hAnsi="方正公文小标宋" w:eastAsia="方正小标宋简体" w:cs="方正小标宋简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10160</wp:posOffset>
            </wp:positionV>
            <wp:extent cx="4591050" cy="4787900"/>
            <wp:effectExtent l="0" t="0" r="0" b="0"/>
            <wp:wrapSquare wrapText="bothSides"/>
            <wp:docPr id="2" name="ECB019B1-382A-4266-B25C-5B523AA43C14-1" descr="C:/Users/NINGMEI/AppData/Local/Temp/wps.yQttAQ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NINGMEI/AppData/Local/Temp/wps.yQttAQ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32"/>
          <w:szCs w:val="32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44"/>
          <w:szCs w:val="44"/>
        </w:rPr>
      </w:pPr>
    </w:p>
    <w:p>
      <w:pPr>
        <w:spacing w:line="700" w:lineRule="exact"/>
        <w:jc w:val="left"/>
        <w:rPr>
          <w:rFonts w:ascii="方正小标宋简体" w:hAnsi="方正公文小标宋" w:eastAsia="方正小标宋简体" w:cs="方正小标宋简体"/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720" w:num="1"/>
          <w:rtlGutter w:val="0"/>
          <w:docGrid w:type="linesAndChars" w:linePitch="312" w:charSpace="0"/>
        </w:sectPr>
      </w:pPr>
    </w:p>
    <w:p>
      <w:pPr>
        <w:pStyle w:val="2"/>
        <w:adjustRightInd w:val="0"/>
        <w:snapToGrid w:val="0"/>
        <w:spacing w:line="400" w:lineRule="exact"/>
        <w:ind w:firstLine="0" w:firstLineChars="0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镇（街道）综合性应急救援队伍装备配备表</w:t>
      </w:r>
    </w:p>
    <w:p>
      <w:pPr>
        <w:spacing w:line="44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tbl>
      <w:tblPr>
        <w:tblStyle w:val="5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80"/>
        <w:gridCol w:w="4312"/>
        <w:gridCol w:w="120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装备器材名称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主要用途或技术性能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配备数量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基</w:t>
            </w:r>
          </w:p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</w:t>
            </w:r>
          </w:p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配</w:t>
            </w:r>
          </w:p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置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头  盔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抢险救援时头部的安全防护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1顶/人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6顶/队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警  棍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用于应对处置群体性突发事件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1套/人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6套/队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盾  牌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用于应对处置群体性突发事件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1副/人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6副/队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分体式雨衣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具备防水功能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1件/人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6件/队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雨  靴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抢险救援时脚部防护，具备绝缘功能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1双/人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6双/人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防护手套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抢险救援作业时手部防护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1副/人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6副/队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强光手电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抢险救援现场作业时的照明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10支/队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手持电台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抢险救援现场作业时的通讯联络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6个/队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铁锹（铁镐）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抢险救援挖掘作业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1件/人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各类警示牌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用于事故灾害现场警戒警示，分为有毒、易爆、泄漏、爆炸、危险等五种标志，图案由反光材料制成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隔离警示带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用于事故灾害现场警戒警示，双面反光，每盘长度≥500米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2盘/队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正压式空气</w:t>
            </w:r>
          </w:p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呼吸器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用于救援人员在充满浓烟、毒气、蒸汽或缺氧的恶劣环境下安全地进行抢险救援工作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2套/队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自救式呼吸器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用于缺氧或有毒现场作业时呼吸防护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2套/队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防护服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用于身体防护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5套/队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手持扩音器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用于事故现场指挥，功率≥10瓦，同时具备警报功能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2个/队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医药急救箱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用于现场紧急救护，盛放常规外伤和化学伤害急救所需的敷料、药品和器械等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1个/队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车  辆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用于运送救援人员、装备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救援背包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用于存放个人防护装备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1个/人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水域较多的区域需增配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冲锋舟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用于水域救援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1艘/队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救生衣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水域救援时防止溺水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1件/人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救生绳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用于水域救援，长度≥100米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1根/队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救生圈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用于水域救援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3个/队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救生抛投器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用于远距离抛投救生绳和救生圈，抛投距离≥40米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1个/队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手抬泵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3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用于排水作业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2台/队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森林防火重点区域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需增配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水  壶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饮水或浸湿毛巾自救时用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1个/人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毛  巾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自救或流汗时用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2条/人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阻燃服装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灭火时的身体防护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1 套/人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风力灭火机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用于地表或燃烧高度≤1.5米的森林火灾扑救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5台/队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灭火弹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用于森林火灾的扑救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油锯、割灌机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用于森林火灾开辟隔离带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砍  刀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用于上山扑火时清理通道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危化品企业较多的区域需增配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化学防护服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用于处置危化品事故时的身体防护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3套/队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酸碱类自吸泵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用于倒灌作业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防爆型自吸泵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用于倒灌作业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危化品吸收、收集设备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用于收集泄漏危化品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便携危险化学品检测片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用于快速探测周围环境中的有毒化学气体或蒸汽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防爆型强光照明手电，移动照明灯组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用于危化品事故现场的照明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防爆型通讯器材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用于危化品事故现场的通讯联络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按需配备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-260350</wp:posOffset>
              </wp:positionH>
              <wp:positionV relativeFrom="paragraph">
                <wp:posOffset>-1217930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0.5pt;margin-top:-95.9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0CcWmtgAAAALAQAADwAAAAAAAAABACAAAAAi&#10;AAAAZHJzL2Rvd25yZXYueG1sUEsBAhQAFAAAAAgAh07iQJ3yLafRAQAApwMAAA4AAAAAAAAAAQAg&#10;AAAAJwEAAGRycy9lMm9Eb2MueG1sUEsFBgAAAAAGAAYAWQEAAGo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WI1NDUyNWE4Njk0OTZlNTBjZTQ2NWY4YmIwNWEifQ=="/>
  </w:docVars>
  <w:rsids>
    <w:rsidRoot w:val="076C3E32"/>
    <w:rsid w:val="076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 w:val="0"/>
      <w:ind w:firstLine="200" w:firstLineChars="200"/>
      <w:jc w:val="both"/>
    </w:pPr>
    <w:rPr>
      <w:rFonts w:ascii="宋体" w:hAnsi="Courier New" w:eastAsia="宋体" w:cs="Courier New"/>
      <w:spacing w:val="4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2022-11-16T01:40:00Z</dcterms:created>
  <dc:creator>应急管理局</dc:creator>
  <cp:lastModifiedBy>应急管理局</cp:lastModifiedBy>
  <dcterms:modified xsi:type="dcterms:W3CDTF">2022-11-16T01:41:00Z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4F39DEB1D73E412D8C680C4519904A5B</vt:lpwstr>
  </property>
</Properties>
</file>