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jc w:val="center"/>
      </w:pPr>
      <w:bookmarkStart w:id="2" w:name="_GoBack"/>
      <w:bookmarkEnd w:id="2"/>
      <w:r>
        <w:t xml:space="preserve"> </w:t>
      </w:r>
    </w:p>
    <w:p>
      <w:pPr>
        <w:overflowPunct w:val="0"/>
        <w:spacing w:line="574" w:lineRule="exact"/>
        <w:ind w:firstLine="0" w:firstLineChars="0"/>
        <w:jc w:val="center"/>
        <w:rPr>
          <w:rFonts w:ascii="Times New Roman" w:hAnsi="Times New Roman" w:eastAsia="方正小标宋_GBK"/>
          <w:color w:val="000000"/>
          <w:sz w:val="44"/>
          <w:szCs w:val="44"/>
        </w:rPr>
      </w:pPr>
      <w:bookmarkStart w:id="0" w:name="Content"/>
      <w:r>
        <w:rPr>
          <w:rFonts w:ascii="Times New Roman" w:hAnsi="Times New Roman" w:eastAsia="方正小标宋_GBK"/>
          <w:color w:val="000000"/>
          <w:sz w:val="44"/>
          <w:szCs w:val="44"/>
        </w:rPr>
        <w:t>关于组织</w:t>
      </w:r>
      <w:r>
        <w:rPr>
          <w:rFonts w:hint="eastAsia" w:ascii="Times New Roman" w:hAnsi="Times New Roman" w:eastAsia="方正小标宋_GBK"/>
          <w:color w:val="000000"/>
          <w:sz w:val="44"/>
          <w:szCs w:val="44"/>
        </w:rPr>
        <w:t>开展</w:t>
      </w:r>
      <w:r>
        <w:rPr>
          <w:rFonts w:ascii="Times New Roman" w:hAnsi="Times New Roman" w:eastAsia="方正小标宋_GBK"/>
          <w:color w:val="000000"/>
          <w:sz w:val="44"/>
          <w:szCs w:val="44"/>
        </w:rPr>
        <w:t>2022年度省级专精特新中小</w:t>
      </w:r>
      <w:r>
        <w:rPr>
          <w:rFonts w:hint="eastAsia" w:ascii="Times New Roman" w:hAnsi="Times New Roman" w:eastAsia="方正小标宋_GBK"/>
          <w:color w:val="000000"/>
          <w:sz w:val="44"/>
          <w:szCs w:val="44"/>
        </w:rPr>
        <w:t>企业申报认定和2019年度省级专精特新企业</w:t>
      </w:r>
    </w:p>
    <w:p>
      <w:pPr>
        <w:overflowPunct w:val="0"/>
        <w:spacing w:line="574" w:lineRule="exact"/>
        <w:ind w:firstLine="0" w:firstLineChars="0"/>
        <w:jc w:val="center"/>
        <w:rPr>
          <w:rFonts w:ascii="Times New Roman" w:hAnsi="Times New Roman" w:eastAsia="方正小标宋_GBK"/>
          <w:color w:val="000000"/>
          <w:sz w:val="44"/>
          <w:szCs w:val="44"/>
        </w:rPr>
      </w:pPr>
      <w:r>
        <w:rPr>
          <w:rFonts w:ascii="Times New Roman" w:hAnsi="Times New Roman" w:eastAsia="方正小标宋_GBK"/>
          <w:color w:val="000000"/>
          <w:sz w:val="44"/>
          <w:szCs w:val="44"/>
        </w:rPr>
        <w:t>复核的通知</w:t>
      </w:r>
    </w:p>
    <w:p>
      <w:pPr>
        <w:overflowPunct w:val="0"/>
        <w:spacing w:line="574" w:lineRule="exact"/>
        <w:ind w:firstLine="640"/>
        <w:rPr>
          <w:rFonts w:ascii="Times New Roman" w:hAnsi="Times New Roman" w:eastAsia="方正仿宋_GBK"/>
          <w:color w:val="000000"/>
          <w:sz w:val="32"/>
          <w:szCs w:val="32"/>
        </w:rPr>
      </w:pPr>
    </w:p>
    <w:p>
      <w:pPr>
        <w:overflowPunct w:val="0"/>
        <w:spacing w:line="574" w:lineRule="exact"/>
        <w:ind w:firstLine="0" w:firstLineChars="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各镇、开发区经发局：</w:t>
      </w:r>
    </w:p>
    <w:p>
      <w:pPr>
        <w:widowControl/>
        <w:spacing w:line="574" w:lineRule="exact"/>
        <w:ind w:firstLine="64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根据省</w:t>
      </w:r>
      <w:r>
        <w:rPr>
          <w:rFonts w:ascii="仿宋_GB2312" w:hAnsi="仿宋_GB2312" w:eastAsia="仿宋_GB2312" w:cs="仿宋_GB2312"/>
          <w:color w:val="000000"/>
          <w:sz w:val="32"/>
          <w:szCs w:val="32"/>
        </w:rPr>
        <w:t>工信厅</w:t>
      </w:r>
      <w:r>
        <w:rPr>
          <w:rFonts w:hint="eastAsia" w:ascii="仿宋_GB2312" w:hAnsi="仿宋_GB2312" w:eastAsia="仿宋_GB2312" w:cs="仿宋_GB2312"/>
          <w:color w:val="000000"/>
          <w:sz w:val="32"/>
          <w:szCs w:val="32"/>
        </w:rPr>
        <w:t>《关于组织开展2022年度省级专精特新中小企业申报认定和 2019 年度省级专精特新企业复核工作的通知》（苏工信中小〔2022〕496号)文件精神及市工</w:t>
      </w:r>
      <w:r>
        <w:rPr>
          <w:rFonts w:ascii="仿宋_GB2312" w:hAnsi="仿宋_GB2312" w:eastAsia="仿宋_GB2312" w:cs="仿宋_GB2312"/>
          <w:color w:val="000000"/>
          <w:sz w:val="32"/>
          <w:szCs w:val="32"/>
        </w:rPr>
        <w:t>信</w:t>
      </w:r>
      <w:r>
        <w:rPr>
          <w:rFonts w:hint="eastAsia" w:ascii="仿宋_GB2312" w:hAnsi="仿宋_GB2312" w:eastAsia="仿宋_GB2312" w:cs="仿宋_GB2312"/>
          <w:color w:val="000000"/>
          <w:sz w:val="32"/>
          <w:szCs w:val="32"/>
        </w:rPr>
        <w:t>局相关要求，现就组织开展2022年度省级专精特新中小企业申</w:t>
      </w:r>
      <w:r>
        <w:rPr>
          <w:rFonts w:ascii="仿宋_GB2312" w:hAnsi="仿宋_GB2312" w:eastAsia="仿宋_GB2312" w:cs="仿宋_GB2312"/>
          <w:color w:val="000000"/>
          <w:sz w:val="32"/>
          <w:szCs w:val="32"/>
        </w:rPr>
        <w:t>报</w:t>
      </w:r>
      <w:r>
        <w:rPr>
          <w:rFonts w:hint="eastAsia" w:ascii="仿宋_GB2312" w:hAnsi="仿宋_GB2312" w:eastAsia="仿宋_GB2312" w:cs="仿宋_GB2312"/>
          <w:color w:val="000000"/>
          <w:sz w:val="32"/>
          <w:szCs w:val="32"/>
        </w:rPr>
        <w:t>认定和2019年度省级专精特新小巨人企业复核工作有关事项通知如下：</w:t>
      </w:r>
    </w:p>
    <w:p>
      <w:pPr>
        <w:overflowPunct w:val="0"/>
        <w:spacing w:line="574" w:lineRule="exact"/>
        <w:ind w:firstLine="640"/>
        <w:rPr>
          <w:rFonts w:ascii="黑体" w:hAnsi="黑体" w:eastAsia="黑体" w:cs="黑体"/>
          <w:color w:val="000000"/>
          <w:sz w:val="32"/>
          <w:szCs w:val="32"/>
        </w:rPr>
      </w:pPr>
      <w:r>
        <w:rPr>
          <w:rFonts w:hint="eastAsia" w:ascii="黑体" w:hAnsi="黑体" w:eastAsia="黑体" w:cs="黑体"/>
          <w:color w:val="000000"/>
          <w:sz w:val="32"/>
          <w:szCs w:val="32"/>
        </w:rPr>
        <w:t>一、2022年度省级专精特新中小企业申报认定</w:t>
      </w:r>
    </w:p>
    <w:p>
      <w:pPr>
        <w:overflowPunct w:val="0"/>
        <w:spacing w:line="574" w:lineRule="exact"/>
        <w:ind w:firstLine="643"/>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（一）推荐范围</w:t>
      </w:r>
    </w:p>
    <w:p>
      <w:pPr>
        <w:overflowPunct w:val="0"/>
        <w:spacing w:line="574"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申报企业须为中小企业（符合《中小企业划型标准规定》（工信部联企业﹝2011﹞300号）），在武进</w:t>
      </w:r>
      <w:r>
        <w:rPr>
          <w:rFonts w:ascii="仿宋_GB2312" w:hAnsi="仿宋_GB2312" w:eastAsia="仿宋_GB2312" w:cs="仿宋_GB2312"/>
          <w:color w:val="000000"/>
          <w:sz w:val="32"/>
          <w:szCs w:val="32"/>
        </w:rPr>
        <w:t>区</w:t>
      </w:r>
      <w:r>
        <w:rPr>
          <w:rFonts w:hint="eastAsia" w:ascii="仿宋_GB2312" w:hAnsi="仿宋_GB2312" w:eastAsia="仿宋_GB2312" w:cs="仿宋_GB2312"/>
          <w:color w:val="000000"/>
          <w:sz w:val="32"/>
          <w:szCs w:val="32"/>
        </w:rPr>
        <w:t>注册，具有独立法人资格，经营和信用状况良好，纳入“江苏省千企升级平台”培育库的在库企业，且经市工</w:t>
      </w:r>
      <w:r>
        <w:rPr>
          <w:rFonts w:ascii="仿宋_GB2312" w:hAnsi="仿宋_GB2312" w:eastAsia="仿宋_GB2312" w:cs="仿宋_GB2312"/>
          <w:color w:val="000000"/>
          <w:sz w:val="32"/>
          <w:szCs w:val="32"/>
        </w:rPr>
        <w:t>信局</w:t>
      </w:r>
      <w:r>
        <w:rPr>
          <w:rFonts w:hint="eastAsia" w:ascii="仿宋_GB2312" w:hAnsi="仿宋_GB2312" w:eastAsia="仿宋_GB2312" w:cs="仿宋_GB2312"/>
          <w:color w:val="000000"/>
          <w:sz w:val="32"/>
          <w:szCs w:val="32"/>
        </w:rPr>
        <w:t>公告的创新型中小企业。</w:t>
      </w:r>
    </w:p>
    <w:p>
      <w:pPr>
        <w:overflowPunct w:val="0"/>
        <w:spacing w:line="574" w:lineRule="exact"/>
        <w:ind w:firstLine="643"/>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（二）推荐条件</w:t>
      </w:r>
    </w:p>
    <w:p>
      <w:pPr>
        <w:overflowPunct w:val="0"/>
        <w:spacing w:line="574"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符合《办法》明确的“专精特新中小企业认定标准”规定条件（附件5），相关概念需按《部分指标和要求说明》（附件6）严格把握。其中，评价指标第三项“特色化指标（满分15分）”设定为：</w:t>
      </w:r>
    </w:p>
    <w:p>
      <w:pPr>
        <w:overflowPunct w:val="0"/>
        <w:spacing w:line="574" w:lineRule="exact"/>
        <w:ind w:firstLine="643"/>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1.技术和产品有自身独特优势，主导产品在细分市场占有率和排名（满分6分）</w:t>
      </w:r>
    </w:p>
    <w:p>
      <w:pPr>
        <w:overflowPunct w:val="0"/>
        <w:spacing w:line="574"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A.全国细分市场占有率10%以上（6分）</w:t>
      </w:r>
    </w:p>
    <w:p>
      <w:pPr>
        <w:overflowPunct w:val="0"/>
        <w:spacing w:line="574"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B.全国细分市场占有率5%－10%或排名前十名或进入龙头企业供应链体系（4分）</w:t>
      </w:r>
    </w:p>
    <w:p>
      <w:pPr>
        <w:overflowPunct w:val="0"/>
        <w:spacing w:line="574"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C.全省细分市场占有率排名前三名（2分）</w:t>
      </w:r>
    </w:p>
    <w:p>
      <w:pPr>
        <w:overflowPunct w:val="0"/>
        <w:spacing w:line="574"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D.不属于上述情况（0分）</w:t>
      </w:r>
    </w:p>
    <w:p>
      <w:pPr>
        <w:overflowPunct w:val="0"/>
        <w:spacing w:line="574" w:lineRule="exact"/>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2.企业和产品所属产业领域竞争优势（每满足一项按级别加分，满分9分）</w:t>
      </w:r>
    </w:p>
    <w:p>
      <w:pPr>
        <w:overflowPunct w:val="0"/>
        <w:spacing w:line="574"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A.符合制造强国战略十大重点产业领域或网络强国建设的信息基础设施、关键核心技术、网络安全、数据安全领域（3分）</w:t>
      </w:r>
    </w:p>
    <w:p>
      <w:pPr>
        <w:overflowPunct w:val="0"/>
        <w:spacing w:line="574"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B.分布在国家级先进制造业集群或</w:t>
      </w:r>
      <w:r>
        <w:rPr>
          <w:rFonts w:hint="eastAsia" w:ascii="仿宋_GB2312" w:hAnsi="仿宋_GB2312" w:eastAsia="仿宋_GB2312" w:cs="仿宋_GB2312"/>
          <w:vanish/>
          <w:sz w:val="32"/>
          <w:szCs w:val="32"/>
        </w:rPr>
        <w:t>颁布分布分布</w:t>
      </w:r>
      <w:r>
        <w:rPr>
          <w:rFonts w:hint="eastAsia" w:ascii="仿宋_GB2312" w:hAnsi="仿宋_GB2312" w:eastAsia="仿宋_GB2312" w:cs="仿宋_GB2312"/>
          <w:sz w:val="32"/>
          <w:szCs w:val="32"/>
        </w:rPr>
        <w:t>省16个先进制造业集群；其中，国家级3分，省级2分。（按最高级别加分，最高得3分）</w:t>
      </w:r>
    </w:p>
    <w:p>
      <w:pPr>
        <w:overflowPunct w:val="0"/>
        <w:spacing w:line="574"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C.分布在江苏省“531”重点产业链；其中卓越提升产业链3分、优势产业链2分、重点产业链1分。（按最高级别加分，最高得3分）</w:t>
      </w:r>
    </w:p>
    <w:p>
      <w:pPr>
        <w:overflowPunct w:val="0"/>
        <w:spacing w:line="574" w:lineRule="exact"/>
        <w:ind w:firstLine="643"/>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（三）申报方式及审核流程</w:t>
      </w:r>
    </w:p>
    <w:p>
      <w:pPr>
        <w:overflowPunct w:val="0"/>
        <w:spacing w:line="574" w:lineRule="exact"/>
        <w:ind w:firstLine="643"/>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sz w:val="32"/>
          <w:szCs w:val="32"/>
        </w:rPr>
        <w:t>1.企业申报。</w:t>
      </w:r>
      <w:r>
        <w:rPr>
          <w:rFonts w:hint="eastAsia" w:ascii="仿宋_GB2312" w:hAnsi="仿宋_GB2312" w:eastAsia="仿宋_GB2312" w:cs="仿宋_GB2312"/>
          <w:sz w:val="32"/>
          <w:szCs w:val="32"/>
        </w:rPr>
        <w:t>申报采取线上填报与线下报送相结合的方式。企业</w:t>
      </w:r>
      <w:r>
        <w:rPr>
          <w:rFonts w:hint="eastAsia" w:ascii="仿宋_GB2312" w:hAnsi="仿宋_GB2312" w:eastAsia="仿宋_GB2312" w:cs="仿宋_GB2312"/>
          <w:color w:val="000000"/>
          <w:kern w:val="0"/>
          <w:sz w:val="32"/>
          <w:szCs w:val="32"/>
        </w:rPr>
        <w:t>按照自愿申报原则，进入“江苏省中小企业公共服务平台－江苏省千企升级平台”（https://www.smejs.cn/qqapply.aspx），按照“专精特新中小企业认定申报”步骤和要求填报《江苏省专精特新中小企业申报书》（附件1），于</w:t>
      </w:r>
      <w:r>
        <w:rPr>
          <w:rFonts w:hint="eastAsia" w:ascii="仿宋_GB2312" w:hAnsi="仿宋_GB2312" w:eastAsia="仿宋_GB2312" w:cs="仿宋_GB2312"/>
          <w:kern w:val="0"/>
          <w:sz w:val="32"/>
          <w:szCs w:val="32"/>
        </w:rPr>
        <w:t>10月17日前完成并提交（10月17日24：00时系统将关闭企业填报提交功能）。</w:t>
      </w:r>
      <w:r>
        <w:rPr>
          <w:rFonts w:hint="eastAsia" w:ascii="仿宋_GB2312" w:hAnsi="仿宋_GB2312" w:eastAsia="仿宋_GB2312" w:cs="仿宋_GB2312"/>
          <w:color w:val="000000"/>
          <w:kern w:val="0"/>
          <w:sz w:val="32"/>
          <w:szCs w:val="32"/>
        </w:rPr>
        <w:t>纸质</w:t>
      </w:r>
      <w:r>
        <w:rPr>
          <w:rFonts w:hint="eastAsia" w:ascii="仿宋_GB2312" w:hAnsi="仿宋_GB2312" w:eastAsia="仿宋_GB2312" w:cs="仿宋_GB2312"/>
          <w:kern w:val="0"/>
          <w:sz w:val="32"/>
          <w:szCs w:val="32"/>
        </w:rPr>
        <w:t>申报书需由企业通过线上系统直接打印，用普通A3白纸双面骑马钉</w:t>
      </w:r>
      <w:r>
        <w:rPr>
          <w:rFonts w:hint="eastAsia" w:ascii="仿宋_GB2312" w:hAnsi="仿宋_GB2312" w:eastAsia="仿宋_GB2312" w:cs="仿宋_GB2312"/>
          <w:color w:val="000000"/>
          <w:kern w:val="0"/>
          <w:sz w:val="32"/>
          <w:szCs w:val="32"/>
        </w:rPr>
        <w:t>单独装订并签字盖章，相关纸质佐证材料另行胶装成一册。企业须对线上线下报送材料的真实性、一致性和准确性负责。</w:t>
      </w:r>
    </w:p>
    <w:p>
      <w:pPr>
        <w:overflowPunct w:val="0"/>
        <w:spacing w:line="574" w:lineRule="exact"/>
        <w:ind w:firstLine="643"/>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sz w:val="32"/>
          <w:szCs w:val="32"/>
        </w:rPr>
        <w:t>2.审核认定。</w:t>
      </w:r>
      <w:r>
        <w:rPr>
          <w:rFonts w:hint="eastAsia" w:ascii="仿宋_GB2312" w:hAnsi="仿宋_GB2312" w:eastAsia="仿宋_GB2312" w:cs="仿宋_GB2312"/>
          <w:color w:val="000000"/>
          <w:kern w:val="0"/>
          <w:sz w:val="32"/>
          <w:szCs w:val="32"/>
        </w:rPr>
        <w:t>省工信厅将按程序组织对各地推荐申报的企业进行形式审查、专家评审等综合性审核后，择优确定认定企业名单。认定结果将在省工信厅门户网站进行公示公告，有效期为3年。</w:t>
      </w:r>
    </w:p>
    <w:p>
      <w:pPr>
        <w:overflowPunct w:val="0"/>
        <w:spacing w:line="574" w:lineRule="exact"/>
        <w:ind w:firstLine="640"/>
        <w:rPr>
          <w:rFonts w:ascii="黑体" w:hAnsi="黑体" w:eastAsia="黑体" w:cs="黑体"/>
          <w:color w:val="000000"/>
          <w:sz w:val="32"/>
          <w:szCs w:val="32"/>
        </w:rPr>
      </w:pPr>
      <w:r>
        <w:rPr>
          <w:rFonts w:hint="eastAsia" w:ascii="黑体" w:hAnsi="黑体" w:eastAsia="黑体" w:cs="黑体"/>
          <w:color w:val="000000"/>
          <w:sz w:val="32"/>
          <w:szCs w:val="32"/>
        </w:rPr>
        <w:t>二、2019年度省级专精特新小巨人企业复核</w:t>
      </w:r>
    </w:p>
    <w:p>
      <w:pPr>
        <w:overflowPunct w:val="0"/>
        <w:spacing w:line="574" w:lineRule="exact"/>
        <w:ind w:firstLine="643"/>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（一）复核范围。</w:t>
      </w:r>
      <w:r>
        <w:rPr>
          <w:rFonts w:hint="eastAsia" w:ascii="仿宋_GB2312" w:hAnsi="仿宋_GB2312" w:eastAsia="仿宋_GB2312" w:cs="仿宋_GB2312"/>
          <w:color w:val="000000"/>
          <w:sz w:val="32"/>
          <w:szCs w:val="32"/>
        </w:rPr>
        <w:t>2019年度被认定为省级专精特新小巨人的企业（详见附件8），已纳入“江苏省千企升级平台”培育库并按要求进行年度数据更新且通过区工信局审核。</w:t>
      </w:r>
    </w:p>
    <w:p>
      <w:pPr>
        <w:overflowPunct w:val="0"/>
        <w:spacing w:line="574" w:lineRule="exact"/>
        <w:ind w:firstLine="643"/>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（二）复核初审。</w:t>
      </w:r>
      <w:r>
        <w:rPr>
          <w:rFonts w:hint="eastAsia" w:ascii="仿宋_GB2312" w:hAnsi="仿宋_GB2312" w:eastAsia="仿宋_GB2312" w:cs="仿宋_GB2312"/>
          <w:color w:val="000000"/>
          <w:sz w:val="32"/>
          <w:szCs w:val="32"/>
        </w:rPr>
        <w:t>各复核企业进行线上填报《江苏省专精特新中小企业复核申请书》（附件2），并报送有关纸质材料。市工</w:t>
      </w:r>
      <w:r>
        <w:rPr>
          <w:rFonts w:ascii="仿宋_GB2312" w:hAnsi="仿宋_GB2312" w:eastAsia="仿宋_GB2312" w:cs="仿宋_GB2312"/>
          <w:color w:val="000000"/>
          <w:sz w:val="32"/>
          <w:szCs w:val="32"/>
        </w:rPr>
        <w:t>信局</w:t>
      </w:r>
      <w:r>
        <w:rPr>
          <w:rFonts w:hint="eastAsia" w:ascii="仿宋_GB2312" w:hAnsi="仿宋_GB2312" w:eastAsia="仿宋_GB2312" w:cs="仿宋_GB2312"/>
          <w:color w:val="000000"/>
          <w:sz w:val="32"/>
          <w:szCs w:val="32"/>
        </w:rPr>
        <w:t>将通过现场调研与材料审核相结合的方式，按照认定条件和标准逐一审查、核实后，进行复核初审，提出推荐意见。</w:t>
      </w:r>
    </w:p>
    <w:p>
      <w:pPr>
        <w:overflowPunct w:val="0"/>
        <w:spacing w:line="574" w:lineRule="exact"/>
        <w:ind w:firstLine="643"/>
        <w:rPr>
          <w:rFonts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（三）审核公布。</w:t>
      </w:r>
      <w:r>
        <w:rPr>
          <w:rFonts w:hint="eastAsia" w:ascii="仿宋_GB2312" w:hAnsi="仿宋_GB2312" w:eastAsia="仿宋_GB2312" w:cs="仿宋_GB2312"/>
          <w:color w:val="000000"/>
          <w:kern w:val="0"/>
          <w:sz w:val="32"/>
          <w:szCs w:val="32"/>
        </w:rPr>
        <w:t>省工信厅将组织对各地复核推荐企业进行形式审核，视情进行实地抽查核实，研究并公布通过复核的专精特新中小企业名单。</w:t>
      </w:r>
    </w:p>
    <w:p>
      <w:pPr>
        <w:pStyle w:val="5"/>
        <w:overflowPunct w:val="0"/>
        <w:spacing w:line="574"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三、有关要求</w:t>
      </w:r>
    </w:p>
    <w:p>
      <w:pPr>
        <w:overflowPunct w:val="0"/>
        <w:spacing w:line="574"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（一）省专精特新中小企业认定申报和复核均由企业自愿申请，企业如实填报并提供真实资料，相关申请均不收取任何费用。</w:t>
      </w:r>
    </w:p>
    <w:p>
      <w:pPr>
        <w:overflowPunct w:val="0"/>
        <w:spacing w:line="574"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对于已获批国家专精特新“小巨人”企业或已列为省专精特新中小企业（包含往年认定的省专精特新产品、小巨人企业）且在有效期内的，不再推荐；对于与上述企业存在控股关系（持股或被持股比例超过50%）的企业，以及同一集团内生产相似主导产品企业，不予推荐。</w:t>
      </w:r>
    </w:p>
    <w:p>
      <w:pPr>
        <w:kinsoku/>
        <w:overflowPunct w:val="0"/>
        <w:spacing w:line="574" w:lineRule="exact"/>
        <w:ind w:firstLine="64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（三）请</w:t>
      </w:r>
      <w:r>
        <w:rPr>
          <w:rFonts w:ascii="仿宋_GB2312" w:hAnsi="仿宋_GB2312" w:eastAsia="仿宋_GB2312" w:cs="仿宋_GB2312"/>
          <w:color w:val="000000"/>
          <w:kern w:val="0"/>
          <w:sz w:val="32"/>
          <w:szCs w:val="32"/>
        </w:rPr>
        <w:t>各镇、开</w:t>
      </w:r>
      <w:r>
        <w:rPr>
          <w:rFonts w:hint="eastAsia" w:ascii="仿宋_GB2312" w:hAnsi="仿宋_GB2312" w:eastAsia="仿宋_GB2312" w:cs="仿宋_GB2312"/>
          <w:color w:val="000000"/>
          <w:kern w:val="0"/>
          <w:sz w:val="32"/>
          <w:szCs w:val="32"/>
        </w:rPr>
        <w:t>发</w:t>
      </w:r>
      <w:r>
        <w:rPr>
          <w:rFonts w:ascii="仿宋_GB2312" w:hAnsi="仿宋_GB2312" w:eastAsia="仿宋_GB2312" w:cs="仿宋_GB2312"/>
          <w:color w:val="000000"/>
          <w:kern w:val="0"/>
          <w:sz w:val="32"/>
          <w:szCs w:val="32"/>
        </w:rPr>
        <w:t>区经发局高</w:t>
      </w:r>
      <w:r>
        <w:rPr>
          <w:rFonts w:hint="eastAsia" w:ascii="仿宋_GB2312" w:hAnsi="仿宋_GB2312" w:eastAsia="仿宋_GB2312" w:cs="仿宋_GB2312"/>
          <w:color w:val="000000"/>
          <w:kern w:val="0"/>
          <w:sz w:val="32"/>
          <w:szCs w:val="32"/>
        </w:rPr>
        <w:t>度</w:t>
      </w:r>
      <w:r>
        <w:rPr>
          <w:rFonts w:ascii="仿宋_GB2312" w:hAnsi="仿宋_GB2312" w:eastAsia="仿宋_GB2312" w:cs="仿宋_GB2312"/>
          <w:color w:val="000000"/>
          <w:kern w:val="0"/>
          <w:sz w:val="32"/>
          <w:szCs w:val="32"/>
        </w:rPr>
        <w:t>重视</w:t>
      </w:r>
      <w:r>
        <w:rPr>
          <w:rFonts w:hint="eastAsia" w:ascii="仿宋_GB2312" w:hAnsi="仿宋_GB2312" w:eastAsia="仿宋_GB2312" w:cs="仿宋_GB2312"/>
          <w:color w:val="000000"/>
          <w:kern w:val="0"/>
          <w:sz w:val="32"/>
          <w:szCs w:val="32"/>
        </w:rPr>
        <w:t>，</w:t>
      </w:r>
      <w:r>
        <w:rPr>
          <w:rFonts w:ascii="仿宋_GB2312" w:hAnsi="仿宋_GB2312" w:eastAsia="仿宋_GB2312" w:cs="仿宋_GB2312"/>
          <w:color w:val="000000"/>
          <w:kern w:val="0"/>
          <w:sz w:val="32"/>
          <w:szCs w:val="32"/>
        </w:rPr>
        <w:t>组织符合条件的企业积极申报</w:t>
      </w:r>
      <w:r>
        <w:rPr>
          <w:rFonts w:hint="eastAsia" w:ascii="仿宋_GB2312" w:hAnsi="仿宋_GB2312" w:eastAsia="仿宋_GB2312" w:cs="仿宋_GB2312"/>
          <w:color w:val="000000"/>
          <w:kern w:val="0"/>
          <w:sz w:val="32"/>
          <w:szCs w:val="32"/>
        </w:rPr>
        <w:t>认定</w:t>
      </w:r>
      <w:r>
        <w:rPr>
          <w:rFonts w:ascii="仿宋_GB2312" w:hAnsi="仿宋_GB2312" w:eastAsia="仿宋_GB2312" w:cs="仿宋_GB2312"/>
          <w:color w:val="000000"/>
          <w:kern w:val="0"/>
          <w:sz w:val="32"/>
          <w:szCs w:val="32"/>
        </w:rPr>
        <w:t>和参与复核，</w:t>
      </w:r>
      <w:r>
        <w:rPr>
          <w:rFonts w:hint="eastAsia" w:ascii="仿宋_GB2312" w:hAnsi="仿宋_GB2312" w:eastAsia="仿宋_GB2312" w:cs="仿宋_GB2312"/>
          <w:color w:val="000000"/>
          <w:kern w:val="0"/>
          <w:sz w:val="32"/>
          <w:szCs w:val="32"/>
        </w:rPr>
        <w:t>通知</w:t>
      </w:r>
      <w:r>
        <w:rPr>
          <w:rFonts w:ascii="仿宋_GB2312" w:hAnsi="仿宋_GB2312" w:eastAsia="仿宋_GB2312" w:cs="仿宋_GB2312"/>
          <w:color w:val="000000"/>
          <w:kern w:val="0"/>
          <w:sz w:val="32"/>
          <w:szCs w:val="32"/>
        </w:rPr>
        <w:t>企业加入武进区省级专精特新中小企业申报工作群（</w:t>
      </w:r>
      <w:r>
        <w:rPr>
          <w:rFonts w:hint="eastAsia" w:ascii="仿宋_GB2312" w:hAnsi="仿宋_GB2312" w:eastAsia="仿宋_GB2312" w:cs="仿宋_GB2312"/>
          <w:color w:val="000000"/>
          <w:sz w:val="32"/>
          <w:szCs w:val="32"/>
        </w:rPr>
        <w:t>QQ群：829320821）</w:t>
      </w:r>
      <w:r>
        <w:rPr>
          <w:rFonts w:ascii="仿宋_GB2312" w:hAnsi="仿宋_GB2312" w:eastAsia="仿宋_GB2312" w:cs="仿宋_GB2312"/>
          <w:color w:val="000000"/>
          <w:sz w:val="32"/>
          <w:szCs w:val="32"/>
        </w:rPr>
        <w:t>。</w:t>
      </w:r>
    </w:p>
    <w:p>
      <w:pPr>
        <w:kinsoku/>
        <w:overflowPunct w:val="0"/>
        <w:spacing w:line="574" w:lineRule="exact"/>
        <w:ind w:firstLine="64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w:t>
      </w:r>
      <w:r>
        <w:rPr>
          <w:rFonts w:ascii="仿宋_GB2312" w:hAnsi="仿宋_GB2312" w:eastAsia="仿宋_GB2312" w:cs="仿宋_GB2312"/>
          <w:color w:val="000000"/>
          <w:kern w:val="0"/>
          <w:sz w:val="32"/>
          <w:szCs w:val="32"/>
        </w:rPr>
        <w:t>四）</w:t>
      </w:r>
      <w:r>
        <w:rPr>
          <w:rFonts w:hint="eastAsia" w:ascii="仿宋_GB2312" w:hAnsi="仿宋_GB2312" w:eastAsia="仿宋_GB2312" w:cs="仿宋_GB2312"/>
          <w:color w:val="000000"/>
          <w:kern w:val="0"/>
          <w:sz w:val="32"/>
          <w:szCs w:val="32"/>
        </w:rPr>
        <w:t>企业于2022年10月17日前线上提交并线下报送纸质材料〔一式贰份，包括：企业申报书（附件1）/企业复核申请书（附件2）、相关佐证材料（</w:t>
      </w:r>
      <w:r>
        <w:rPr>
          <w:rFonts w:ascii="仿宋_GB2312" w:hAnsi="仿宋_GB2312" w:eastAsia="仿宋_GB2312" w:cs="仿宋_GB2312"/>
          <w:color w:val="000000"/>
          <w:kern w:val="0"/>
          <w:sz w:val="32"/>
          <w:szCs w:val="32"/>
        </w:rPr>
        <w:t>胶装成册）、</w:t>
      </w:r>
      <w:r>
        <w:rPr>
          <w:rFonts w:hint="eastAsia" w:ascii="仿宋_GB2312" w:hAnsi="仿宋_GB2312" w:eastAsia="仿宋_GB2312" w:cs="仿宋_GB2312"/>
          <w:color w:val="000000"/>
          <w:kern w:val="0"/>
          <w:sz w:val="32"/>
          <w:szCs w:val="32"/>
        </w:rPr>
        <w:t>推荐汇总表（附件3或4）〕至</w:t>
      </w:r>
      <w:r>
        <w:rPr>
          <w:rFonts w:hint="eastAsia" w:ascii="仿宋_GB2312" w:hAnsi="仿宋_GB2312" w:eastAsia="仿宋_GB2312" w:cs="仿宋_GB2312"/>
          <w:color w:val="000000"/>
          <w:sz w:val="32"/>
          <w:szCs w:val="32"/>
        </w:rPr>
        <w:t>武进区工信局中小科（</w:t>
      </w:r>
      <w:r>
        <w:rPr>
          <w:rFonts w:ascii="仿宋_GB2312" w:hAnsi="仿宋_GB2312" w:eastAsia="仿宋_GB2312" w:cs="仿宋_GB2312"/>
          <w:color w:val="000000"/>
          <w:sz w:val="32"/>
          <w:szCs w:val="32"/>
        </w:rPr>
        <w:t>区政府</w:t>
      </w:r>
      <w:r>
        <w:rPr>
          <w:rFonts w:hint="eastAsia" w:ascii="仿宋_GB2312" w:hAnsi="仿宋_GB2312" w:eastAsia="仿宋_GB2312" w:cs="仿宋_GB2312"/>
          <w:color w:val="000000"/>
          <w:sz w:val="32"/>
          <w:szCs w:val="32"/>
        </w:rPr>
        <w:t>3号</w:t>
      </w:r>
      <w:r>
        <w:rPr>
          <w:rFonts w:ascii="仿宋_GB2312" w:hAnsi="仿宋_GB2312" w:eastAsia="仿宋_GB2312" w:cs="仿宋_GB2312"/>
          <w:color w:val="000000"/>
          <w:sz w:val="32"/>
          <w:szCs w:val="32"/>
        </w:rPr>
        <w:t>楼</w:t>
      </w:r>
      <w:r>
        <w:rPr>
          <w:rFonts w:hint="eastAsia" w:ascii="仿宋_GB2312" w:hAnsi="仿宋_GB2312" w:eastAsia="仿宋_GB2312" w:cs="仿宋_GB2312"/>
          <w:color w:val="000000"/>
          <w:sz w:val="32"/>
          <w:szCs w:val="32"/>
        </w:rPr>
        <w:t>211）。</w:t>
      </w:r>
      <w:r>
        <w:rPr>
          <w:rFonts w:hint="eastAsia" w:ascii="仿宋_GB2312" w:hAnsi="仿宋_GB2312" w:eastAsia="仿宋_GB2312" w:cs="仿宋_GB2312"/>
          <w:color w:val="000000"/>
          <w:kern w:val="0"/>
          <w:sz w:val="32"/>
          <w:szCs w:val="32"/>
        </w:rPr>
        <w:t>材料电子版（word文档）请同步报送至</w:t>
      </w:r>
      <w:r>
        <w:rPr>
          <w:rFonts w:hint="eastAsia" w:ascii="仿宋_GB2312" w:hAnsi="仿宋_GB2312" w:eastAsia="仿宋_GB2312" w:cs="仿宋_GB2312"/>
          <w:color w:val="333333"/>
          <w:sz w:val="33"/>
          <w:szCs w:val="33"/>
          <w:shd w:val="clear" w:color="auto" w:fill="FFFFFF"/>
        </w:rPr>
        <w:t>wjqzxk@163.com</w:t>
      </w:r>
      <w:r>
        <w:rPr>
          <w:rFonts w:hint="eastAsia" w:ascii="仿宋_GB2312" w:hAnsi="仿宋_GB2312" w:eastAsia="仿宋_GB2312" w:cs="仿宋_GB2312"/>
          <w:color w:val="000000"/>
          <w:kern w:val="0"/>
          <w:sz w:val="32"/>
          <w:szCs w:val="32"/>
        </w:rPr>
        <w:t>。</w:t>
      </w:r>
    </w:p>
    <w:p>
      <w:pPr>
        <w:overflowPunct w:val="0"/>
        <w:spacing w:line="574"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联系方式：  86310167、86310329</w:t>
      </w:r>
    </w:p>
    <w:p>
      <w:pPr>
        <w:overflowPunct w:val="0"/>
        <w:spacing w:line="574" w:lineRule="exact"/>
        <w:ind w:firstLine="0" w:firstLineChars="0"/>
        <w:rPr>
          <w:rFonts w:ascii="仿宋_GB2312" w:hAnsi="仿宋_GB2312" w:eastAsia="仿宋_GB2312" w:cs="仿宋_GB2312"/>
          <w:color w:val="000000"/>
          <w:kern w:val="0"/>
          <w:sz w:val="32"/>
          <w:szCs w:val="32"/>
        </w:rPr>
      </w:pPr>
    </w:p>
    <w:p>
      <w:pPr>
        <w:overflowPunct w:val="0"/>
        <w:spacing w:line="574" w:lineRule="exact"/>
        <w:ind w:firstLine="64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附件：1.江苏省专精特新中小企业申报书</w:t>
      </w:r>
    </w:p>
    <w:p>
      <w:pPr>
        <w:overflowPunct w:val="0"/>
        <w:spacing w:line="574" w:lineRule="exact"/>
        <w:ind w:firstLine="1600" w:firstLineChars="5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sz w:val="32"/>
          <w:szCs w:val="32"/>
        </w:rPr>
        <w:t>江苏省专精特新中小企业复核申请书</w:t>
      </w:r>
    </w:p>
    <w:p>
      <w:pPr>
        <w:overflowPunct w:val="0"/>
        <w:spacing w:line="574" w:lineRule="exact"/>
        <w:ind w:firstLine="1600" w:firstLineChars="5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3.2022年度省专精特新中小企业申报推荐汇总表</w:t>
      </w:r>
    </w:p>
    <w:p>
      <w:pPr>
        <w:overflowPunct w:val="0"/>
        <w:spacing w:line="574" w:lineRule="exact"/>
        <w:ind w:firstLine="1600" w:firstLineChars="5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4.2019年度省级专精特新小巨人企业复核申请推荐</w:t>
      </w:r>
    </w:p>
    <w:p>
      <w:pPr>
        <w:overflowPunct w:val="0"/>
        <w:spacing w:line="574" w:lineRule="exact"/>
        <w:ind w:firstLine="0" w:firstLineChars="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汇总表</w:t>
      </w:r>
    </w:p>
    <w:p>
      <w:pPr>
        <w:overflowPunct w:val="0"/>
        <w:spacing w:line="574" w:lineRule="exact"/>
        <w:ind w:firstLine="1600" w:firstLineChars="5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5.专精特新中小企业申报认定标准（江苏省）</w:t>
      </w:r>
    </w:p>
    <w:p>
      <w:pPr>
        <w:overflowPunct w:val="0"/>
        <w:spacing w:line="574" w:lineRule="exact"/>
        <w:ind w:firstLine="1600" w:firstLineChars="5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6.部分指标和要求说明</w:t>
      </w:r>
    </w:p>
    <w:p>
      <w:pPr>
        <w:overflowPunct w:val="0"/>
        <w:spacing w:line="574" w:lineRule="exact"/>
        <w:ind w:firstLine="1600" w:firstLineChars="5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7.需要提供的</w:t>
      </w:r>
      <w:r>
        <w:rPr>
          <w:rFonts w:hint="eastAsia" w:ascii="仿宋_GB2312" w:hAnsi="仿宋_GB2312" w:eastAsia="仿宋_GB2312" w:cs="仿宋_GB2312"/>
          <w:color w:val="000000"/>
          <w:sz w:val="32"/>
          <w:szCs w:val="32"/>
        </w:rPr>
        <w:t>佐证材料清单</w:t>
      </w:r>
      <w:bookmarkEnd w:id="0"/>
    </w:p>
    <w:p>
      <w:pPr>
        <w:overflowPunct w:val="0"/>
        <w:spacing w:line="574" w:lineRule="exact"/>
        <w:ind w:firstLine="1600" w:firstLineChars="5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8.2019年度省级专精特新企业名单</w:t>
      </w:r>
    </w:p>
    <w:p>
      <w:pPr>
        <w:spacing w:line="574" w:lineRule="exact"/>
        <w:ind w:firstLine="640"/>
        <w:rPr>
          <w:rFonts w:ascii="仿宋_GB2312" w:hAnsi="仿宋_GB2312" w:eastAsia="仿宋_GB2312" w:cs="仿宋_GB2312"/>
          <w:sz w:val="32"/>
          <w:szCs w:val="32"/>
        </w:rPr>
      </w:pPr>
    </w:p>
    <w:p>
      <w:pPr>
        <w:spacing w:line="574" w:lineRule="exact"/>
        <w:ind w:firstLine="4160" w:firstLineChars="1300"/>
        <w:rPr>
          <w:rFonts w:ascii="仿宋_GB2312" w:hAnsi="仿宋_GB2312" w:eastAsia="仿宋_GB2312" w:cs="仿宋_GB2312"/>
          <w:sz w:val="32"/>
          <w:szCs w:val="32"/>
        </w:rPr>
      </w:pPr>
      <w:r>
        <w:rPr>
          <w:rFonts w:hint="eastAsia" w:ascii="仿宋_GB2312" w:hAnsi="仿宋_GB2312" w:eastAsia="仿宋_GB2312" w:cs="仿宋_GB2312"/>
          <w:sz w:val="32"/>
          <w:szCs w:val="32"/>
        </w:rPr>
        <w:t>常州市武进区工业和信息化局</w:t>
      </w:r>
    </w:p>
    <w:p>
      <w:pPr>
        <w:spacing w:line="574" w:lineRule="exact"/>
        <w:ind w:firstLine="5120" w:firstLineChars="1600"/>
        <w:rPr>
          <w:rFonts w:ascii="仿宋_GB2312" w:hAnsi="仿宋_GB2312" w:eastAsia="仿宋_GB2312" w:cs="仿宋_GB2312"/>
          <w:sz w:val="32"/>
          <w:szCs w:val="32"/>
          <w:lang w:val="en"/>
        </w:rPr>
      </w:pPr>
      <w:bookmarkStart w:id="1" w:name="签发日期"/>
      <w:r>
        <w:rPr>
          <w:rFonts w:hint="eastAsia" w:ascii="仿宋_GB2312" w:hAnsi="仿宋_GB2312" w:eastAsia="仿宋_GB2312" w:cs="仿宋_GB2312"/>
          <w:sz w:val="32"/>
          <w:szCs w:val="32"/>
          <w:lang w:val="en"/>
        </w:rPr>
        <w:t>2022年9月2</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
        </w:rPr>
        <w:t>日</w:t>
      </w:r>
    </w:p>
    <w:bookmarkEnd w:id="1"/>
    <w:p>
      <w:pPr>
        <w:adjustRightInd w:val="0"/>
        <w:snapToGrid w:val="0"/>
        <w:spacing w:line="540" w:lineRule="exact"/>
        <w:ind w:firstLine="0" w:firstLineChars="0"/>
        <w:rPr>
          <w:rFonts w:ascii="仿宋_GB2312" w:hAnsi="仿宋_GB2312" w:eastAsia="仿宋_GB2312" w:cs="仿宋_GB2312"/>
          <w:sz w:val="32"/>
          <w:szCs w:val="32"/>
        </w:rPr>
      </w:pPr>
    </w:p>
    <w:p>
      <w:pPr>
        <w:adjustRightInd w:val="0"/>
        <w:snapToGrid w:val="0"/>
        <w:spacing w:line="540" w:lineRule="exact"/>
        <w:ind w:firstLine="0" w:firstLineChars="0"/>
        <w:rPr>
          <w:rFonts w:ascii="仿宋_GB2312" w:hAnsi="仿宋_GB2312" w:eastAsia="仿宋_GB2312" w:cs="仿宋_GB2312"/>
          <w:sz w:val="32"/>
          <w:szCs w:val="32"/>
        </w:rPr>
      </w:pPr>
    </w:p>
    <w:p>
      <w:pPr>
        <w:adjustRightInd w:val="0"/>
        <w:snapToGrid w:val="0"/>
        <w:spacing w:line="540" w:lineRule="exact"/>
        <w:ind w:firstLine="0" w:firstLineChars="0"/>
        <w:rPr>
          <w:rFonts w:ascii="仿宋_GB2312" w:hAnsi="仿宋_GB2312" w:eastAsia="仿宋_GB2312" w:cs="仿宋_GB2312"/>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0" w:firstLineChars="0"/>
        <w:rPr>
          <w:rFonts w:ascii="Times New Roman" w:hAnsi="Times New Roman" w:eastAsia="仿宋"/>
          <w:sz w:val="32"/>
          <w:szCs w:val="32"/>
        </w:rPr>
      </w:pPr>
    </w:p>
    <w:p>
      <w:pPr>
        <w:adjustRightInd w:val="0"/>
        <w:snapToGrid w:val="0"/>
        <w:spacing w:line="540" w:lineRule="exact"/>
        <w:ind w:firstLine="294" w:firstLineChars="105"/>
        <w:outlineLvl w:val="0"/>
      </w:pPr>
      <w:r>
        <w:rPr>
          <w:rFonts w:ascii="Times New Roman" w:hAnsi="Times New Roman" w:eastAsia="方正仿宋_GBK"/>
          <w:sz w:val="28"/>
          <w:szCs w:val="28"/>
        </w:rPr>
        <mc:AlternateContent>
          <mc:Choice Requires="wps">
            <w:drawing>
              <wp:anchor distT="0" distB="0" distL="114300" distR="114300" simplePos="0" relativeHeight="251660288" behindDoc="0" locked="0" layoutInCell="1" allowOverlap="1">
                <wp:simplePos x="0" y="0"/>
                <wp:positionH relativeFrom="margin">
                  <wp:posOffset>-8255</wp:posOffset>
                </wp:positionH>
                <wp:positionV relativeFrom="paragraph">
                  <wp:posOffset>2540</wp:posOffset>
                </wp:positionV>
                <wp:extent cx="5659120" cy="34290"/>
                <wp:effectExtent l="0" t="6350" r="17780" b="1651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5658929" cy="34505"/>
                        </a:xfrm>
                        <a:prstGeom prst="line">
                          <a:avLst/>
                        </a:prstGeom>
                        <a:noFill/>
                        <a:ln w="12700">
                          <a:solidFill>
                            <a:srgbClr val="000000"/>
                          </a:solidFill>
                          <a:round/>
                        </a:ln>
                      </wps:spPr>
                      <wps:bodyPr/>
                    </wps:wsp>
                  </a:graphicData>
                </a:graphic>
              </wp:anchor>
            </w:drawing>
          </mc:Choice>
          <mc:Fallback>
            <w:pict>
              <v:line id="_x0000_s1026" o:spid="_x0000_s1026" o:spt="20" style="position:absolute;left:0pt;flip:y;margin-left:-0.65pt;margin-top:0.2pt;height:2.7pt;width:445.6pt;mso-position-horizontal-relative:margin;z-index:251660288;mso-width-relative:page;mso-height-relative:page;" filled="f" stroked="t" coordsize="21600,21600" o:gfxdata="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VHhvrWAAAABQEAAA8AAAAAAAAAAQAgAAAAIgAAAGRycy9kb3ducmV2LnhtbFBLAQIUABQAAAAI&#10;AIdO4kBhjUMT7wEAALkDAAAOAAAAAAAAAAEAIAAAACUBAABkcnMvZTJvRG9jLnhtbFBLBQYAAAAA&#10;BgAGAFkBAACGBQAAAAA=&#10;">
                <v:fill on="f" focussize="0,0"/>
                <v:stroke weight="1pt" color="#000000" joinstyle="round"/>
                <v:imagedata o:title=""/>
                <o:lock v:ext="edit" aspectratio="f"/>
              </v:line>
            </w:pict>
          </mc:Fallback>
        </mc:AlternateContent>
      </w:r>
      <w:r>
        <w:rPr>
          <w:rFonts w:ascii="Times New Roman" w:hAnsi="Times New Roman" w:eastAsia="方正仿宋_GBK"/>
          <w:sz w:val="28"/>
          <w:szCs w:val="28"/>
        </w:rPr>
        <mc:AlternateContent>
          <mc:Choice Requires="wps">
            <w:drawing>
              <wp:anchor distT="0" distB="0" distL="114300" distR="114300" simplePos="0" relativeHeight="251659264" behindDoc="0" locked="0" layoutInCell="1" allowOverlap="1">
                <wp:simplePos x="0" y="0"/>
                <wp:positionH relativeFrom="margin">
                  <wp:posOffset>-7620</wp:posOffset>
                </wp:positionH>
                <wp:positionV relativeFrom="paragraph">
                  <wp:posOffset>371475</wp:posOffset>
                </wp:positionV>
                <wp:extent cx="5660390" cy="26035"/>
                <wp:effectExtent l="0" t="6350" r="16510" b="2476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V="1">
                          <a:off x="0" y="0"/>
                          <a:ext cx="5660534" cy="26251"/>
                        </a:xfrm>
                        <a:prstGeom prst="line">
                          <a:avLst/>
                        </a:prstGeom>
                        <a:noFill/>
                        <a:ln w="12700">
                          <a:solidFill>
                            <a:srgbClr val="000000"/>
                          </a:solidFill>
                          <a:round/>
                        </a:ln>
                      </wps:spPr>
                      <wps:bodyPr/>
                    </wps:wsp>
                  </a:graphicData>
                </a:graphic>
              </wp:anchor>
            </w:drawing>
          </mc:Choice>
          <mc:Fallback>
            <w:pict>
              <v:line id="_x0000_s1026" o:spid="_x0000_s1026" o:spt="20" style="position:absolute;left:0pt;flip:y;margin-left:-0.6pt;margin-top:29.25pt;height:2.05pt;width:445.7pt;mso-position-horizontal-relative:margin;z-index:251659264;mso-width-relative:page;mso-height-relative:page;" filled="f" stroked="t" coordsize="21600,21600" o:gfxdata="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wahqdgAAAAIAQAADwAAAAAAAAABACAAAAAiAAAAZHJzL2Rvd25yZXYueG1sUEsBAhQAFAAA&#10;AAgAh07iQEn/t8bvAQAAuQMAAA4AAAAAAAAAAQAgAAAAJwEAAGRycy9lMm9Eb2MueG1sUEsFBgAA&#10;AAAGAAYAWQEAAIgFAAAAAA==&#10;">
                <v:fill on="f" focussize="0,0"/>
                <v:stroke weight="1pt" color="#000000" joinstyle="round"/>
                <v:imagedata o:title=""/>
                <o:lock v:ext="edit" aspectratio="f"/>
              </v:line>
            </w:pict>
          </mc:Fallback>
        </mc:AlternateContent>
      </w:r>
      <w:r>
        <w:rPr>
          <w:rFonts w:hint="eastAsia" w:ascii="Times New Roman" w:hAnsi="Times New Roman" w:eastAsia="方正仿宋_GBK"/>
          <w:sz w:val="28"/>
          <w:szCs w:val="28"/>
        </w:rPr>
        <w:t>武进区工信局</w:t>
      </w:r>
      <w:r>
        <w:rPr>
          <w:rFonts w:ascii="Times New Roman" w:hAnsi="Times New Roman" w:eastAsia="方正仿宋_GBK"/>
          <w:sz w:val="28"/>
          <w:szCs w:val="28"/>
        </w:rPr>
        <w:t xml:space="preserve">                  </w:t>
      </w:r>
      <w:r>
        <w:rPr>
          <w:rFonts w:hint="eastAsia" w:ascii="Times New Roman" w:hAnsi="Times New Roman" w:eastAsia="方正仿宋_GBK"/>
          <w:sz w:val="28"/>
          <w:szCs w:val="28"/>
        </w:rPr>
        <w:t xml:space="preserve"> </w:t>
      </w:r>
      <w:r>
        <w:rPr>
          <w:rFonts w:ascii="Times New Roman" w:hAnsi="Times New Roman" w:eastAsia="方正仿宋_GBK"/>
          <w:sz w:val="28"/>
          <w:szCs w:val="28"/>
        </w:rPr>
        <w:t xml:space="preserve">   </w:t>
      </w:r>
      <w:r>
        <w:rPr>
          <w:rFonts w:hint="eastAsia" w:ascii="Times New Roman" w:hAnsi="Times New Roman" w:eastAsia="方正仿宋_GBK"/>
          <w:sz w:val="28"/>
          <w:szCs w:val="28"/>
        </w:rPr>
        <w:t xml:space="preserve">  </w:t>
      </w:r>
      <w:r>
        <w:rPr>
          <w:rFonts w:ascii="Times New Roman" w:hAnsi="Times New Roman" w:eastAsia="方正仿宋_GBK"/>
          <w:sz w:val="28"/>
          <w:szCs w:val="28"/>
        </w:rPr>
        <w:t xml:space="preserve"> </w:t>
      </w:r>
      <w:r>
        <w:rPr>
          <w:rFonts w:hint="eastAsia" w:ascii="Times New Roman" w:hAnsi="Times New Roman" w:eastAsia="方正仿宋_GBK"/>
          <w:sz w:val="28"/>
          <w:szCs w:val="28"/>
        </w:rPr>
        <w:t>2022年9月22日</w:t>
      </w:r>
      <w:r>
        <w:rPr>
          <w:rFonts w:ascii="Times New Roman" w:hAnsi="Times New Roman" w:eastAsia="方正仿宋_GBK"/>
          <w:sz w:val="28"/>
          <w:szCs w:val="28"/>
        </w:rPr>
        <w:t>印发</w:t>
      </w:r>
    </w:p>
    <w:sectPr>
      <w:headerReference r:id="rId7" w:type="first"/>
      <w:footerReference r:id="rId10" w:type="first"/>
      <w:headerReference r:id="rId5" w:type="default"/>
      <w:footerReference r:id="rId8" w:type="default"/>
      <w:headerReference r:id="rId6" w:type="even"/>
      <w:footerReference r:id="rId9" w:type="even"/>
      <w:pgSz w:w="11906" w:h="16838"/>
      <w:pgMar w:top="2001" w:right="1474" w:bottom="1984" w:left="1474" w:header="851" w:footer="1134"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_GBK">
    <w:panose1 w:val="02000000000000000000"/>
    <w:charset w:val="86"/>
    <w:family w:val="script"/>
    <w:pitch w:val="default"/>
    <w:sig w:usb0="A00002BF" w:usb1="38CF7CFA" w:usb2="00082016"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168" w:rightChars="80"/>
      <w:jc w:val="right"/>
      <w:rPr>
        <w:sz w:val="28"/>
        <w:szCs w:val="28"/>
      </w:rPr>
    </w:pPr>
    <w:r>
      <w:rPr>
        <w:rFonts w:hint="eastAsia"/>
        <w:kern w:val="0"/>
        <w:sz w:val="28"/>
        <w:szCs w:val="28"/>
      </w:rPr>
      <w:t>—</w:t>
    </w:r>
    <w:r>
      <w:rPr>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1</w:t>
    </w:r>
    <w:r>
      <w:rPr>
        <w:kern w:val="0"/>
        <w:sz w:val="28"/>
        <w:szCs w:val="28"/>
      </w:rPr>
      <w:fldChar w:fldCharType="end"/>
    </w:r>
    <w:r>
      <w:rPr>
        <w:kern w:val="0"/>
        <w:sz w:val="28"/>
        <w:szCs w:val="28"/>
      </w:rPr>
      <w:t xml:space="preserve"> </w:t>
    </w:r>
    <w:r>
      <w:rPr>
        <w:rFonts w:hint="eastAsia"/>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beforeLines="50"/>
      <w:jc w:val="both"/>
    </w:pPr>
    <w:r>
      <w:rPr>
        <w:rFonts w:hint="eastAsia"/>
        <w:kern w:val="0"/>
        <w:sz w:val="28"/>
        <w:szCs w:val="28"/>
      </w:rPr>
      <w:t xml:space="preserve">  —</w:t>
    </w:r>
    <w:r>
      <w:rPr>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2</w:t>
    </w:r>
    <w:r>
      <w:rPr>
        <w:kern w:val="0"/>
        <w:sz w:val="28"/>
        <w:szCs w:val="28"/>
      </w:rPr>
      <w:fldChar w:fldCharType="end"/>
    </w:r>
    <w:r>
      <w:rPr>
        <w:kern w:val="0"/>
        <w:sz w:val="28"/>
        <w:szCs w:val="28"/>
      </w:rPr>
      <w:t xml:space="preserve"> </w:t>
    </w:r>
    <w:r>
      <w:rPr>
        <w:rFonts w:hint="eastAsia"/>
        <w:kern w:val="0"/>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20" w:firstLineChars="150"/>
      <w:jc w:val="right"/>
    </w:pPr>
    <w:r>
      <w:rPr>
        <w:rFonts w:hint="eastAsia"/>
        <w:kern w:val="0"/>
        <w:sz w:val="28"/>
        <w:szCs w:val="28"/>
      </w:rPr>
      <w:t>—</w:t>
    </w:r>
    <w:r>
      <w:rPr>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1</w:t>
    </w:r>
    <w:r>
      <w:rPr>
        <w:kern w:val="0"/>
        <w:sz w:val="28"/>
        <w:szCs w:val="28"/>
      </w:rPr>
      <w:fldChar w:fldCharType="end"/>
    </w:r>
    <w:r>
      <w:rPr>
        <w:kern w:val="0"/>
        <w:sz w:val="28"/>
        <w:szCs w:val="28"/>
      </w:rPr>
      <w:t xml:space="preserve"> </w:t>
    </w:r>
    <w:r>
      <w:rPr>
        <w:rFonts w:hint="eastAsia"/>
        <w:kern w:val="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evenAndOddHeaders w:val="1"/>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YzUyZjcxMjhhZmYxOWVlMGZjZWM1ZjJiZGE1OWMifQ=="/>
  </w:docVars>
  <w:rsids>
    <w:rsidRoot w:val="7EDA770B"/>
    <w:rsid w:val="00104A87"/>
    <w:rsid w:val="003402C8"/>
    <w:rsid w:val="008E3EE0"/>
    <w:rsid w:val="00A90655"/>
    <w:rsid w:val="00B03066"/>
    <w:rsid w:val="00C17457"/>
    <w:rsid w:val="00DC7185"/>
    <w:rsid w:val="00E105F8"/>
    <w:rsid w:val="00F100DF"/>
    <w:rsid w:val="00FD185F"/>
    <w:rsid w:val="19B64245"/>
    <w:rsid w:val="24025899"/>
    <w:rsid w:val="34FA4B55"/>
    <w:rsid w:val="397FC26D"/>
    <w:rsid w:val="44FF693B"/>
    <w:rsid w:val="5BDE1071"/>
    <w:rsid w:val="5DF7442D"/>
    <w:rsid w:val="5FCB6119"/>
    <w:rsid w:val="676F0B23"/>
    <w:rsid w:val="6DC7C7C3"/>
    <w:rsid w:val="6DDF4948"/>
    <w:rsid w:val="6FFF7D76"/>
    <w:rsid w:val="72BF7A14"/>
    <w:rsid w:val="73597E3B"/>
    <w:rsid w:val="73CE9428"/>
    <w:rsid w:val="74B7859F"/>
    <w:rsid w:val="7A544943"/>
    <w:rsid w:val="7EDA770B"/>
    <w:rsid w:val="7EFEF736"/>
    <w:rsid w:val="7F7F3D2C"/>
    <w:rsid w:val="BA7B23C6"/>
    <w:rsid w:val="BFFFB2D2"/>
    <w:rsid w:val="C6F23BAB"/>
    <w:rsid w:val="CCF776A4"/>
    <w:rsid w:val="F6A7AFBA"/>
    <w:rsid w:val="F7EF24A5"/>
    <w:rsid w:val="FA7D7CD0"/>
    <w:rsid w:val="FCFD1D61"/>
    <w:rsid w:val="FD3F3FB3"/>
    <w:rsid w:val="FF356F1B"/>
    <w:rsid w:val="FFAFF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Arial" w:hAnsi="Arial"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0"/>
    <w:pPr>
      <w:jc w:val="left"/>
    </w:pPr>
    <w:rPr>
      <w:lang w:val="zh-CN"/>
    </w:rPr>
  </w:style>
  <w:style w:type="paragraph" w:styleId="3">
    <w:name w:val="Body Text"/>
    <w:basedOn w:val="1"/>
    <w:next w:val="4"/>
    <w:link w:val="27"/>
    <w:qFormat/>
    <w:uiPriority w:val="0"/>
    <w:pPr>
      <w:spacing w:line="240" w:lineRule="auto"/>
      <w:ind w:firstLine="0" w:firstLineChars="0"/>
    </w:pPr>
    <w:rPr>
      <w:rFonts w:ascii="Times New Roman" w:hAnsi="Times New Roman"/>
      <w:szCs w:val="22"/>
    </w:rPr>
  </w:style>
  <w:style w:type="paragraph" w:styleId="4">
    <w:name w:val="Title"/>
    <w:basedOn w:val="1"/>
    <w:next w:val="1"/>
    <w:link w:val="28"/>
    <w:qFormat/>
    <w:uiPriority w:val="0"/>
    <w:pPr>
      <w:spacing w:line="240" w:lineRule="auto"/>
      <w:ind w:firstLine="0" w:firstLineChars="0"/>
      <w:jc w:val="center"/>
      <w:outlineLvl w:val="0"/>
    </w:pPr>
    <w:rPr>
      <w:rFonts w:ascii="方正小标宋_GBK" w:hAnsi="方正小标宋_GBK" w:eastAsia="方正小标宋_GBK" w:cs="方正小标宋_GBK"/>
      <w:sz w:val="44"/>
      <w:szCs w:val="44"/>
    </w:rPr>
  </w:style>
  <w:style w:type="paragraph" w:styleId="5">
    <w:name w:val="Plain Text"/>
    <w:basedOn w:val="1"/>
    <w:link w:val="21"/>
    <w:unhideWhenUsed/>
    <w:qFormat/>
    <w:uiPriority w:val="99"/>
    <w:pPr>
      <w:spacing w:line="240" w:lineRule="auto"/>
      <w:ind w:firstLine="0" w:firstLineChars="0"/>
    </w:pPr>
    <w:rPr>
      <w:rFonts w:ascii="宋体" w:hAnsi="Courier New"/>
      <w:szCs w:val="21"/>
      <w:lang w:val="zh-CN"/>
    </w:rPr>
  </w:style>
  <w:style w:type="paragraph" w:styleId="6">
    <w:name w:val="Balloon Text"/>
    <w:basedOn w:val="1"/>
    <w:link w:val="30"/>
    <w:qFormat/>
    <w:uiPriority w:val="99"/>
    <w:rPr>
      <w:sz w:val="18"/>
      <w:szCs w:val="18"/>
    </w:rPr>
  </w:style>
  <w:style w:type="paragraph" w:styleId="7">
    <w:name w:val="footer"/>
    <w:basedOn w:val="1"/>
    <w:link w:val="20"/>
    <w:qFormat/>
    <w:uiPriority w:val="99"/>
    <w:pPr>
      <w:tabs>
        <w:tab w:val="center" w:pos="4153"/>
        <w:tab w:val="right" w:pos="8306"/>
      </w:tabs>
      <w:snapToGrid w:val="0"/>
      <w:spacing w:line="240" w:lineRule="auto"/>
      <w:ind w:firstLine="0" w:firstLineChars="0"/>
      <w:jc w:val="left"/>
    </w:pPr>
    <w:rPr>
      <w:rFonts w:ascii="Times New Roman" w:hAnsi="Times New Roman" w:eastAsia="仿宋_GB2312"/>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spacing w:line="240" w:lineRule="auto"/>
      <w:jc w:val="center"/>
    </w:pPr>
    <w:rPr>
      <w:rFonts w:cstheme="minorBidi"/>
      <w:sz w:val="18"/>
      <w:szCs w:val="18"/>
    </w:rPr>
  </w:style>
  <w:style w:type="paragraph" w:styleId="9">
    <w:name w:val="footnote text"/>
    <w:basedOn w:val="1"/>
    <w:link w:val="31"/>
    <w:qFormat/>
    <w:uiPriority w:val="0"/>
    <w:pPr>
      <w:snapToGrid w:val="0"/>
      <w:spacing w:line="240" w:lineRule="auto"/>
      <w:ind w:firstLine="0" w:firstLineChars="0"/>
      <w:jc w:val="left"/>
    </w:pPr>
    <w:rPr>
      <w:rFonts w:ascii="Times New Roman" w:hAnsi="Times New Roman"/>
      <w:sz w:val="18"/>
      <w:szCs w:val="20"/>
    </w:rPr>
  </w:style>
  <w:style w:type="paragraph" w:styleId="10">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sz w:val="24"/>
    </w:rPr>
  </w:style>
  <w:style w:type="paragraph" w:styleId="11">
    <w:name w:val="annotation subject"/>
    <w:basedOn w:val="2"/>
    <w:next w:val="2"/>
    <w:link w:val="23"/>
    <w:qFormat/>
    <w:uiPriority w:val="99"/>
    <w:rPr>
      <w:b/>
      <w:bCs/>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rFonts w:ascii="Times New Roman" w:hAnsi="Times New Roman" w:eastAsia="宋体" w:cs="Times New Roman"/>
      <w:b/>
      <w:bCs/>
    </w:rPr>
  </w:style>
  <w:style w:type="character" w:styleId="16">
    <w:name w:val="Hyperlink"/>
    <w:qFormat/>
    <w:uiPriority w:val="0"/>
    <w:rPr>
      <w:rFonts w:ascii="Times New Roman" w:hAnsi="Times New Roman" w:eastAsia="宋体" w:cs="Times New Roman"/>
      <w:color w:val="0563C1"/>
      <w:u w:val="single"/>
    </w:rPr>
  </w:style>
  <w:style w:type="character" w:styleId="17">
    <w:name w:val="annotation reference"/>
    <w:qFormat/>
    <w:uiPriority w:val="0"/>
    <w:rPr>
      <w:rFonts w:ascii="Times New Roman" w:hAnsi="Times New Roman" w:eastAsia="宋体" w:cs="Times New Roman"/>
      <w:sz w:val="21"/>
      <w:szCs w:val="21"/>
    </w:rPr>
  </w:style>
  <w:style w:type="character" w:styleId="18">
    <w:name w:val="footnote reference"/>
    <w:qFormat/>
    <w:uiPriority w:val="0"/>
    <w:rPr>
      <w:rFonts w:ascii="Verdana" w:hAnsi="Verdana" w:eastAsia="宋体" w:cs="Verdana"/>
      <w:kern w:val="0"/>
      <w:sz w:val="20"/>
      <w:szCs w:val="20"/>
      <w:vertAlign w:val="superscript"/>
      <w:lang w:eastAsia="en-US"/>
    </w:rPr>
  </w:style>
  <w:style w:type="character" w:customStyle="1" w:styleId="19">
    <w:name w:val="页眉 字符"/>
    <w:link w:val="8"/>
    <w:qFormat/>
    <w:uiPriority w:val="99"/>
    <w:rPr>
      <w:rFonts w:ascii="Times New Roman" w:hAnsi="Times New Roman" w:eastAsia="宋体" w:cstheme="minorBidi"/>
      <w:sz w:val="18"/>
      <w:szCs w:val="18"/>
    </w:rPr>
  </w:style>
  <w:style w:type="character" w:customStyle="1" w:styleId="20">
    <w:name w:val="页脚 字符"/>
    <w:link w:val="7"/>
    <w:qFormat/>
    <w:uiPriority w:val="99"/>
    <w:rPr>
      <w:rFonts w:ascii="Times New Roman" w:hAnsi="Times New Roman" w:eastAsia="仿宋_GB2312" w:cs="Times New Roman"/>
      <w:sz w:val="18"/>
      <w:szCs w:val="18"/>
    </w:rPr>
  </w:style>
  <w:style w:type="character" w:customStyle="1" w:styleId="21">
    <w:name w:val="纯文本 字符"/>
    <w:link w:val="5"/>
    <w:qFormat/>
    <w:uiPriority w:val="99"/>
    <w:rPr>
      <w:rFonts w:ascii="宋体" w:hAnsi="Courier New" w:eastAsia="宋体" w:cs="Times New Roman"/>
      <w:szCs w:val="21"/>
      <w:lang w:val="zh-CN" w:eastAsia="zh-CN"/>
    </w:rPr>
  </w:style>
  <w:style w:type="character" w:customStyle="1" w:styleId="22">
    <w:name w:val="批注文字 字符"/>
    <w:link w:val="2"/>
    <w:qFormat/>
    <w:uiPriority w:val="99"/>
    <w:rPr>
      <w:rFonts w:ascii="Times New Roman" w:hAnsi="Times New Roman" w:eastAsia="宋体" w:cs="Times New Roman"/>
      <w:lang w:val="zh-CN" w:eastAsia="zh-CN"/>
    </w:rPr>
  </w:style>
  <w:style w:type="character" w:customStyle="1" w:styleId="23">
    <w:name w:val="批注主题 字符"/>
    <w:link w:val="11"/>
    <w:qFormat/>
    <w:uiPriority w:val="99"/>
    <w:rPr>
      <w:rFonts w:ascii="Times New Roman" w:hAnsi="Times New Roman" w:eastAsia="宋体" w:cs="Times New Roman"/>
      <w:b/>
      <w:bCs/>
    </w:rPr>
  </w:style>
  <w:style w:type="character" w:customStyle="1" w:styleId="24">
    <w:name w:val="font81"/>
    <w:qFormat/>
    <w:uiPriority w:val="0"/>
    <w:rPr>
      <w:rFonts w:hint="eastAsia" w:ascii="方正仿宋_GBK" w:hAnsi="Times New Roman" w:eastAsia="方正仿宋_GBK" w:cs="Times New Roman"/>
      <w:color w:val="000000"/>
      <w:sz w:val="24"/>
      <w:szCs w:val="24"/>
      <w:u w:val="none"/>
    </w:rPr>
  </w:style>
  <w:style w:type="character" w:customStyle="1" w:styleId="25">
    <w:name w:val="font91"/>
    <w:qFormat/>
    <w:uiPriority w:val="0"/>
    <w:rPr>
      <w:rFonts w:hint="default" w:ascii="Times New Roman" w:hAnsi="Times New Roman" w:eastAsia="宋体" w:cs="Times New Roman"/>
      <w:color w:val="000000"/>
      <w:sz w:val="24"/>
      <w:szCs w:val="24"/>
      <w:u w:val="none"/>
    </w:rPr>
  </w:style>
  <w:style w:type="character" w:customStyle="1" w:styleId="26">
    <w:name w:val="font101"/>
    <w:qFormat/>
    <w:uiPriority w:val="0"/>
    <w:rPr>
      <w:rFonts w:hint="eastAsia" w:ascii="方正仿宋_GBK" w:hAnsi="Times New Roman" w:eastAsia="方正仿宋_GBK" w:cs="Times New Roman"/>
      <w:color w:val="000000"/>
      <w:sz w:val="22"/>
      <w:szCs w:val="22"/>
      <w:u w:val="none"/>
    </w:rPr>
  </w:style>
  <w:style w:type="character" w:customStyle="1" w:styleId="27">
    <w:name w:val="正文文本 字符"/>
    <w:basedOn w:val="14"/>
    <w:link w:val="3"/>
    <w:qFormat/>
    <w:uiPriority w:val="0"/>
    <w:rPr>
      <w:rFonts w:ascii="Times New Roman" w:hAnsi="Times New Roman" w:eastAsia="宋体" w:cs="Times New Roman"/>
      <w:szCs w:val="22"/>
    </w:rPr>
  </w:style>
  <w:style w:type="character" w:customStyle="1" w:styleId="28">
    <w:name w:val="标题 字符"/>
    <w:basedOn w:val="14"/>
    <w:link w:val="4"/>
    <w:qFormat/>
    <w:uiPriority w:val="0"/>
    <w:rPr>
      <w:rFonts w:ascii="方正小标宋_GBK" w:hAnsi="方正小标宋_GBK" w:eastAsia="方正小标宋_GBK" w:cs="方正小标宋_GBK"/>
      <w:sz w:val="44"/>
      <w:szCs w:val="44"/>
    </w:rPr>
  </w:style>
  <w:style w:type="character" w:customStyle="1" w:styleId="29">
    <w:name w:val="批注文字 Char1"/>
    <w:qFormat/>
    <w:uiPriority w:val="0"/>
    <w:rPr>
      <w:rFonts w:ascii="Calibri" w:hAnsi="Calibri" w:eastAsia="宋体" w:cs="Times New Roman"/>
      <w:szCs w:val="24"/>
    </w:rPr>
  </w:style>
  <w:style w:type="character" w:customStyle="1" w:styleId="30">
    <w:name w:val="批注框文本 字符"/>
    <w:link w:val="6"/>
    <w:qFormat/>
    <w:uiPriority w:val="99"/>
    <w:rPr>
      <w:rFonts w:ascii="Times New Roman" w:hAnsi="Times New Roman" w:eastAsia="宋体" w:cs="Times New Roman"/>
      <w:sz w:val="18"/>
      <w:szCs w:val="18"/>
    </w:rPr>
  </w:style>
  <w:style w:type="character" w:customStyle="1" w:styleId="31">
    <w:name w:val="脚注文本 字符"/>
    <w:basedOn w:val="14"/>
    <w:link w:val="9"/>
    <w:qFormat/>
    <w:uiPriority w:val="0"/>
    <w:rPr>
      <w:rFonts w:ascii="Times New Roman" w:hAnsi="Times New Roman" w:eastAsia="宋体" w:cs="Times New Roman"/>
      <w:sz w:val="18"/>
      <w:szCs w:val="20"/>
    </w:rPr>
  </w:style>
  <w:style w:type="paragraph" w:customStyle="1" w:styleId="32">
    <w:name w:val="样式 文字 + 首行缩进:  2 字符3"/>
    <w:basedOn w:val="1"/>
    <w:qFormat/>
    <w:uiPriority w:val="0"/>
    <w:rPr>
      <w:rFonts w:ascii="Times New Roman" w:hAnsi="Times New Roman" w:eastAsia="仿宋_GB2312" w:cs="宋体"/>
      <w:sz w:val="28"/>
      <w:szCs w:val="28"/>
    </w:rPr>
  </w:style>
  <w:style w:type="paragraph" w:customStyle="1" w:styleId="33">
    <w:name w:val="Default Paragraph Font Para Char Char Char Char Char Char"/>
    <w:basedOn w:val="1"/>
    <w:qFormat/>
    <w:uiPriority w:val="0"/>
    <w:pPr>
      <w:widowControl/>
      <w:spacing w:after="160" w:line="240" w:lineRule="exact"/>
      <w:ind w:firstLine="0" w:firstLineChars="0"/>
      <w:jc w:val="left"/>
    </w:pPr>
    <w:rPr>
      <w:rFonts w:ascii="Times New Roman" w:hAnsi="Times New Roman"/>
      <w:szCs w:val="20"/>
    </w:rPr>
  </w:style>
  <w:style w:type="paragraph" w:customStyle="1" w:styleId="34">
    <w:name w:val="列出段落1"/>
    <w:basedOn w:val="1"/>
    <w:qFormat/>
    <w:uiPriority w:val="34"/>
    <w:pPr>
      <w:spacing w:line="240" w:lineRule="auto"/>
      <w:ind w:firstLine="420"/>
    </w:pPr>
    <w:rPr>
      <w:rFonts w:ascii="Times New Roman" w:hAnsi="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5</Pages>
  <Words>2663</Words>
  <Characters>3082</Characters>
  <Lines>22</Lines>
  <Paragraphs>6</Paragraphs>
  <TotalTime>28</TotalTime>
  <ScaleCrop>false</ScaleCrop>
  <LinksUpToDate>false</LinksUpToDate>
  <CharactersWithSpaces>3123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2022-09-23T01:46:00Z</dcterms:created>
  <dc:creator>孙桂林</dc:creator>
  <cp:lastModifiedBy>心</cp:lastModifiedBy>
  <cp:lastPrinted>2022-09-22T09:04:00Z</cp:lastPrinted>
  <dcterms:modified xsi:type="dcterms:W3CDTF">2022-09-22T07:06:22Z</dcterms:modified>
  <dc:title>苏经信减负〔2017〕883号              签发人：</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78D05034082F4C4992A52E0C6BCE859E</vt:lpwstr>
  </property>
</Properties>
</file>