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洛阳镇</w:t>
      </w:r>
      <w:r>
        <w:rPr>
          <w:rFonts w:hint="eastAsia" w:ascii="方正小标宋简体" w:hAnsi="Times New Roman" w:eastAsia="方正小标宋简体"/>
          <w:sz w:val="44"/>
          <w:szCs w:val="44"/>
        </w:rPr>
        <w:t>食用农产品“治违禁 控药残 促提升”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专项行动</w:t>
      </w:r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实施方案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2022年是全面实施食用农产品“治违禁 控药残 促提升”的关键之年，根据省市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"/>
          <w:sz w:val="32"/>
          <w:szCs w:val="32"/>
        </w:rPr>
        <w:t>有关精神要求，结合我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仿宋"/>
          <w:sz w:val="32"/>
          <w:szCs w:val="32"/>
        </w:rPr>
        <w:t>实际，决定围绕整治清单，对地产农产品中的重点品种、重点区域、重点环节，开展食用农产品“治违禁 控药残 促提升”专项行动，力争确保三年行动取得实效，有效提升全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仿宋"/>
          <w:sz w:val="32"/>
          <w:szCs w:val="32"/>
        </w:rPr>
        <w:t>农产品质量安全水平。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一、细化重点治理清单。</w:t>
      </w:r>
      <w:r>
        <w:rPr>
          <w:rFonts w:ascii="Times New Roman" w:hAnsi="Times New Roman" w:eastAsia="仿宋"/>
          <w:sz w:val="32"/>
          <w:szCs w:val="32"/>
        </w:rPr>
        <w:t>聚焦全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仿宋"/>
          <w:sz w:val="32"/>
          <w:szCs w:val="32"/>
        </w:rPr>
        <w:t>涉及的农产品质量安全问题较为突出的7个品种，按照“两摸清”、两落实、两到位的要求，结合上年度摸底情况，进一步梳理细化重点品种治理</w:t>
      </w:r>
      <w:r>
        <w:rPr>
          <w:rFonts w:hint="eastAsia" w:ascii="Times New Roman" w:hAnsi="Times New Roman" w:eastAsia="仿宋"/>
          <w:sz w:val="32"/>
          <w:szCs w:val="32"/>
        </w:rPr>
        <w:t>任务清单（附件1）</w:t>
      </w:r>
      <w:r>
        <w:rPr>
          <w:rFonts w:ascii="Times New Roman" w:hAnsi="Times New Roman" w:eastAsia="仿宋"/>
          <w:sz w:val="32"/>
          <w:szCs w:val="32"/>
        </w:rPr>
        <w:t>，每季度以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行政村</w:t>
      </w:r>
      <w:r>
        <w:rPr>
          <w:rFonts w:ascii="Times New Roman" w:hAnsi="Times New Roman" w:eastAsia="仿宋"/>
          <w:sz w:val="32"/>
          <w:szCs w:val="32"/>
        </w:rPr>
        <w:t>为单位，更新重点品种生产主体信息，将7个品种规模主体入网监管，建立健全网格化监管体系。对照治理清单的工作任务和本地实际每年对7个品种治理情况做好总结。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二、压实专项整治责任。</w:t>
      </w:r>
      <w:r>
        <w:rPr>
          <w:rFonts w:ascii="Times New Roman" w:hAnsi="Times New Roman" w:eastAsia="仿宋"/>
          <w:sz w:val="32"/>
          <w:szCs w:val="32"/>
        </w:rPr>
        <w:t>推行绿色防控技术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推广三颗菜绿色防控技术，指导种植主体可续合理用药，摒弃大肥大水大药的传统种植习惯。强化畜禽养殖质量安全管控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强化兽药抗菌药全链条监管，实施兽用抗菌药使用减量化行动，确保2022年辖区内15%以上规模养殖场（户）实施减抗行动。加强养殖环节服务指导，适时开展养殖环节“瘦肉精”、“飞行检查”等行动，严厉打击违规添加使用禁限用药的行为。开展水产品专项整治</w:t>
      </w:r>
      <w:r>
        <w:rPr>
          <w:rFonts w:hint="eastAsia" w:ascii="Times New Roman" w:hAnsi="Times New Roman" w:eastAsia="仿宋"/>
          <w:sz w:val="32"/>
          <w:szCs w:val="32"/>
        </w:rPr>
        <w:t>，实施</w:t>
      </w:r>
      <w:r>
        <w:rPr>
          <w:rFonts w:ascii="Times New Roman" w:hAnsi="Times New Roman" w:eastAsia="仿宋"/>
          <w:sz w:val="32"/>
          <w:szCs w:val="32"/>
        </w:rPr>
        <w:t>水产绿色养殖模式试验，探索绿色养殖新模式</w:t>
      </w:r>
      <w:r>
        <w:rPr>
          <w:rFonts w:hint="eastAsia" w:ascii="Times New Roman" w:hAnsi="Times New Roman" w:eastAsia="仿宋"/>
          <w:sz w:val="32"/>
          <w:szCs w:val="32"/>
        </w:rPr>
        <w:t>，推进</w:t>
      </w:r>
      <w:r>
        <w:rPr>
          <w:rFonts w:ascii="Times New Roman" w:hAnsi="Times New Roman" w:eastAsia="仿宋"/>
          <w:sz w:val="32"/>
          <w:szCs w:val="32"/>
        </w:rPr>
        <w:t>水产品质量安全专项整治行动，加强用药指导，水产养殖投入品使用监督检查，督促养殖主体严格执行休药期。加大风险隐患排查和兽药残留抽检力度。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三、提升安全监测频次。</w:t>
      </w:r>
      <w:r>
        <w:rPr>
          <w:rFonts w:ascii="Times New Roman" w:hAnsi="Times New Roman" w:eastAsia="仿宋_GB2312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行政村</w:t>
      </w:r>
      <w:r>
        <w:rPr>
          <w:rFonts w:ascii="Times New Roman" w:hAnsi="Times New Roman" w:eastAsia="仿宋_GB2312"/>
          <w:sz w:val="32"/>
          <w:szCs w:val="32"/>
        </w:rPr>
        <w:t>为单位，针对已达上市规格的产品，采用定性检测为主的方式，对禁用药物以及常规药残留超标项目开展快检，对快检过程中发现疑似禁用药残留的，及时上报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至区</w:t>
      </w:r>
      <w:r>
        <w:rPr>
          <w:rFonts w:ascii="Times New Roman" w:hAnsi="Times New Roman" w:eastAsia="仿宋_GB2312"/>
          <w:sz w:val="32"/>
          <w:szCs w:val="32"/>
        </w:rPr>
        <w:t>农业农村局启动执法抽检程序。加大种养殖过程的农产品风险监测，发现有农兽药超标等情况及时告知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  <w:r>
        <w:rPr>
          <w:rFonts w:ascii="Times New Roman" w:hAnsi="Times New Roman" w:eastAsia="仿宋_GB2312"/>
          <w:sz w:val="32"/>
          <w:szCs w:val="32"/>
        </w:rPr>
        <w:t>养殖户，禁止该</w:t>
      </w:r>
      <w:r>
        <w:rPr>
          <w:rFonts w:hint="eastAsia" w:ascii="Times New Roman" w:hAnsi="Times New Roman" w:eastAsia="仿宋_GB2312"/>
          <w:sz w:val="32"/>
          <w:szCs w:val="32"/>
        </w:rPr>
        <w:t>农</w:t>
      </w:r>
      <w:r>
        <w:rPr>
          <w:rFonts w:ascii="Times New Roman" w:hAnsi="Times New Roman" w:eastAsia="仿宋_GB2312"/>
          <w:sz w:val="32"/>
          <w:szCs w:val="32"/>
        </w:rPr>
        <w:t>产品上市销售。加强</w:t>
      </w:r>
      <w:r>
        <w:rPr>
          <w:rFonts w:hint="eastAsia" w:ascii="Times New Roman" w:hAnsi="Times New Roman" w:eastAsia="仿宋_GB2312"/>
          <w:sz w:val="32"/>
          <w:szCs w:val="32"/>
        </w:rPr>
        <w:t>上市时</w:t>
      </w:r>
      <w:r>
        <w:rPr>
          <w:rFonts w:ascii="Times New Roman" w:hAnsi="Times New Roman" w:eastAsia="仿宋_GB2312"/>
          <w:sz w:val="32"/>
          <w:szCs w:val="32"/>
        </w:rPr>
        <w:t>监督抽检。通过巡查和线索通报的方式，增加起网、已收割</w:t>
      </w:r>
      <w:r>
        <w:rPr>
          <w:rFonts w:hint="eastAsia" w:ascii="Times New Roman" w:hAnsi="Times New Roman" w:eastAsia="仿宋_GB2312"/>
          <w:sz w:val="32"/>
          <w:szCs w:val="32"/>
        </w:rPr>
        <w:t>农产品</w:t>
      </w:r>
      <w:r>
        <w:rPr>
          <w:rFonts w:ascii="Times New Roman" w:hAnsi="Times New Roman" w:eastAsia="仿宋_GB2312"/>
          <w:sz w:val="32"/>
          <w:szCs w:val="32"/>
        </w:rPr>
        <w:t>监督抽样批次，一旦发现销售的农产品农兽药残留超标等违法情况，立即立案查处。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四、加大巡查执法力度。</w:t>
      </w:r>
      <w:r>
        <w:rPr>
          <w:rFonts w:ascii="Times New Roman" w:hAnsi="Times New Roman" w:eastAsia="仿宋_GB2312"/>
          <w:sz w:val="32"/>
          <w:szCs w:val="32"/>
        </w:rPr>
        <w:t>加大镇、村级监管巡查力度，针对重点品种、重点时段、重点环节，织密监管网络，增加监管频次。加强禁限用药查处力度，对日常检查、风险监测、监督检查抽查中发现的使用禁限用药物、常规农兽药残留严重超标等问题，开展行政调查，构成犯罪的及时将案件移送公安机关。针对产量高、面积大的品种，重点时段开展专项执法，有必要的联合公安、交通、市场等部门开展联合行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对违法行为形成震慑。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五、形成</w:t>
      </w:r>
      <w:r>
        <w:rPr>
          <w:rFonts w:hint="eastAsia" w:ascii="Times New Roman" w:hAnsi="Times New Roman" w:eastAsia="黑体"/>
          <w:sz w:val="32"/>
          <w:szCs w:val="32"/>
        </w:rPr>
        <w:t>长效工作</w:t>
      </w:r>
      <w:r>
        <w:rPr>
          <w:rFonts w:ascii="Times New Roman" w:hAnsi="Times New Roman" w:eastAsia="黑体"/>
          <w:sz w:val="32"/>
          <w:szCs w:val="32"/>
        </w:rPr>
        <w:t>机制。</w:t>
      </w:r>
      <w:r>
        <w:rPr>
          <w:rFonts w:ascii="Times New Roman" w:hAnsi="Times New Roman" w:eastAsia="仿宋_GB2312"/>
          <w:sz w:val="32"/>
          <w:szCs w:val="32"/>
        </w:rPr>
        <w:t>成立督导检查组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由分管领导带头、各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相关单位</w:t>
      </w:r>
      <w:r>
        <w:rPr>
          <w:rFonts w:ascii="Times New Roman" w:hAnsi="Times New Roman" w:eastAsia="仿宋_GB2312"/>
          <w:sz w:val="32"/>
          <w:szCs w:val="32"/>
        </w:rPr>
        <w:t>抽调精干成员组成督查组</w:t>
      </w:r>
      <w:r>
        <w:rPr>
          <w:rFonts w:hint="eastAsia" w:ascii="Times New Roman" w:hAnsi="Times New Roman" w:eastAsia="仿宋_GB2312"/>
          <w:sz w:val="32"/>
          <w:szCs w:val="32"/>
        </w:rPr>
        <w:t>（附件2）</w:t>
      </w:r>
      <w:r>
        <w:rPr>
          <w:rFonts w:ascii="Times New Roman" w:hAnsi="Times New Roman" w:eastAsia="仿宋_GB2312"/>
          <w:sz w:val="32"/>
          <w:szCs w:val="32"/>
        </w:rPr>
        <w:t>，分区域开展专项行动督查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定期或不定期组织对各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行政村、村级服务站</w:t>
      </w:r>
      <w:r>
        <w:rPr>
          <w:rFonts w:ascii="Times New Roman" w:hAnsi="Times New Roman" w:eastAsia="仿宋_GB2312"/>
          <w:sz w:val="32"/>
          <w:szCs w:val="32"/>
        </w:rPr>
        <w:t>开展现场督导检查，重点检查工作部署、履职情况等，及时提出存在问题，提出改进意见建议等。定期督查计划开展夏季（6月底前）、秋季（十一前）和冬季（元旦前）三次，并分别于7.1、国庆节前、元旦前将督导检查情况进行汇总反馈。建立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席</w:t>
      </w:r>
      <w:r>
        <w:rPr>
          <w:rFonts w:ascii="Times New Roman" w:hAnsi="Times New Roman" w:eastAsia="仿宋_GB2312"/>
          <w:sz w:val="32"/>
          <w:szCs w:val="32"/>
        </w:rPr>
        <w:t>会议制度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不定期召开工作推进会，研究分析工作落实情况，统筹协调行动过程中的重点难点问题。及时依法依规通报7个品种的抽检检测、巡查检查等发现的问题信息，加强通报研判，研判会商风险隐患，形成工作合力。建立健全产地、市场不合格产品信息双向通报查处机制，相互通报不合格产品销售流向、产地等信息，实施双向追踪溯源，共同核查处置。开展宣传报道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通过</w:t>
      </w:r>
      <w:r>
        <w:rPr>
          <w:rFonts w:hint="eastAsia" w:eastAsia="仿宋_GB2312"/>
          <w:sz w:val="32"/>
          <w:szCs w:val="32"/>
        </w:rPr>
        <w:t>农产品质量安全乡</w:t>
      </w:r>
      <w:r>
        <w:rPr>
          <w:rFonts w:hint="eastAsia" w:eastAsia="仿宋_GB2312"/>
          <w:sz w:val="32"/>
          <w:szCs w:val="32"/>
          <w:lang w:val="en-US" w:eastAsia="zh-CN"/>
        </w:rPr>
        <w:t>村</w:t>
      </w:r>
      <w:r>
        <w:rPr>
          <w:rFonts w:hint="eastAsia" w:eastAsia="仿宋_GB2312"/>
          <w:sz w:val="32"/>
          <w:szCs w:val="32"/>
        </w:rPr>
        <w:t>行、</w:t>
      </w:r>
      <w:r>
        <w:rPr>
          <w:rFonts w:eastAsia="仿宋_GB2312"/>
          <w:sz w:val="32"/>
          <w:szCs w:val="32"/>
        </w:rPr>
        <w:t>入户宣传、培训、新闻媒体、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两微一端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平台等多种形式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加大</w:t>
      </w:r>
      <w:r>
        <w:rPr>
          <w:rFonts w:hint="eastAsia" w:eastAsia="仿宋_GB2312"/>
          <w:sz w:val="32"/>
          <w:szCs w:val="32"/>
        </w:rPr>
        <w:t>农</w:t>
      </w:r>
      <w:r>
        <w:rPr>
          <w:rFonts w:eastAsia="仿宋_GB2312"/>
          <w:sz w:val="32"/>
          <w:szCs w:val="32"/>
        </w:rPr>
        <w:t>产品质量安全相关政策、法律法规的宣传力度，对</w:t>
      </w:r>
      <w:r>
        <w:rPr>
          <w:rFonts w:hint="eastAsia" w:eastAsia="仿宋_GB2312"/>
          <w:sz w:val="32"/>
          <w:szCs w:val="32"/>
        </w:rPr>
        <w:t>规模</w:t>
      </w:r>
      <w:r>
        <w:rPr>
          <w:rFonts w:eastAsia="仿宋_GB2312"/>
          <w:sz w:val="32"/>
          <w:szCs w:val="32"/>
        </w:rPr>
        <w:t>从业主体政策告知到位。做到</w:t>
      </w:r>
      <w:r>
        <w:rPr>
          <w:rFonts w:hint="eastAsia" w:eastAsia="仿宋_GB2312"/>
          <w:sz w:val="32"/>
          <w:szCs w:val="32"/>
        </w:rPr>
        <w:t>短信告知每周一宣</w:t>
      </w:r>
      <w:r>
        <w:rPr>
          <w:rFonts w:eastAsia="仿宋_GB2312"/>
          <w:sz w:val="32"/>
          <w:szCs w:val="32"/>
        </w:rPr>
        <w:t>、新闻媒体每月多宣，入户培训每次必宣。充分发挥宣传栏、宣传横幅、公告栏、电子显示屏等平台的积极作用，营造</w:t>
      </w:r>
      <w:r>
        <w:rPr>
          <w:rFonts w:hint="eastAsia" w:eastAsia="仿宋_GB2312"/>
          <w:sz w:val="32"/>
          <w:szCs w:val="32"/>
        </w:rPr>
        <w:t>专项行动</w:t>
      </w:r>
      <w:r>
        <w:rPr>
          <w:rFonts w:eastAsia="仿宋_GB2312"/>
          <w:sz w:val="32"/>
          <w:szCs w:val="32"/>
        </w:rPr>
        <w:t>浓厚氛围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曝光典型案例，营造强大声势，发挥警示震慑作用。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附件：1</w:t>
      </w:r>
      <w:r>
        <w:rPr>
          <w:rFonts w:hint="eastAsia" w:ascii="Times New Roman" w:hAnsi="Times New Roman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洛阳镇</w:t>
      </w:r>
      <w:r>
        <w:rPr>
          <w:rFonts w:ascii="Times New Roman" w:hAnsi="Times New Roman" w:eastAsia="仿宋_GB2312"/>
          <w:sz w:val="32"/>
          <w:szCs w:val="32"/>
        </w:rPr>
        <w:t>食用农产品“治违禁 控药残 促提升”三年行动责任清单（2022年度）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小标宋简体"/>
          <w:sz w:val="28"/>
          <w:szCs w:val="36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 xml:space="preserve">. </w:t>
      </w:r>
      <w:r>
        <w:rPr>
          <w:rFonts w:ascii="Times New Roman" w:hAnsi="Times New Roman" w:eastAsia="仿宋_GB2312"/>
          <w:sz w:val="32"/>
          <w:szCs w:val="32"/>
        </w:rPr>
        <w:t>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仿宋_GB2312"/>
          <w:sz w:val="32"/>
          <w:szCs w:val="32"/>
        </w:rPr>
        <w:t>食用农产品“治违禁 控药残 促提升”专项行动督导分组安排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  <w:sectPr>
          <w:pgSz w:w="11907" w:h="16840"/>
          <w:pgMar w:top="2098" w:right="1531" w:bottom="1985" w:left="1531" w:header="709" w:footer="1361" w:gutter="0"/>
          <w:cols w:space="720" w:num="1"/>
          <w:docGrid w:type="lines" w:linePitch="312" w:charSpace="0"/>
        </w:sectPr>
      </w:pPr>
    </w:p>
    <w:p>
      <w:pPr>
        <w:snapToGrid w:val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洛阳镇</w:t>
      </w:r>
      <w:r>
        <w:rPr>
          <w:rFonts w:hint="eastAsia" w:ascii="方正小标宋简体" w:hAnsi="Times New Roman" w:eastAsia="方正小标宋简体"/>
          <w:sz w:val="36"/>
          <w:szCs w:val="36"/>
        </w:rPr>
        <w:t>食用农产品“治违禁 控药残 促提升”三年行动责任清单（</w:t>
      </w:r>
      <w:r>
        <w:rPr>
          <w:rFonts w:ascii="Times New Roman" w:hAnsi="Times New Roman" w:eastAsia="方正小标宋简体"/>
          <w:sz w:val="36"/>
          <w:szCs w:val="36"/>
        </w:rPr>
        <w:t>2022</w:t>
      </w:r>
      <w:r>
        <w:rPr>
          <w:rFonts w:hint="eastAsia" w:ascii="方正小标宋简体" w:hAnsi="Times New Roman" w:eastAsia="方正小标宋简体"/>
          <w:sz w:val="36"/>
          <w:szCs w:val="36"/>
        </w:rPr>
        <w:t>年度）</w:t>
      </w:r>
    </w:p>
    <w:p>
      <w:pPr>
        <w:jc w:val="center"/>
        <w:rPr>
          <w:rFonts w:hint="eastAsia" w:ascii="仿宋_GB2312" w:hAnsi="Times New Roman" w:eastAsia="仿宋_GB2312"/>
          <w:sz w:val="24"/>
          <w:szCs w:val="24"/>
        </w:rPr>
      </w:pPr>
    </w:p>
    <w:tbl>
      <w:tblPr>
        <w:tblStyle w:val="7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7938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0" w:leftChars="-67" w:right="-107" w:rightChars="-51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任务类别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任务指标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严格农药兽药生产经营管理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加大农兽药（农药、兽药、水产养殖投入品）质量监测管理，年内抽检不少于4批次。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加强农产品经营单位监管，落实定点经营、实名购买，加强台账管理。重点强化水产养殖用投入品、原料药管理。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市场监督分局、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精准掌握种植养殖情况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每季度以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为单位更新重点品种生产信息等。将11个品种规模主体入网监管。结合精准监管改革试验区，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积极融合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“区、镇、村、站”四级监管服务体系，建立健全网格化体系建设，探索“阳光农安”监管模式。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指导种养殖生产主体科学合理用药，探索11个品种农兽药安全使用指导员制度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畜牧兽医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站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推行绿色种植养殖方式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指导农户建立生产记录台账，督促种养殖者加强农药、兽药使用管理。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、畜牧兽医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站、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结合本地气候、生态等资源禀赋和农业生产现状，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引导各村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优化种植区域布局，指导农户采用绿色技术模式，摒弃大肥大水大药的传统种植习惯。 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倡导“三棵菜”科学种植，探索制定符合本地实际的生产技术规程。开展水产绿色养殖模式试验，探索绿色养殖新模式。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实施兽用抗菌药使用减量化行动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、畜牧兽医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站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严查种植养殖屠宰环节使用禁限用药物行为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加强镇、村级监管巡查力度，针对重点品种、重点时段、重点环节，织密监管网络，增加监管频次。扩大种植业产品胶体金免疫快检技术应用试点，年内完成胶体金速测不少于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1800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批次，加大巡查力度，</w:t>
            </w:r>
            <w:r>
              <w:rPr>
                <w:rFonts w:hint="eastAsia" w:ascii="仿宋_GB2312" w:hAnsi="Times New Roman" w:eastAsia="仿宋_GB2312"/>
                <w:spacing w:val="-6"/>
                <w:sz w:val="24"/>
                <w:szCs w:val="24"/>
              </w:rPr>
              <w:t>提高抽检比例，发现不合格产品及时向社会公布，完善风险会商机制。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市场监督分局、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畜牧兽医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站、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严查种植养殖屠宰环节使用禁限用药物行为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加强禁限用药查处力度。严厉查处限用农药实际用途与标签标注的使用范围不一致行为。加强监管巡查，积极提供禁限用药物使用行为的线索。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市场监督分局、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畜牧兽医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站、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管控上市农产品常规农兽药残留超标问题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结合精准监管改革试验项目，开展常规农药残留速测技术攻关，试行农药胶体金速测法，优化监测方案，年内完成定量抽检不少于千人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1.5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批次。例行抽检合格率不低于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98%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。组织开展安全用药培训一次。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市场监督分局、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用好达标合格证制度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加大培训宣贯力度，指导生产主体全面推广使用承诺达标合格证，推动试行品种承诺达标合格证应开尽开。实施“数字化+网格化”精准监管。全年开具合格证不少于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张。推动双证上市制度力度，从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朝安等地，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鳊鱼等重点品种率先试点。加强合格证日常巡查，对冒名开具、虚假合格的，实施信用化、精准化管理。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市场监督分局、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各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强化行刑衔接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对日常检查、风险监测、监督检查抽查中发现的使用禁限用药物、常规农兽药残留严重超标等问题，开展行政调查，构成犯罪的及时将案件移送公安机关。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镇市场监督分局、派出所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完善农兽药残留全链条治理机制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建立联席会议制度。不定期召开各部门会议，研究分析工作落实情况，统筹协调行动过程中的重点难点问题。加强监管信息通报共享。及时依法依规通报11个品种的抽检检测、巡查检查等发现的问题信息，加强通报研判，研判会商风险隐患，形成工作合力。开展宣传报道工作。年内开展农产品质量安全乡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行不少于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次，并积极组织各级各类宣传活动。宣传行动工作成效，及时反映群众呼声和社会反响，为行动深入开展营造氛围。建立健全产地、市场不合格产品信息双向通报查处机制，相互通报不合格产品销售流向、产地等信息，实施双向追踪溯源，共同核查处置。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镇农村工作局、市场监督分局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派出所、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畜牧兽医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站</w:t>
            </w:r>
          </w:p>
        </w:tc>
      </w:tr>
    </w:tbl>
    <w:p>
      <w:pPr>
        <w:jc w:val="left"/>
        <w:rPr>
          <w:rFonts w:ascii="Times New Roman" w:hAnsi="Times New Roman"/>
          <w:sz w:val="24"/>
          <w:szCs w:val="24"/>
        </w:rPr>
      </w:pPr>
    </w:p>
    <w:p>
      <w:pPr>
        <w:jc w:val="left"/>
        <w:rPr>
          <w:rFonts w:ascii="Times New Roman" w:hAnsi="Times New Roman"/>
          <w:sz w:val="24"/>
          <w:szCs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全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镇</w:t>
      </w:r>
      <w:r>
        <w:rPr>
          <w:rFonts w:hint="eastAsia" w:ascii="方正小标宋简体" w:hAnsi="Times New Roman" w:eastAsia="方正小标宋简体"/>
          <w:sz w:val="44"/>
          <w:szCs w:val="44"/>
        </w:rPr>
        <w:t>食用农产品“治违禁 控药残 促提升”专项行动督导分组安排</w:t>
      </w:r>
    </w:p>
    <w:p>
      <w:pPr>
        <w:jc w:val="center"/>
        <w:rPr>
          <w:rFonts w:ascii="Times New Roman" w:hAnsi="Times New Roman" w:eastAsia="方正小标宋简体"/>
          <w:sz w:val="24"/>
          <w:szCs w:val="24"/>
        </w:rPr>
      </w:pPr>
    </w:p>
    <w:tbl>
      <w:tblPr>
        <w:tblStyle w:val="7"/>
        <w:tblW w:w="51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182"/>
        <w:gridCol w:w="4711"/>
        <w:gridCol w:w="1536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行动分组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611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夏季检查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第一组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洛东、岑村、汤墅、阳湖、朝安、马鞍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王小虎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第二组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虞桥、谈家头、小留桥、友谊、洛阳、圻庄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管国祥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、畜牧兽医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第三组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天井、管城、戴溪、东尖、民丰、瞿家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谈一平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农村工作局、市场监督分局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秋季检查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第一组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虞桥、谈家头、小留桥、友谊、洛阳、圻庄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王小虎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第二组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天井、管城、戴溪、东尖、民丰、瞿家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管国祥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、畜牧兽医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第三组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洛东、岑村、汤墅、阳湖、朝安、马鞍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谈一平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农村工作局、市场监督分局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冬季检查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第一组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天井、管城、戴溪、东尖、民丰、瞿家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王小虎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第二组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洛东、岑村、汤墅、阳湖、朝安、马鞍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管国祥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、畜牧兽医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第三组</w:t>
            </w:r>
          </w:p>
        </w:tc>
        <w:tc>
          <w:tcPr>
            <w:tcW w:w="177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虞桥、谈家头、小留桥、友谊、洛阳、圻庄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谈一平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*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农村工作局、市场监督分局</w:t>
            </w:r>
          </w:p>
        </w:tc>
      </w:tr>
    </w:tbl>
    <w:p>
      <w:pPr>
        <w:tabs>
          <w:tab w:val="left" w:pos="5362"/>
        </w:tabs>
        <w:rPr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w:t>注：带*的为联络员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单位 </w:t>
      </w:r>
    </w:p>
    <w:p/>
    <w:sectPr>
      <w:headerReference r:id="rId3" w:type="default"/>
      <w:headerReference r:id="rId4" w:type="even"/>
      <w:footerReference r:id="rId5" w:type="even"/>
      <w:pgSz w:w="16840" w:h="11907" w:orient="landscape"/>
      <w:pgMar w:top="1531" w:right="2098" w:bottom="1531" w:left="1985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sz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C3BE8"/>
    <w:rsid w:val="276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2022-07-14T08:04:00Z</dcterms:created>
  <dc:creator>Administrator</dc:creator>
  <cp:lastModifiedBy>Administrator</cp:lastModifiedBy>
  <dcterms:modified xsi:type="dcterms:W3CDTF">2022-07-14T08:04:30Z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1574179BC0EB49CD808C342C2F7CE5B2</vt:lpwstr>
  </property>
</Properties>
</file>