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sz w:val="52"/>
        </w:rPr>
      </w:pPr>
    </w:p>
    <w:p>
      <w:pPr>
        <w:jc w:val="center"/>
        <w:rPr>
          <w:rFonts w:hint="eastAsia" w:ascii="宋体" w:hAnsi="宋体" w:eastAsia="宋体" w:cs="宋体"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江苏省固体（危险）废物</w:t>
      </w:r>
    </w:p>
    <w:p>
      <w:pPr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跨省（市）转移实施方案</w:t>
      </w:r>
    </w:p>
    <w:p>
      <w:pPr>
        <w:jc w:val="center"/>
        <w:rPr>
          <w:rFonts w:hint="eastAsia" w:ascii="宋体" w:hAnsi="宋体" w:eastAsia="宋体" w:cs="宋体"/>
          <w:sz w:val="52"/>
        </w:rPr>
      </w:pPr>
    </w:p>
    <w:p>
      <w:pPr>
        <w:jc w:val="center"/>
        <w:rPr>
          <w:rFonts w:hint="eastAsia" w:ascii="宋体" w:hAnsi="宋体" w:eastAsia="宋体" w:cs="宋体"/>
          <w:sz w:val="52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tabs>
          <w:tab w:val="left" w:pos="5940"/>
        </w:tabs>
        <w:snapToGrid w:val="0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申请单位：</w:t>
      </w:r>
      <w:r>
        <w:rPr>
          <w:rFonts w:hint="eastAsia" w:ascii="宋体" w:hAnsi="宋体" w:eastAsia="宋体" w:cs="宋体"/>
          <w:b/>
          <w:sz w:val="32"/>
          <w:u w:val="single"/>
        </w:rPr>
        <w:t>常州市杭花有色金属铸件厂</w:t>
      </w:r>
      <w:r>
        <w:rPr>
          <w:rFonts w:hint="eastAsia" w:ascii="宋体" w:hAnsi="宋体" w:eastAsia="宋体" w:cs="宋体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hint="eastAsia" w:ascii="宋体" w:hAnsi="宋体" w:eastAsia="宋体" w:cs="宋体"/>
          <w:b/>
          <w:sz w:val="32"/>
        </w:rPr>
      </w:pPr>
    </w:p>
    <w:p>
      <w:pPr>
        <w:tabs>
          <w:tab w:val="left" w:pos="5940"/>
        </w:tabs>
        <w:snapToGrid w:val="0"/>
        <w:rPr>
          <w:rFonts w:hint="eastAsia" w:ascii="宋体" w:hAnsi="宋体" w:eastAsia="宋体" w:cs="宋体"/>
          <w:b/>
          <w:sz w:val="32"/>
        </w:rPr>
      </w:pPr>
    </w:p>
    <w:p>
      <w:pPr>
        <w:tabs>
          <w:tab w:val="left" w:pos="5940"/>
        </w:tabs>
        <w:snapToGrid w:val="0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填报日期：</w:t>
      </w:r>
      <w:r>
        <w:rPr>
          <w:rFonts w:hint="eastAsia" w:ascii="宋体" w:hAnsi="宋体" w:eastAsia="宋体" w:cs="宋体"/>
          <w:b/>
          <w:sz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32"/>
          <w:u w:val="single"/>
          <w:lang w:val="en-US" w:eastAsia="zh-CN"/>
        </w:rPr>
        <w:t>2022/3/10</w:t>
      </w:r>
      <w:r>
        <w:rPr>
          <w:rFonts w:hint="eastAsia" w:ascii="宋体" w:hAnsi="宋体" w:eastAsia="宋体" w:cs="宋体"/>
          <w:b/>
          <w:sz w:val="32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sz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hint="eastAsia" w:ascii="宋体" w:hAnsi="宋体" w:eastAsia="宋体" w:cs="宋体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hint="eastAsia" w:ascii="宋体" w:hAnsi="宋体" w:eastAsia="宋体" w:cs="宋体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286" w:charSpace="0"/>
        </w:sectPr>
      </w:pPr>
      <w:r>
        <w:rPr>
          <w:rFonts w:hint="eastAsia" w:ascii="宋体" w:hAnsi="宋体" w:eastAsia="宋体" w:cs="宋体"/>
          <w:b/>
          <w:sz w:val="24"/>
        </w:rPr>
        <w:t>江苏省环境保护厅制</w:t>
      </w:r>
    </w:p>
    <w:p>
      <w:pPr>
        <w:ind w:right="-758" w:rightChars="-361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>
      <w:pPr>
        <w:ind w:left="-210" w:leftChars="-100" w:right="-210" w:rightChars="-100" w:firstLine="1264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hint="eastAsia" w:ascii="宋体" w:hAnsi="宋体" w:eastAsia="宋体" w:cs="宋体"/>
          <w:sz w:val="36"/>
          <w:szCs w:val="36"/>
        </w:rPr>
      </w:pPr>
    </w:p>
    <w:p>
      <w:pPr>
        <w:ind w:left="-210" w:leftChars="-100" w:right="-210" w:rightChars="-100" w:firstLine="1264"/>
        <w:rPr>
          <w:rFonts w:hint="eastAsia" w:ascii="宋体" w:hAnsi="宋体" w:eastAsia="宋体" w:cs="宋体"/>
          <w:sz w:val="36"/>
          <w:szCs w:val="36"/>
        </w:rPr>
      </w:pPr>
    </w:p>
    <w:p>
      <w:pPr>
        <w:ind w:left="-210" w:leftChars="-100" w:right="-210" w:rightChars="-100" w:firstLine="1264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法人代表签字：</w:t>
      </w:r>
    </w:p>
    <w:p>
      <w:pPr>
        <w:ind w:left="-210" w:leftChars="-100" w:right="-210" w:rightChars="-100" w:firstLine="1264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年    月  日</w:t>
      </w:r>
    </w:p>
    <w:p>
      <w:pPr>
        <w:ind w:left="-210" w:leftChars="-100" w:right="-210" w:rightChars="-100" w:firstLine="1264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36"/>
          <w:szCs w:val="36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36"/>
          <w:szCs w:val="36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36"/>
          <w:szCs w:val="36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28"/>
        </w:rPr>
      </w:pPr>
    </w:p>
    <w:p>
      <w:pPr>
        <w:ind w:right="-758" w:rightChars="-361"/>
        <w:rPr>
          <w:rFonts w:hint="eastAsia" w:ascii="宋体" w:hAnsi="宋体" w:eastAsia="宋体" w:cs="宋体"/>
          <w:sz w:val="28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28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28"/>
        </w:rPr>
      </w:pPr>
    </w:p>
    <w:p>
      <w:pPr>
        <w:ind w:left="-708" w:leftChars="-337" w:right="-758" w:rightChars="-361" w:firstLine="1264"/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第一部分：拟转移废物基本情况</w:t>
      </w:r>
    </w:p>
    <w:tbl>
      <w:tblPr>
        <w:tblStyle w:val="4"/>
        <w:tblW w:w="913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800"/>
        <w:gridCol w:w="1167"/>
        <w:gridCol w:w="298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表1 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废物产生企业概况（企业投产时间、主要经营范围及规模）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常州市杭花有色金属铸件厂成立于2003年，位于武进区雪堰镇楼村村，占地面积约4000 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。公司营业执照经营范围：铝锭 ，铝棒。（依法须经批准的项目，经相关部门批准后方可开展经营活动）。杭花有色金属 “年产铝锭1万吨/年、铝棒2万吨/年”2016年自查评估报告于2016年10月完成。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目前实际产能为铝锭0.5万吨/年、铝棒1万吨/年。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产品情况</w:t>
            </w:r>
          </w:p>
        </w:tc>
        <w:tc>
          <w:tcPr>
            <w:tcW w:w="4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主要成分化学名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年产量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铝锭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0.5万吨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铝渣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铝灰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铝棒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1万吨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铝渣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铝灰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表2 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文字描述及工艺流程图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59690</wp:posOffset>
                  </wp:positionV>
                  <wp:extent cx="3856990" cy="2466975"/>
                  <wp:effectExtent l="0" t="0" r="10160" b="952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99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工艺流程说明：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熔炼：熔炼炉采用天然气为燃料，产生燃料废气，主要为：SO</w:t>
            </w:r>
            <w:r>
              <w:rPr>
                <w:rFonts w:hint="eastAsia" w:ascii="宋体" w:hAnsi="宋体" w:eastAsia="宋体" w:cs="宋体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4"/>
              </w:rPr>
              <w:t>、NOx、颗粒物；铝材在高温熔化后产生熔炼废气颗粒物，主要为金属氧化物；熔炼炉中取出的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铝渣进炒灰机抄灰</w:t>
            </w:r>
            <w:r>
              <w:rPr>
                <w:rFonts w:hint="eastAsia" w:ascii="宋体" w:hAnsi="宋体" w:eastAsia="宋体" w:cs="宋体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炒灰：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铝渣</w:t>
            </w:r>
            <w:r>
              <w:rPr>
                <w:rFonts w:hint="eastAsia" w:ascii="宋体" w:hAnsi="宋体" w:eastAsia="宋体" w:cs="宋体"/>
                <w:szCs w:val="24"/>
              </w:rPr>
              <w:t>在自动炒灰机中加热，产生熔炼废气颗粒物，主要为金属氧化物；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产生铝渣</w:t>
            </w:r>
            <w:r>
              <w:rPr>
                <w:rFonts w:hint="eastAsia" w:ascii="宋体" w:hAnsi="宋体" w:eastAsia="宋体" w:cs="宋体"/>
                <w:szCs w:val="24"/>
              </w:rPr>
              <w:t>，主要为金属氧化物，为危险废物。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浇注：</w:t>
            </w:r>
            <w:r>
              <w:rPr>
                <w:rFonts w:hint="eastAsia" w:ascii="宋体" w:hAnsi="宋体" w:eastAsia="宋体" w:cs="宋体"/>
                <w:szCs w:val="24"/>
              </w:rPr>
              <w:t>铝水用行车吊运至浇注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4"/>
              </w:rPr>
              <w:t>工位进行浇注，将高温金属铝液浇入模型中成型。</w:t>
            </w:r>
          </w:p>
        </w:tc>
      </w:tr>
    </w:tbl>
    <w:p>
      <w:pPr>
        <w:rPr>
          <w:rFonts w:hint="eastAsia" w:ascii="宋体" w:hAnsi="宋体" w:eastAsia="宋体" w:cs="宋体"/>
          <w:sz w:val="28"/>
        </w:rPr>
      </w:pPr>
    </w:p>
    <w:tbl>
      <w:tblPr>
        <w:tblStyle w:val="4"/>
        <w:tblW w:w="913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表3   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相应比例（%）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铝渣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铝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腐蚀性    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毒性      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易燃性    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反应性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感染性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固态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半固态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粉末态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颗粒态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液态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金属杂质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铝灰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铝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腐蚀性    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毒性  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易燃性    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反应性  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感染性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固态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半固态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粉末态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颗粒态     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液态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金属杂质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第二部分：废物包装、运输情况</w:t>
      </w:r>
    </w:p>
    <w:tbl>
      <w:tblPr>
        <w:tblStyle w:val="4"/>
        <w:tblW w:w="924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表1   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铝渣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吨袋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塑料复合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1吨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铝灰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吨袋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塑料复合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1吨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表2  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24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运输是否符合交管部门运输相关规定（文字描述）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  <w:t>符合陕交运管许可，运输单位为洛南洛铜商贸物流有限公司，道路运输许可证编号为陕交运管</w:t>
            </w:r>
          </w:p>
          <w:p>
            <w:pPr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  <w:t>许可商字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611000000251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运输方式：   道路 </w:t>
            </w:r>
            <w:r>
              <w:rPr>
                <w:rFonts w:hint="eastAsia" w:ascii="宋体" w:hAnsi="宋体" w:eastAsia="宋体" w:cs="宋体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Cs w:val="24"/>
              </w:rPr>
              <w:t xml:space="preserve">       铁路 □      水路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24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运输路线文字描述：（写明途经省、市、县（区），附路线图）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drawing>
                <wp:inline distT="0" distB="0" distL="114300" distR="114300">
                  <wp:extent cx="3843020" cy="1899920"/>
                  <wp:effectExtent l="0" t="0" r="5080" b="5080"/>
                  <wp:docPr id="2" name="图片 1" descr="路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路线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0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途经：常州市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-马鞍山市-合肥市-六安市-信阳市-南阳市-商洛市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行驶路线说明：常州市杭花有色金属铸件厂出发-漕中路-常武南路-S48沪宜高速-S39江宜高速-G4221沪武高速-G5011芜合高速-G40沪陕高速-S13榆商高速-腰市收费站-张卫路-洛南环亚源铜业有限公司</w:t>
            </w:r>
          </w:p>
        </w:tc>
      </w:tr>
    </w:tbl>
    <w:p>
      <w:pPr>
        <w:rPr>
          <w:rFonts w:hint="eastAsia" w:ascii="宋体" w:hAnsi="宋体" w:eastAsia="宋体" w:cs="宋体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286" w:charSpace="0"/>
        </w:sectPr>
      </w:pP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表3  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运输过程中的污染防治措施以及按照要求配备的相应污染防治设备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危废采用专用运输车进行运输，车辆两侧设置专用警示标识。车辆厢体与驾驶室分离并密闭，厢体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底部防危废渗漏。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2.在运输前应事先做出周密的收运计划，选择经优化的固定运输路线和最佳的废物收运时间，同时安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排好运输车经过各路段的时间，尽量避免运输车在交通高峰期通过市区，此外还应事先对各运输路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线的路况进行调查，使司机对路面情况不好的道路、桥段做到心中有数。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3.运输车在每次运输前都必须对每辆运送车的车况进行检查，确保车况良好后方可出车运送车辆负责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人应对每辆运送车必须配备辅助物品进行检查，确保完备；定期对运输车辆进行全面检查，减少和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防止危险废物发生泄漏和交通事故的发生。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4.车辆行驶时应锁闭车门厢，确保安全，不得丢失、遗撒和取出危险废物。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5.在气象条件不好的天气，如暴雨、台风等，可暂时或推迟当日的运输安排，等天气好转再进行运输；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小雨天气可运输，但应小心驾驶并加强安全措施。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6.运输车应该限速行驶，避免交通事故的发生；在路况不好的路段及沿线有敏感水体的区域应小心驾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驶，防止发生交通事故或泄露性事故而污染水体。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7.装备和材料1．停车专用区域醒目划分2．提供装卸前的叉车和吊装设施3．防止停车区域的车辆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流滑措施4．防止在装车过程中包装袋损坏措施5．劳动用品：安全眼镜、手套、安全鞋等。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3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运输过程中的安全防护措施以及按照要求配备的相应安全防护设备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危废采用专用运输车进行运输，车辆两侧设置专用警示标识。车辆厢体与驾驶室分离并密闭，厢体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底部防危废渗漏。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2.在运输前应事先做出周密的收运计划，选择经优化的固定运输路线和最佳的废物收运时间，同时安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排好运输车经过各路段的时间，尽量避免运输车在交通高峰期通过市区，此外还应事先对各运输路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线的路况进行调查，使司机对路面情况不好的道路、桥段做到心中有数。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3.运输车在每次运输前都必须对每辆运送车的车况进行检查，确保车况良好后方可出车运送车辆负责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人应对每辆运送车必须配备辅助物品进行检查，确保完备；定期对运输车辆进行全面检查，减少和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防止危险废物发生泄漏和交通事故的发生。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4.车辆行驶时应锁闭车门厢，确保安全，不得丢失、遗撒和取出危险废物。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5.在气象条件不好的天气，如暴雨、台风等，可暂时或推迟当日的运输安排，等天气好转再进行运输；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小雨天气可运输，但应小心驾驶并加强安全措施。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6.运输车应该限速行驶，避免交通事故的发生；在路况不好的路段及沿线有敏感水体的区域应小心驾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驶，防止发生交通事故或泄露性事故而污染水体。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7.装备和材料1．停车专用区域醒目划分2．提供装卸前的叉车和吊装设施3．防止停车区域的车辆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流滑措施4．防止在装车过程中包装袋损坏措施5．劳动用品：安全眼镜、手套、安全鞋等。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</w:rPr>
              <w:t>3、运输过程中的应急预案以及按照要求配备的相应应急设备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一、应急预案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1危废溢出。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A.报告车队应急救援领导小组溢出危废的名称，数量和地方，封闭该区域。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B.立即请求公安交警在受污染地区设立隔离区，禁止其他车辆和行人穿过，避免污染物扩散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和对行人造成伤害。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C.熄灭所有的引燃源。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D.救援人员穿戴好防护手套、鞋子、防毒面罩，使用化学吸收棉或布料处理溢出的危废液体。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E.所有沾有危废液体的纸张都应放进有盖的专用塑料盒里,防止发生环境污染事件。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F.清洁人员还须对被污染的现场地面进行消毒和清洁处理。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G.如有伤员则应立即将其转移至空气新鲜的地方，进行必要的医疗救护同时拨打“120”急救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中心请求支援。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2危废的遗撒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A.报告车队应急救援领导小组遗撒危废的名称，数量和地方，封闭该区域。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B.立即请求公安交警在受污染地区设立隔离区，禁止其他车辆和行人穿过，避免污染物扩散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和对行人造成伤害。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C.熄灭所有的引燃源。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D.救援人员穿戴好防护手套、鞋子、防毒面罩，使用沙土隔绝、堵漏、拦截、稀释、覆盖等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施救方法进行紧急处理。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E.清洁人员还须对被污染的现场地面进行消毒和清洁处理。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3 发生道路交通事故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A.应立即报122交通警、119消防警、120救护警和运管部门，保护现场抢救伤员。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B.立即切断车辆电源开关、监视车辆的安全情况，告诫围观的群众远离现场，用手提消防器材布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置好安全警戒线。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C.如是装含电镀污泥的重车，应在事故现场处理完毕后和交警协调，电镀污泥卸掉后再进行事故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处理，避免引起意外事故的发生。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二、相应应急设备：防护手套、鞋子、防毒面罩、铁锨、警戒带、化学吸收棉等。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第三部分   废物处理处置情况</w:t>
      </w: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表1   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单位名称：洛南环亚源铜业有限公司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危废经营许可证编号：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HW611021001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有效期：</w:t>
            </w:r>
            <w:r>
              <w:rPr>
                <w:rFonts w:hint="eastAsia" w:ascii="宋体" w:hAnsi="宋体" w:eastAsia="宋体" w:cs="宋体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2019年09月29日至2024年09月28日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经营核准内容（废物名称、类别、数量）：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HW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</w:rPr>
              <w:t>农药废物（263-006-04、263-007-04、263-0s04、263-00964、23-010-04、263-011-04、263-012-04），H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</w:rPr>
              <w:t>12染料、涂料废物（264-002-12、264-003-12、264-004-12、264-005-12、264-00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-12、264-00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-12，2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4-008-12、264-009-12、264-011-12、264-012-12、264-013-12、900-250-12、900）-252--12、900-255-12），HW17表面处理废物（3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6-05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-17、3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6-051-17、336-052-17、336-053-17、336-054-17、336-055-17、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336-056-17、336-057-17、336-058-17、336-059-17、336-060-17、33-061-17、336-062-17、336-063-17、336-064-17、336-066-17、336-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</w:rPr>
              <w:t>-17、336-068-17、336-069-17、336-100-17，336-101-17），H22含铜度物（304-001-22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398-004-22、398-005-22、398-051-22）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HW45</w:t>
            </w:r>
            <w:r>
              <w:rPr>
                <w:rFonts w:hint="eastAsia" w:ascii="宋体" w:hAnsi="宋体" w:eastAsia="宋体" w:cs="宋体"/>
              </w:rPr>
              <w:t>含有机卤化物废物（261-079-45、261-080-45，261-081-45、261-082-45、261-084-45、261-085-45、261-O86-45）、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HW</w:t>
            </w:r>
            <w:r>
              <w:rPr>
                <w:rFonts w:hint="eastAsia" w:ascii="宋体" w:hAnsi="宋体" w:eastAsia="宋体" w:cs="宋体"/>
              </w:rPr>
              <w:t>W46含镍废物（261-087-46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384-005-46、900-037-46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，HW48有色金属冶炼废物（091-001-48、091-002-48、321-31-48、321-032-48、321-002-48、321-003-48、321-004-48、321-005-48、321-006-48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321-007-48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321-008-48、321-009-48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321-010-48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321-011-48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321-012-48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321-013-48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321-014-48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321-016-48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321-017-48、321-018-48、321-019-48、321-020-48、321-021-48、321-022-48、321-023-48、321-024-48、321-025-48、321-026-48、321-034-48、321-027-48、321-O28-48、321-029-48、323-001-48），HW49其他废物（309-001-49、772-006-49、900-039-49、900-01-49、900-042-49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00-044-49 （不会</w:t>
            </w:r>
            <w:r>
              <w:rPr>
                <w:rFonts w:hint="eastAsia" w:ascii="宋体" w:hAnsi="宋体" w:eastAsia="宋体" w:cs="宋体"/>
                <w:lang w:eastAsia="zh-CN"/>
              </w:rPr>
              <w:t>镉镍电池</w:t>
            </w:r>
            <w:r>
              <w:rPr>
                <w:rFonts w:hint="eastAsia" w:ascii="宋体" w:hAnsi="宋体" w:eastAsia="宋体" w:cs="宋体"/>
              </w:rPr>
              <w:t>）。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</w:rPr>
              <w:t>-045-49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90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-046-49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900-047-49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900-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</w:rPr>
              <w:t>9-49）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H50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废</w:t>
            </w:r>
            <w:r>
              <w:rPr>
                <w:rFonts w:hint="eastAsia" w:ascii="宋体" w:hAnsi="宋体" w:eastAsia="宋体" w:cs="宋体"/>
                <w:lang w:eastAsia="zh-CN"/>
              </w:rPr>
              <w:t>催化</w:t>
            </w:r>
            <w:r>
              <w:rPr>
                <w:rFonts w:hint="eastAsia" w:ascii="宋体" w:hAnsi="宋体" w:eastAsia="宋体" w:cs="宋体"/>
              </w:rPr>
              <w:t>剂（251-016-50、25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-017-50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251-018-50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251-019-50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261-151-50、261-152-50、261-153-50、261-154-50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261-155-50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261-156-50、261-157-50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1-1</w:t>
            </w:r>
            <w:r>
              <w:rPr>
                <w:rFonts w:hint="eastAsia" w:ascii="宋体" w:hAnsi="宋体" w:eastAsia="宋体" w:cs="宋体"/>
              </w:rPr>
              <w:t>58-50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261-159-50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261-160-50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-161-50、261-162-50、261-163-50、261-164-50、26I-165-50、261-166-50.261-167-50、261-168-50.261-169-50.261-170-50、261-171-50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261-172-50、261-173-50、261-174-50、261-175-50、26I-I76-50、261-177-50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261-178-50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261-179-50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261-180-50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261-181-50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261-182-50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261-183-50、263-013-50、271-006-50、275-009-50、276-006-50、772-007-50、900-08-50、900-049-50)。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经营能力：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121500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/年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表2   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9" w:hRule="atLeast"/>
        </w:trPr>
        <w:tc>
          <w:tcPr>
            <w:tcW w:w="934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本次项目产品为铝酸钙粉，生产工艺主要包括生料制备、生料煅烧、熟料加 工以及成品包装，具体生产工艺流程简述如下： （1）配比：铝灰粉经自动计量装置进行计量后通过密闭管道进入 2#球磨机 （生料磨），外购石灰石（粉状）通过铲车送入 2#球磨机（生料磨）进料口，通 过密闭管道经自动计量装置进行计量后，进入 2#球磨机（生料磨），石灰石与铝 灰的质量比为 1:1.75。 （2）球磨：经配比后的粉状原料在 2#球磨机（生料磨）中进行再次混合破 碎，破碎后原料粒径小于 1mm。 （3）提升、入生料仓：2#球磨机（生料磨）中破碎后的粉状原料通过提升 机由密闭管道送入生料仓内待用。 （4）煅烧：生料仓中的混合料通过螺旋铰刀，经密闭管道输送至回转窑窑 尾；天然气经园区管网进入厂区管网后通入回转窑窑头，混合料采用点燃天然气 煅烧，煅烧温度为 1200℃。煅烧后将不合格产品送至原料仓库，与外购原料以 一定比例重新混料后，重新煅烧。窑体采用工业控制计算机及变频器对风量进行 控制。（5）出料：经煅烧后的熟料由窑头出料，再通过铲车将熟料送至收料仓进 行自然冷却。 （6） 入熟料仓：在收料仓自然冷却后的熟料经铲车送至熟料仓进料口，经 密闭管道 进入熟料仓。 （7） 球磨加工：熟料仓中的熟料经提升机和密闭管道送至球磨机（熟料磨） 进行破碎， 破碎后铝酸钙粉的粒径小于 1mm。 （8） 入成品仓：破碎后的铝酸钙粉通过风机、提升机经密闭管道送至成品 仓内。（9） 包装：成品仓中的铝酸钙粉通过螺旋铰刀经密闭管道输出，部分产品 直接在管道末端出料口由包装袋接料，每包铝酸钙粉的质量为 1 吨，打包后即为 成品，部分产品进入包装机进行打包，每包铝酸钙粉的质量为 100kg。打包后的 成品暂存于成品仓库内。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10160</wp:posOffset>
                  </wp:positionV>
                  <wp:extent cx="3044825" cy="4163060"/>
                  <wp:effectExtent l="0" t="0" r="3175" b="8890"/>
                  <wp:wrapNone/>
                  <wp:docPr id="3" name="图片 3" descr="处置工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处置工艺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825" cy="416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rPr>
          <w:rFonts w:hint="eastAsia" w:ascii="宋体" w:hAnsi="宋体" w:eastAsia="宋体" w:cs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第四部分 上年度固体（危险）废物跨省转移情况</w:t>
      </w:r>
    </w:p>
    <w:tbl>
      <w:tblPr>
        <w:tblStyle w:val="4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出厂日期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转移批次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联单编号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废物名称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类别/代码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转移量（吨）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运输单位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接收单位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注：每种废物请填写合计量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</w:rPr>
        <w:sectPr>
          <w:footerReference r:id="rId5" w:type="default"/>
          <w:footerReference r:id="rId6" w:type="even"/>
          <w:pgSz w:w="16840" w:h="11907" w:orient="landscape"/>
          <w:pgMar w:top="1418" w:right="1588" w:bottom="1588" w:left="1701" w:header="851" w:footer="851" w:gutter="0"/>
          <w:pgNumType w:start="0"/>
          <w:cols w:space="720" w:num="1"/>
          <w:titlePg/>
          <w:docGrid w:type="linesAndChars" w:linePitch="286" w:charSpace="0"/>
        </w:sectPr>
      </w:pPr>
      <w:r>
        <w:rPr>
          <w:rFonts w:hint="eastAsia" w:ascii="宋体" w:hAnsi="宋体" w:eastAsia="宋体" w:cs="宋体"/>
        </w:rPr>
        <w:t>首次申请不需填写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GI4MjMxYmQ4Mjc2ZDEyMmUzODllNDU5NWM5NjEifQ=="/>
  </w:docVars>
  <w:rsids>
    <w:rsidRoot w:val="74C63ECF"/>
    <w:rsid w:val="74C63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4175</Words>
  <Characters>5641</Characters>
  <Lines>0</Lines>
  <Paragraphs>0</Paragraphs>
  <TotalTime>1</TotalTime>
  <ScaleCrop>false</ScaleCrop>
  <LinksUpToDate>false</LinksUpToDate>
  <CharactersWithSpaces>5967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2022-06-08T09:54:00Z</dcterms:created>
  <dc:creator>伊伊小姐</dc:creator>
  <cp:lastModifiedBy>伊伊小姐</cp:lastModifiedBy>
  <dcterms:modified xsi:type="dcterms:W3CDTF">2022-06-08T09:56:05Z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A90C181392CA40A79151569397A8B9ED</vt:lpwstr>
  </property>
</Properties>
</file>